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608"/>
      </w:tblGrid>
      <w:tr w:rsidR="001641CF" w:rsidRPr="00633593" w14:paraId="2C9FB7F7" w14:textId="77777777" w:rsidTr="00A52781">
        <w:trPr>
          <w:trHeight w:hRule="exact" w:val="436"/>
        </w:trPr>
        <w:tc>
          <w:tcPr>
            <w:tcW w:w="5688" w:type="dxa"/>
            <w:vMerge w:val="restart"/>
            <w:shd w:val="clear" w:color="auto" w:fill="auto"/>
          </w:tcPr>
          <w:p w14:paraId="40B3FD4C" w14:textId="77777777" w:rsidR="001641CF" w:rsidRPr="00D10FAD" w:rsidRDefault="001641CF">
            <w:pPr>
              <w:rPr>
                <w:b/>
                <w:sz w:val="22"/>
                <w:szCs w:val="22"/>
              </w:rPr>
            </w:pPr>
            <w:r w:rsidRPr="00D10FAD">
              <w:rPr>
                <w:b/>
                <w:sz w:val="22"/>
                <w:szCs w:val="22"/>
              </w:rPr>
              <w:t>Title:</w:t>
            </w:r>
          </w:p>
          <w:p w14:paraId="5409227A" w14:textId="77777777" w:rsidR="001641CF" w:rsidRPr="00D10FAD" w:rsidRDefault="00A50BA2" w:rsidP="00A50BA2">
            <w:pPr>
              <w:rPr>
                <w:sz w:val="22"/>
                <w:szCs w:val="22"/>
              </w:rPr>
            </w:pPr>
            <w:r w:rsidRPr="00D10FAD">
              <w:rPr>
                <w:b/>
                <w:sz w:val="22"/>
                <w:szCs w:val="22"/>
              </w:rPr>
              <w:t>Proposed increases to the monetary eligibility limits for Debt Relief Orders in Northern Ireland</w:t>
            </w:r>
          </w:p>
        </w:tc>
        <w:tc>
          <w:tcPr>
            <w:tcW w:w="4608" w:type="dxa"/>
            <w:shd w:val="solid" w:color="auto" w:fill="0C0C0C"/>
          </w:tcPr>
          <w:p w14:paraId="7D7C824D" w14:textId="77777777" w:rsidR="001641CF" w:rsidRPr="00D10FAD" w:rsidRDefault="001641CF" w:rsidP="001577E1">
            <w:pPr>
              <w:spacing w:before="120"/>
              <w:rPr>
                <w:b/>
                <w:color w:val="FFFFFF"/>
                <w:sz w:val="22"/>
                <w:szCs w:val="22"/>
              </w:rPr>
            </w:pPr>
            <w:r w:rsidRPr="00D10FAD">
              <w:rPr>
                <w:b/>
                <w:color w:val="FFFFFF"/>
                <w:sz w:val="22"/>
                <w:szCs w:val="22"/>
              </w:rPr>
              <w:t>Regulatory Impact Assessment (RIA)</w:t>
            </w:r>
          </w:p>
        </w:tc>
      </w:tr>
      <w:tr w:rsidR="001641CF" w:rsidRPr="00633593" w14:paraId="3A0F276E" w14:textId="77777777" w:rsidTr="001577E1">
        <w:trPr>
          <w:trHeight w:hRule="exact" w:val="357"/>
        </w:trPr>
        <w:tc>
          <w:tcPr>
            <w:tcW w:w="5688" w:type="dxa"/>
            <w:vMerge/>
            <w:shd w:val="clear" w:color="auto" w:fill="auto"/>
          </w:tcPr>
          <w:p w14:paraId="0661391A" w14:textId="77777777" w:rsidR="001641CF" w:rsidRPr="00D10FAD" w:rsidRDefault="001641CF" w:rsidP="001641CF">
            <w:pPr>
              <w:rPr>
                <w:sz w:val="22"/>
                <w:szCs w:val="22"/>
              </w:rPr>
            </w:pPr>
          </w:p>
        </w:tc>
        <w:tc>
          <w:tcPr>
            <w:tcW w:w="4608" w:type="dxa"/>
            <w:shd w:val="clear" w:color="auto" w:fill="auto"/>
            <w:tcMar>
              <w:top w:w="85" w:type="dxa"/>
              <w:bottom w:w="85" w:type="dxa"/>
            </w:tcMar>
          </w:tcPr>
          <w:p w14:paraId="5AD86107" w14:textId="41D818C4" w:rsidR="001641CF" w:rsidRPr="00633593" w:rsidRDefault="001641CF" w:rsidP="00A50BA2">
            <w:pPr>
              <w:rPr>
                <w:sz w:val="22"/>
                <w:szCs w:val="22"/>
              </w:rPr>
            </w:pPr>
            <w:r w:rsidRPr="00633593">
              <w:rPr>
                <w:b/>
                <w:sz w:val="22"/>
                <w:szCs w:val="22"/>
              </w:rPr>
              <w:t>Date:</w:t>
            </w:r>
            <w:r w:rsidR="000C0433" w:rsidRPr="00633593">
              <w:rPr>
                <w:b/>
                <w:sz w:val="22"/>
                <w:szCs w:val="22"/>
              </w:rPr>
              <w:t xml:space="preserve"> </w:t>
            </w:r>
            <w:r w:rsidR="00E43DB4">
              <w:rPr>
                <w:b/>
                <w:sz w:val="22"/>
                <w:szCs w:val="22"/>
              </w:rPr>
              <w:t>June</w:t>
            </w:r>
            <w:r w:rsidR="00A50BA2" w:rsidRPr="00D10FAD">
              <w:rPr>
                <w:b/>
                <w:sz w:val="22"/>
                <w:szCs w:val="22"/>
              </w:rPr>
              <w:t xml:space="preserve"> 202</w:t>
            </w:r>
            <w:r w:rsidR="000C6D4B">
              <w:rPr>
                <w:b/>
                <w:sz w:val="22"/>
                <w:szCs w:val="22"/>
              </w:rPr>
              <w:t>4</w:t>
            </w:r>
          </w:p>
        </w:tc>
      </w:tr>
      <w:tr w:rsidR="001641CF" w:rsidRPr="00633593" w14:paraId="3FFC678A" w14:textId="77777777" w:rsidTr="001577E1">
        <w:trPr>
          <w:trHeight w:hRule="exact" w:val="357"/>
        </w:trPr>
        <w:tc>
          <w:tcPr>
            <w:tcW w:w="5688" w:type="dxa"/>
            <w:vMerge/>
            <w:shd w:val="clear" w:color="auto" w:fill="auto"/>
          </w:tcPr>
          <w:p w14:paraId="72687149" w14:textId="77777777" w:rsidR="001641CF" w:rsidRPr="00D10FAD" w:rsidRDefault="001641CF" w:rsidP="00126611">
            <w:pPr>
              <w:rPr>
                <w:sz w:val="22"/>
                <w:szCs w:val="22"/>
              </w:rPr>
            </w:pPr>
          </w:p>
        </w:tc>
        <w:tc>
          <w:tcPr>
            <w:tcW w:w="4608" w:type="dxa"/>
            <w:shd w:val="clear" w:color="auto" w:fill="auto"/>
            <w:tcMar>
              <w:top w:w="85" w:type="dxa"/>
              <w:bottom w:w="85" w:type="dxa"/>
            </w:tcMar>
          </w:tcPr>
          <w:p w14:paraId="2BCF04EB" w14:textId="77777777" w:rsidR="001641CF" w:rsidRPr="00633593" w:rsidRDefault="001641CF" w:rsidP="00A50BA2">
            <w:pPr>
              <w:rPr>
                <w:b/>
                <w:sz w:val="22"/>
                <w:szCs w:val="22"/>
              </w:rPr>
            </w:pPr>
            <w:r w:rsidRPr="00633593">
              <w:rPr>
                <w:b/>
                <w:sz w:val="22"/>
                <w:szCs w:val="22"/>
              </w:rPr>
              <w:t>Type of measure:</w:t>
            </w:r>
            <w:bookmarkStart w:id="0" w:name="Dropdown1"/>
            <w:r w:rsidR="00A50BA2" w:rsidRPr="00633593">
              <w:rPr>
                <w:b/>
                <w:sz w:val="22"/>
                <w:szCs w:val="22"/>
              </w:rPr>
              <w:t xml:space="preserve"> S</w:t>
            </w:r>
            <w:bookmarkEnd w:id="0"/>
            <w:r w:rsidR="00A50BA2" w:rsidRPr="00633593">
              <w:rPr>
                <w:sz w:val="22"/>
                <w:szCs w:val="22"/>
              </w:rPr>
              <w:t xml:space="preserve">ubordinate legislation </w:t>
            </w:r>
          </w:p>
        </w:tc>
      </w:tr>
      <w:tr w:rsidR="001641CF" w:rsidRPr="00633593" w14:paraId="0808A3AA" w14:textId="77777777" w:rsidTr="001577E1">
        <w:trPr>
          <w:trHeight w:hRule="exact" w:val="357"/>
        </w:trPr>
        <w:tc>
          <w:tcPr>
            <w:tcW w:w="5688" w:type="dxa"/>
            <w:vMerge w:val="restart"/>
            <w:shd w:val="clear" w:color="auto" w:fill="auto"/>
          </w:tcPr>
          <w:p w14:paraId="511CED80" w14:textId="77777777" w:rsidR="001641CF" w:rsidRPr="00D10FAD" w:rsidRDefault="001641CF" w:rsidP="001641CF">
            <w:pPr>
              <w:rPr>
                <w:b/>
                <w:sz w:val="22"/>
                <w:szCs w:val="22"/>
              </w:rPr>
            </w:pPr>
            <w:r w:rsidRPr="00D10FAD">
              <w:rPr>
                <w:b/>
                <w:sz w:val="22"/>
                <w:szCs w:val="22"/>
              </w:rPr>
              <w:t>Lead department or agency:</w:t>
            </w:r>
          </w:p>
          <w:p w14:paraId="5DD03591" w14:textId="77777777" w:rsidR="00AE6D20" w:rsidRPr="00D10FAD" w:rsidRDefault="00A50BA2" w:rsidP="001641CF">
            <w:pPr>
              <w:rPr>
                <w:sz w:val="22"/>
                <w:szCs w:val="22"/>
              </w:rPr>
            </w:pPr>
            <w:r w:rsidRPr="00D10FAD">
              <w:rPr>
                <w:b/>
                <w:sz w:val="22"/>
                <w:szCs w:val="22"/>
              </w:rPr>
              <w:t>Department for the Economy</w:t>
            </w:r>
          </w:p>
        </w:tc>
        <w:tc>
          <w:tcPr>
            <w:tcW w:w="4608" w:type="dxa"/>
            <w:shd w:val="clear" w:color="auto" w:fill="auto"/>
            <w:tcMar>
              <w:top w:w="85" w:type="dxa"/>
              <w:bottom w:w="85" w:type="dxa"/>
            </w:tcMar>
          </w:tcPr>
          <w:p w14:paraId="17A3F55D" w14:textId="7E8670E2" w:rsidR="001641CF" w:rsidRPr="00633593" w:rsidRDefault="001641CF">
            <w:pPr>
              <w:rPr>
                <w:sz w:val="22"/>
                <w:szCs w:val="22"/>
              </w:rPr>
            </w:pPr>
            <w:r w:rsidRPr="00633593">
              <w:rPr>
                <w:b/>
                <w:sz w:val="22"/>
                <w:szCs w:val="22"/>
              </w:rPr>
              <w:t>Stage:</w:t>
            </w:r>
            <w:bookmarkStart w:id="1" w:name="Dropdown2"/>
            <w:r w:rsidR="000C6D4B">
              <w:rPr>
                <w:b/>
                <w:sz w:val="22"/>
                <w:szCs w:val="22"/>
              </w:rPr>
              <w:t xml:space="preserve"> Fin</w:t>
            </w:r>
            <w:bookmarkEnd w:id="1"/>
            <w:r w:rsidR="000C6D4B">
              <w:rPr>
                <w:b/>
                <w:sz w:val="22"/>
                <w:szCs w:val="22"/>
              </w:rPr>
              <w:t>al</w:t>
            </w:r>
          </w:p>
        </w:tc>
      </w:tr>
      <w:tr w:rsidR="001641CF" w:rsidRPr="00633593" w14:paraId="2B83474A" w14:textId="77777777" w:rsidTr="001577E1">
        <w:trPr>
          <w:trHeight w:hRule="exact" w:val="357"/>
        </w:trPr>
        <w:tc>
          <w:tcPr>
            <w:tcW w:w="5688" w:type="dxa"/>
            <w:vMerge/>
            <w:shd w:val="clear" w:color="auto" w:fill="auto"/>
          </w:tcPr>
          <w:p w14:paraId="4E7B710C" w14:textId="77777777" w:rsidR="001641CF" w:rsidRPr="00D10FAD" w:rsidRDefault="001641CF">
            <w:pPr>
              <w:rPr>
                <w:sz w:val="22"/>
                <w:szCs w:val="22"/>
              </w:rPr>
            </w:pPr>
          </w:p>
        </w:tc>
        <w:tc>
          <w:tcPr>
            <w:tcW w:w="4608" w:type="dxa"/>
            <w:shd w:val="clear" w:color="auto" w:fill="auto"/>
            <w:tcMar>
              <w:top w:w="85" w:type="dxa"/>
              <w:bottom w:w="85" w:type="dxa"/>
            </w:tcMar>
          </w:tcPr>
          <w:p w14:paraId="70ACAD5A" w14:textId="77777777" w:rsidR="001641CF" w:rsidRPr="00633593" w:rsidRDefault="001641CF">
            <w:pPr>
              <w:rPr>
                <w:sz w:val="22"/>
                <w:szCs w:val="22"/>
              </w:rPr>
            </w:pPr>
            <w:r w:rsidRPr="00633593">
              <w:rPr>
                <w:b/>
                <w:sz w:val="22"/>
                <w:szCs w:val="22"/>
              </w:rPr>
              <w:t>Source of intervention:</w:t>
            </w:r>
            <w:bookmarkStart w:id="2" w:name="Dropdown3"/>
            <w:r w:rsidR="004904DE" w:rsidRPr="00633593">
              <w:rPr>
                <w:sz w:val="22"/>
                <w:szCs w:val="22"/>
              </w:rPr>
              <w:fldChar w:fldCharType="begin">
                <w:ffData>
                  <w:name w:val="Dropdown3"/>
                  <w:enabled/>
                  <w:calcOnExit w:val="0"/>
                  <w:ddList>
                    <w:listEntry w:val="Domestic NI"/>
                    <w:listEntry w:val="UK"/>
                    <w:listEntry w:val="EU"/>
                    <w:listEntry w:val="International"/>
                  </w:ddList>
                </w:ffData>
              </w:fldChar>
            </w:r>
            <w:r w:rsidR="00AE6D20" w:rsidRPr="00633593">
              <w:rPr>
                <w:sz w:val="22"/>
                <w:szCs w:val="22"/>
              </w:rPr>
              <w:instrText xml:space="preserve"> FORMDROPDOWN </w:instrText>
            </w:r>
            <w:r w:rsidR="00E56F31">
              <w:rPr>
                <w:sz w:val="22"/>
                <w:szCs w:val="22"/>
              </w:rPr>
            </w:r>
            <w:r w:rsidR="00E56F31">
              <w:rPr>
                <w:sz w:val="22"/>
                <w:szCs w:val="22"/>
              </w:rPr>
              <w:fldChar w:fldCharType="separate"/>
            </w:r>
            <w:r w:rsidR="004904DE" w:rsidRPr="00633593">
              <w:rPr>
                <w:sz w:val="22"/>
                <w:szCs w:val="22"/>
              </w:rPr>
              <w:fldChar w:fldCharType="end"/>
            </w:r>
            <w:bookmarkEnd w:id="2"/>
          </w:p>
        </w:tc>
      </w:tr>
      <w:tr w:rsidR="001641CF" w:rsidRPr="00633593" w14:paraId="3158EC85" w14:textId="77777777" w:rsidTr="001577E1">
        <w:trPr>
          <w:trHeight w:hRule="exact" w:val="357"/>
        </w:trPr>
        <w:tc>
          <w:tcPr>
            <w:tcW w:w="5688" w:type="dxa"/>
            <w:vMerge w:val="restart"/>
            <w:shd w:val="clear" w:color="auto" w:fill="auto"/>
          </w:tcPr>
          <w:p w14:paraId="6652A371" w14:textId="77777777" w:rsidR="001641CF" w:rsidRPr="00D10FAD" w:rsidRDefault="001641CF">
            <w:pPr>
              <w:rPr>
                <w:b/>
                <w:sz w:val="22"/>
                <w:szCs w:val="22"/>
              </w:rPr>
            </w:pPr>
            <w:r w:rsidRPr="00D10FAD">
              <w:rPr>
                <w:b/>
                <w:sz w:val="22"/>
                <w:szCs w:val="22"/>
              </w:rPr>
              <w:t>Other departments or agencies:</w:t>
            </w:r>
          </w:p>
          <w:p w14:paraId="0B5523C9" w14:textId="77777777" w:rsidR="00AE6D20" w:rsidRPr="00D10FAD" w:rsidRDefault="00A50BA2">
            <w:pPr>
              <w:rPr>
                <w:sz w:val="22"/>
                <w:szCs w:val="22"/>
              </w:rPr>
            </w:pPr>
            <w:r w:rsidRPr="00D10FAD">
              <w:rPr>
                <w:b/>
                <w:sz w:val="22"/>
                <w:szCs w:val="22"/>
              </w:rPr>
              <w:t>N/A</w:t>
            </w:r>
          </w:p>
        </w:tc>
        <w:tc>
          <w:tcPr>
            <w:tcW w:w="4608" w:type="dxa"/>
            <w:shd w:val="clear" w:color="auto" w:fill="auto"/>
            <w:tcMar>
              <w:top w:w="85" w:type="dxa"/>
              <w:bottom w:w="85" w:type="dxa"/>
            </w:tcMar>
          </w:tcPr>
          <w:p w14:paraId="5C4A818D" w14:textId="77777777" w:rsidR="001641CF" w:rsidRPr="00633593" w:rsidRDefault="001641CF" w:rsidP="00A50BA2">
            <w:pPr>
              <w:rPr>
                <w:sz w:val="22"/>
                <w:szCs w:val="22"/>
              </w:rPr>
            </w:pPr>
            <w:r w:rsidRPr="00633593">
              <w:rPr>
                <w:b/>
                <w:sz w:val="22"/>
                <w:szCs w:val="22"/>
              </w:rPr>
              <w:t>Contact details:</w:t>
            </w:r>
            <w:r w:rsidR="00A50BA2" w:rsidRPr="00633593">
              <w:rPr>
                <w:b/>
                <w:sz w:val="22"/>
                <w:szCs w:val="22"/>
              </w:rPr>
              <w:t xml:space="preserve"> </w:t>
            </w:r>
            <w:r w:rsidR="00A50BA2" w:rsidRPr="00D10FAD">
              <w:rPr>
                <w:sz w:val="22"/>
                <w:szCs w:val="22"/>
              </w:rPr>
              <w:t>Eileen Glenn</w:t>
            </w:r>
          </w:p>
        </w:tc>
      </w:tr>
      <w:tr w:rsidR="001641CF" w:rsidRPr="00633593" w14:paraId="0F477B45" w14:textId="77777777" w:rsidTr="001577E1">
        <w:trPr>
          <w:trHeight w:hRule="exact" w:val="357"/>
        </w:trPr>
        <w:tc>
          <w:tcPr>
            <w:tcW w:w="5688" w:type="dxa"/>
            <w:vMerge/>
            <w:shd w:val="clear" w:color="auto" w:fill="auto"/>
          </w:tcPr>
          <w:p w14:paraId="3B766C2E" w14:textId="77777777" w:rsidR="001641CF" w:rsidRPr="00D10FAD" w:rsidRDefault="001641CF">
            <w:pPr>
              <w:rPr>
                <w:sz w:val="22"/>
                <w:szCs w:val="22"/>
              </w:rPr>
            </w:pPr>
          </w:p>
        </w:tc>
        <w:tc>
          <w:tcPr>
            <w:tcW w:w="4608" w:type="dxa"/>
            <w:shd w:val="clear" w:color="auto" w:fill="auto"/>
            <w:tcMar>
              <w:top w:w="85" w:type="dxa"/>
              <w:bottom w:w="85" w:type="dxa"/>
            </w:tcMar>
          </w:tcPr>
          <w:p w14:paraId="4920ED96" w14:textId="77777777" w:rsidR="001641CF" w:rsidRPr="00633593" w:rsidRDefault="00A50BA2">
            <w:pPr>
              <w:rPr>
                <w:sz w:val="22"/>
                <w:szCs w:val="22"/>
              </w:rPr>
            </w:pPr>
            <w:r w:rsidRPr="00D10FAD">
              <w:rPr>
                <w:sz w:val="22"/>
                <w:szCs w:val="22"/>
              </w:rPr>
              <w:t>Eileen.glenn@economy-ni.gov.uk</w:t>
            </w:r>
          </w:p>
        </w:tc>
      </w:tr>
      <w:tr w:rsidR="001641CF" w:rsidRPr="00633593" w14:paraId="6E7E0BF9" w14:textId="77777777" w:rsidTr="001577E1">
        <w:trPr>
          <w:trHeight w:hRule="exact" w:val="357"/>
        </w:trPr>
        <w:tc>
          <w:tcPr>
            <w:tcW w:w="5688" w:type="dxa"/>
            <w:vMerge/>
            <w:shd w:val="clear" w:color="auto" w:fill="auto"/>
          </w:tcPr>
          <w:p w14:paraId="4450CF7F" w14:textId="77777777" w:rsidR="001641CF" w:rsidRPr="00D10FAD" w:rsidRDefault="001641CF">
            <w:pPr>
              <w:rPr>
                <w:sz w:val="22"/>
                <w:szCs w:val="22"/>
              </w:rPr>
            </w:pPr>
          </w:p>
        </w:tc>
        <w:tc>
          <w:tcPr>
            <w:tcW w:w="4608" w:type="dxa"/>
            <w:shd w:val="clear" w:color="auto" w:fill="auto"/>
            <w:tcMar>
              <w:top w:w="85" w:type="dxa"/>
              <w:bottom w:w="85" w:type="dxa"/>
            </w:tcMar>
          </w:tcPr>
          <w:p w14:paraId="6B351546" w14:textId="77777777" w:rsidR="001641CF" w:rsidRPr="00633593" w:rsidRDefault="00F77F41">
            <w:pPr>
              <w:rPr>
                <w:sz w:val="22"/>
                <w:szCs w:val="22"/>
              </w:rPr>
            </w:pPr>
            <w:r w:rsidRPr="00D10FAD">
              <w:rPr>
                <w:sz w:val="22"/>
                <w:szCs w:val="22"/>
              </w:rPr>
              <w:fldChar w:fldCharType="begin">
                <w:ffData>
                  <w:name w:val="Text4"/>
                  <w:enabled/>
                  <w:calcOnExit w:val="0"/>
                  <w:textInput/>
                </w:ffData>
              </w:fldChar>
            </w:r>
            <w:r w:rsidRPr="00D10FAD">
              <w:rPr>
                <w:sz w:val="22"/>
                <w:szCs w:val="22"/>
              </w:rPr>
              <w:instrText xml:space="preserve"> FORMTEXT </w:instrText>
            </w:r>
            <w:r w:rsidRPr="00D10FAD">
              <w:rPr>
                <w:sz w:val="22"/>
                <w:szCs w:val="22"/>
              </w:rPr>
            </w:r>
            <w:r w:rsidRPr="00D10FAD">
              <w:rPr>
                <w:sz w:val="22"/>
                <w:szCs w:val="22"/>
              </w:rPr>
              <w:fldChar w:fldCharType="separate"/>
            </w:r>
            <w:r w:rsidRPr="00D10FAD">
              <w:rPr>
                <w:noProof/>
                <w:sz w:val="22"/>
                <w:szCs w:val="22"/>
              </w:rPr>
              <w:t> </w:t>
            </w:r>
            <w:r w:rsidRPr="00D10FAD">
              <w:rPr>
                <w:noProof/>
                <w:sz w:val="22"/>
                <w:szCs w:val="22"/>
              </w:rPr>
              <w:t> </w:t>
            </w:r>
            <w:r w:rsidRPr="00D10FAD">
              <w:rPr>
                <w:noProof/>
                <w:sz w:val="22"/>
                <w:szCs w:val="22"/>
              </w:rPr>
              <w:t> </w:t>
            </w:r>
            <w:r w:rsidRPr="00D10FAD">
              <w:rPr>
                <w:noProof/>
                <w:sz w:val="22"/>
                <w:szCs w:val="22"/>
              </w:rPr>
              <w:t> </w:t>
            </w:r>
            <w:r w:rsidRPr="00D10FAD">
              <w:rPr>
                <w:noProof/>
                <w:sz w:val="22"/>
                <w:szCs w:val="22"/>
              </w:rPr>
              <w:t> </w:t>
            </w:r>
            <w:r w:rsidRPr="00D10FAD">
              <w:rPr>
                <w:sz w:val="22"/>
                <w:szCs w:val="22"/>
              </w:rPr>
              <w:fldChar w:fldCharType="end"/>
            </w:r>
          </w:p>
        </w:tc>
      </w:tr>
    </w:tbl>
    <w:p w14:paraId="749E3EDF" w14:textId="77777777" w:rsidR="009150B3" w:rsidRPr="00D10FAD" w:rsidRDefault="009150B3">
      <w:pPr>
        <w:rPr>
          <w:sz w:val="22"/>
          <w:szCs w:val="22"/>
        </w:rPr>
      </w:pPr>
    </w:p>
    <w:p w14:paraId="75DEF51B" w14:textId="77777777" w:rsidR="00AE6D20" w:rsidRPr="00D10FAD" w:rsidRDefault="00AE6D20">
      <w:pPr>
        <w:rPr>
          <w:b/>
          <w:sz w:val="22"/>
          <w:szCs w:val="22"/>
        </w:rPr>
      </w:pPr>
      <w:r w:rsidRPr="00D10FAD">
        <w:rPr>
          <w:b/>
          <w:sz w:val="22"/>
          <w:szCs w:val="22"/>
        </w:rPr>
        <w:t>Summary Intervention and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801"/>
      </w:tblGrid>
      <w:tr w:rsidR="00AE6D20" w:rsidRPr="00633593" w14:paraId="4302D708" w14:textId="77777777" w:rsidTr="00D10FAD">
        <w:trPr>
          <w:trHeight w:hRule="exact" w:val="2369"/>
        </w:trPr>
        <w:tc>
          <w:tcPr>
            <w:tcW w:w="10296" w:type="dxa"/>
            <w:gridSpan w:val="2"/>
            <w:shd w:val="clear" w:color="auto" w:fill="auto"/>
            <w:tcMar>
              <w:top w:w="28" w:type="dxa"/>
            </w:tcMar>
          </w:tcPr>
          <w:p w14:paraId="056E1602" w14:textId="77777777" w:rsidR="003C028C" w:rsidRPr="00D10FAD" w:rsidRDefault="00AE6D20" w:rsidP="00FC61F6">
            <w:pPr>
              <w:rPr>
                <w:b/>
                <w:sz w:val="22"/>
                <w:szCs w:val="22"/>
              </w:rPr>
            </w:pPr>
            <w:r w:rsidRPr="00D10FAD">
              <w:rPr>
                <w:b/>
                <w:sz w:val="22"/>
                <w:szCs w:val="22"/>
              </w:rPr>
              <w:t>What is the problem under consideration?  Why is government intervention necessary?</w:t>
            </w:r>
            <w:r w:rsidR="00E3724A" w:rsidRPr="00D10FAD">
              <w:rPr>
                <w:b/>
                <w:sz w:val="22"/>
                <w:szCs w:val="22"/>
              </w:rPr>
              <w:t xml:space="preserve"> </w:t>
            </w:r>
          </w:p>
          <w:p w14:paraId="6B4EEE51" w14:textId="54F644CB" w:rsidR="00FC61F6" w:rsidRPr="00D10FAD" w:rsidRDefault="001679E1" w:rsidP="00FC61F6">
            <w:pPr>
              <w:rPr>
                <w:sz w:val="22"/>
                <w:szCs w:val="22"/>
              </w:rPr>
            </w:pPr>
            <w:r w:rsidRPr="00D10FAD">
              <w:rPr>
                <w:sz w:val="22"/>
                <w:szCs w:val="22"/>
              </w:rPr>
              <w:t xml:space="preserve">Legislation </w:t>
            </w:r>
            <w:r w:rsidR="008800D5">
              <w:rPr>
                <w:sz w:val="22"/>
                <w:szCs w:val="22"/>
              </w:rPr>
              <w:t>was</w:t>
            </w:r>
            <w:r w:rsidRPr="00D10FAD">
              <w:rPr>
                <w:sz w:val="22"/>
                <w:szCs w:val="22"/>
              </w:rPr>
              <w:t xml:space="preserve"> made in England and Wales </w:t>
            </w:r>
            <w:r w:rsidR="008800D5">
              <w:rPr>
                <w:sz w:val="22"/>
                <w:szCs w:val="22"/>
              </w:rPr>
              <w:t xml:space="preserve">in June 2021 </w:t>
            </w:r>
            <w:r w:rsidRPr="00D10FAD">
              <w:rPr>
                <w:sz w:val="22"/>
                <w:szCs w:val="22"/>
              </w:rPr>
              <w:t xml:space="preserve">to raise the upper limits on total debt, total value of assets, surplus monthly </w:t>
            </w:r>
            <w:proofErr w:type="gramStart"/>
            <w:r w:rsidRPr="00D10FAD">
              <w:rPr>
                <w:sz w:val="22"/>
                <w:szCs w:val="22"/>
              </w:rPr>
              <w:t>income</w:t>
            </w:r>
            <w:proofErr w:type="gramEnd"/>
            <w:r w:rsidRPr="00D10FAD">
              <w:rPr>
                <w:sz w:val="22"/>
                <w:szCs w:val="22"/>
              </w:rPr>
              <w:t xml:space="preserve"> and the value of a single vehicle for domestic use for eligibility for the Debt Relief scheme. </w:t>
            </w:r>
            <w:r w:rsidR="00C333E8" w:rsidRPr="00D10FAD">
              <w:rPr>
                <w:sz w:val="22"/>
                <w:szCs w:val="22"/>
              </w:rPr>
              <w:t xml:space="preserve"> </w:t>
            </w:r>
            <w:r w:rsidR="008800D5">
              <w:rPr>
                <w:sz w:val="22"/>
                <w:szCs w:val="22"/>
              </w:rPr>
              <w:t xml:space="preserve">The only corresponding increase which it has been possible to make in Northern Ireland is that the upper limit on the value of a vehicle has been increased with effect from 1 February 2024. The Chancellor has announced in his spring budget that further increases to the limits on total debt and the value of a single vehicle or domestic use will take effect on 28 June 2024. </w:t>
            </w:r>
            <w:r w:rsidR="003873E8" w:rsidRPr="00D10FAD">
              <w:rPr>
                <w:sz w:val="22"/>
                <w:szCs w:val="22"/>
              </w:rPr>
              <w:t xml:space="preserve">This impact assessment analyses the </w:t>
            </w:r>
            <w:r w:rsidRPr="00D10FAD">
              <w:rPr>
                <w:sz w:val="22"/>
                <w:szCs w:val="22"/>
              </w:rPr>
              <w:t xml:space="preserve">impact of legislating </w:t>
            </w:r>
            <w:r w:rsidR="008800D5">
              <w:rPr>
                <w:sz w:val="22"/>
                <w:szCs w:val="22"/>
              </w:rPr>
              <w:t xml:space="preserve">to increase </w:t>
            </w:r>
            <w:proofErr w:type="gramStart"/>
            <w:r w:rsidR="008800D5">
              <w:rPr>
                <w:sz w:val="22"/>
                <w:szCs w:val="22"/>
              </w:rPr>
              <w:t>all of</w:t>
            </w:r>
            <w:proofErr w:type="gramEnd"/>
            <w:r w:rsidR="008800D5">
              <w:rPr>
                <w:sz w:val="22"/>
                <w:szCs w:val="22"/>
              </w:rPr>
              <w:t xml:space="preserve"> the limits under the Northern Ireland Debt Relief scheme to what they will be in England and Wales from 28 June 2024. </w:t>
            </w:r>
            <w:r w:rsidRPr="00D10FAD">
              <w:rPr>
                <w:sz w:val="22"/>
                <w:szCs w:val="22"/>
              </w:rPr>
              <w:t xml:space="preserve">corresponding limits </w:t>
            </w:r>
            <w:r w:rsidR="00FC61F6" w:rsidRPr="00D10FAD">
              <w:rPr>
                <w:sz w:val="22"/>
                <w:szCs w:val="22"/>
              </w:rPr>
              <w:t xml:space="preserve">applying </w:t>
            </w:r>
            <w:r w:rsidRPr="00D10FAD">
              <w:rPr>
                <w:sz w:val="22"/>
                <w:szCs w:val="22"/>
              </w:rPr>
              <w:t>under the Northern Ir</w:t>
            </w:r>
            <w:r w:rsidR="00FC61F6" w:rsidRPr="00D10FAD">
              <w:rPr>
                <w:sz w:val="22"/>
                <w:szCs w:val="22"/>
              </w:rPr>
              <w:t>e</w:t>
            </w:r>
            <w:r w:rsidRPr="00D10FAD">
              <w:rPr>
                <w:sz w:val="22"/>
                <w:szCs w:val="22"/>
              </w:rPr>
              <w:t>land Debt Re</w:t>
            </w:r>
            <w:r w:rsidR="00FC61F6" w:rsidRPr="00D10FAD">
              <w:rPr>
                <w:sz w:val="22"/>
                <w:szCs w:val="22"/>
              </w:rPr>
              <w:t>lief S</w:t>
            </w:r>
            <w:r w:rsidRPr="00D10FAD">
              <w:rPr>
                <w:sz w:val="22"/>
                <w:szCs w:val="22"/>
              </w:rPr>
              <w:t>cheme</w:t>
            </w:r>
            <w:r w:rsidR="00FC61F6" w:rsidRPr="00D10FAD">
              <w:rPr>
                <w:sz w:val="22"/>
                <w:szCs w:val="22"/>
              </w:rPr>
              <w:t>.</w:t>
            </w:r>
          </w:p>
          <w:p w14:paraId="4E197DFB" w14:textId="77777777" w:rsidR="00FC61F6" w:rsidRPr="00D10FAD" w:rsidRDefault="00FC61F6" w:rsidP="00721C3D">
            <w:pPr>
              <w:rPr>
                <w:sz w:val="22"/>
                <w:szCs w:val="22"/>
              </w:rPr>
            </w:pPr>
            <w:r w:rsidRPr="00D10FAD">
              <w:rPr>
                <w:sz w:val="22"/>
                <w:szCs w:val="22"/>
              </w:rPr>
              <w:t xml:space="preserve">Government intervention is necessary because it is important to ensure that people in Northern Ireland who are burdened by debt which they cannot pay have the same access to relief as they would have under the Debt Relief scheme </w:t>
            </w:r>
            <w:r w:rsidR="00E02655" w:rsidRPr="00D10FAD">
              <w:rPr>
                <w:sz w:val="22"/>
                <w:szCs w:val="22"/>
              </w:rPr>
              <w:t>in England and Wales. Alter</w:t>
            </w:r>
            <w:r w:rsidR="00721C3D" w:rsidRPr="00D10FAD">
              <w:rPr>
                <w:sz w:val="22"/>
                <w:szCs w:val="22"/>
              </w:rPr>
              <w:t xml:space="preserve">ing </w:t>
            </w:r>
            <w:r w:rsidR="00E02655" w:rsidRPr="00D10FAD">
              <w:rPr>
                <w:sz w:val="22"/>
                <w:szCs w:val="22"/>
              </w:rPr>
              <w:t>the entry criteria for the Debt Relief scheme requires legislation.</w:t>
            </w:r>
          </w:p>
        </w:tc>
      </w:tr>
      <w:tr w:rsidR="00AE6D20" w:rsidRPr="00633593" w14:paraId="5DAE65C9" w14:textId="77777777" w:rsidTr="00D10FAD">
        <w:trPr>
          <w:trHeight w:hRule="exact" w:val="3129"/>
        </w:trPr>
        <w:tc>
          <w:tcPr>
            <w:tcW w:w="10296" w:type="dxa"/>
            <w:gridSpan w:val="2"/>
            <w:shd w:val="clear" w:color="auto" w:fill="auto"/>
            <w:tcMar>
              <w:top w:w="28" w:type="dxa"/>
            </w:tcMar>
          </w:tcPr>
          <w:p w14:paraId="456CB363" w14:textId="77777777" w:rsidR="003C028C" w:rsidRPr="00D10FAD" w:rsidRDefault="0072504E" w:rsidP="003C028C">
            <w:pPr>
              <w:rPr>
                <w:b/>
                <w:sz w:val="22"/>
                <w:szCs w:val="22"/>
              </w:rPr>
            </w:pPr>
            <w:r w:rsidRPr="00D10FAD">
              <w:rPr>
                <w:b/>
                <w:sz w:val="22"/>
                <w:szCs w:val="22"/>
              </w:rPr>
              <w:t>What are the policy objectives and the intended effects?</w:t>
            </w:r>
          </w:p>
          <w:p w14:paraId="762AA950" w14:textId="5D1E728D" w:rsidR="0072504E" w:rsidRPr="00D10FAD" w:rsidRDefault="00912635" w:rsidP="00043284">
            <w:pPr>
              <w:rPr>
                <w:sz w:val="22"/>
                <w:szCs w:val="22"/>
              </w:rPr>
            </w:pPr>
            <w:r w:rsidRPr="00D10FAD">
              <w:rPr>
                <w:sz w:val="22"/>
                <w:szCs w:val="22"/>
              </w:rPr>
              <w:t xml:space="preserve">The aim of this policy is to give more people </w:t>
            </w:r>
            <w:r w:rsidR="002E5B51" w:rsidRPr="00D10FAD">
              <w:rPr>
                <w:sz w:val="22"/>
                <w:szCs w:val="22"/>
              </w:rPr>
              <w:t xml:space="preserve">in Northern Ireland </w:t>
            </w:r>
            <w:r w:rsidR="00636052" w:rsidRPr="00D10FAD">
              <w:rPr>
                <w:sz w:val="22"/>
                <w:szCs w:val="22"/>
              </w:rPr>
              <w:t xml:space="preserve">with low </w:t>
            </w:r>
            <w:r w:rsidRPr="00D10FAD">
              <w:rPr>
                <w:sz w:val="22"/>
                <w:szCs w:val="22"/>
              </w:rPr>
              <w:t>level</w:t>
            </w:r>
            <w:r w:rsidR="002E5B51" w:rsidRPr="00D10FAD">
              <w:rPr>
                <w:sz w:val="22"/>
                <w:szCs w:val="22"/>
              </w:rPr>
              <w:t>s of</w:t>
            </w:r>
            <w:r w:rsidRPr="00D10FAD">
              <w:rPr>
                <w:sz w:val="22"/>
                <w:szCs w:val="22"/>
              </w:rPr>
              <w:t xml:space="preserve"> assets, low surplus income and low levels of debt, who are experiencing financial distress, access to a suitable option for debt relief. As with any debt relief solution</w:t>
            </w:r>
            <w:r w:rsidR="00636052" w:rsidRPr="00D10FAD">
              <w:rPr>
                <w:sz w:val="22"/>
                <w:szCs w:val="22"/>
              </w:rPr>
              <w:t>,</w:t>
            </w:r>
            <w:r w:rsidRPr="00D10FAD">
              <w:rPr>
                <w:sz w:val="22"/>
                <w:szCs w:val="22"/>
              </w:rPr>
              <w:t xml:space="preserve"> it is important to balance the interest</w:t>
            </w:r>
            <w:r w:rsidR="002E5B51" w:rsidRPr="00D10FAD">
              <w:rPr>
                <w:sz w:val="22"/>
                <w:szCs w:val="22"/>
              </w:rPr>
              <w:t>s</w:t>
            </w:r>
            <w:r w:rsidRPr="00D10FAD">
              <w:rPr>
                <w:sz w:val="22"/>
                <w:szCs w:val="22"/>
              </w:rPr>
              <w:t xml:space="preserve"> of creditors (those that are owed money) and debtors (those who owe money). This proposal aims to do this by ensuring that those debtors that have little or no ability to repay their creditors </w:t>
            </w:r>
            <w:proofErr w:type="gramStart"/>
            <w:r w:rsidRPr="00D10FAD">
              <w:rPr>
                <w:sz w:val="22"/>
                <w:szCs w:val="22"/>
              </w:rPr>
              <w:t>are able to</w:t>
            </w:r>
            <w:proofErr w:type="gramEnd"/>
            <w:r w:rsidRPr="00D10FAD">
              <w:rPr>
                <w:sz w:val="22"/>
                <w:szCs w:val="22"/>
              </w:rPr>
              <w:t xml:space="preserve"> obtain access to a form of </w:t>
            </w:r>
            <w:r w:rsidR="002E5B51" w:rsidRPr="00D10FAD">
              <w:rPr>
                <w:sz w:val="22"/>
                <w:szCs w:val="22"/>
              </w:rPr>
              <w:t xml:space="preserve">debt relief which is </w:t>
            </w:r>
            <w:r w:rsidRPr="00D10FAD">
              <w:rPr>
                <w:sz w:val="22"/>
                <w:szCs w:val="22"/>
              </w:rPr>
              <w:t>appropriate and proportionate. The policy will be achieved by using s</w:t>
            </w:r>
            <w:r w:rsidR="002E5B51" w:rsidRPr="00D10FAD">
              <w:rPr>
                <w:sz w:val="22"/>
                <w:szCs w:val="22"/>
              </w:rPr>
              <w:t xml:space="preserve">ubordinate </w:t>
            </w:r>
            <w:r w:rsidR="004F2615" w:rsidRPr="00D10FAD">
              <w:rPr>
                <w:sz w:val="22"/>
                <w:szCs w:val="22"/>
              </w:rPr>
              <w:t>legislation to raise the</w:t>
            </w:r>
            <w:r w:rsidRPr="00D10FAD">
              <w:rPr>
                <w:sz w:val="22"/>
                <w:szCs w:val="22"/>
              </w:rPr>
              <w:t xml:space="preserve"> </w:t>
            </w:r>
            <w:r w:rsidR="004F2615" w:rsidRPr="00D10FAD">
              <w:rPr>
                <w:sz w:val="22"/>
                <w:szCs w:val="22"/>
              </w:rPr>
              <w:t>ceilings on assets, surplus income and total debt set by the Insolvency (Monetary Limits)</w:t>
            </w:r>
            <w:r w:rsidR="00043284" w:rsidRPr="00D10FAD">
              <w:rPr>
                <w:sz w:val="22"/>
                <w:szCs w:val="22"/>
              </w:rPr>
              <w:t xml:space="preserve"> </w:t>
            </w:r>
            <w:r w:rsidR="004F2615" w:rsidRPr="00D10FAD">
              <w:rPr>
                <w:sz w:val="22"/>
                <w:szCs w:val="22"/>
              </w:rPr>
              <w:t xml:space="preserve">Order (Northern Ireland) </w:t>
            </w:r>
            <w:r w:rsidR="00043284" w:rsidRPr="00D10FAD">
              <w:rPr>
                <w:sz w:val="22"/>
                <w:szCs w:val="22"/>
              </w:rPr>
              <w:t>1991</w:t>
            </w:r>
            <w:r w:rsidR="004F2615" w:rsidRPr="00D10FAD">
              <w:rPr>
                <w:sz w:val="22"/>
                <w:szCs w:val="22"/>
              </w:rPr>
              <w:t xml:space="preserve"> and the upper limit on the value of a single vehicle not adapted for use by a disabled person set by</w:t>
            </w:r>
            <w:r w:rsidRPr="00D10FAD">
              <w:rPr>
                <w:sz w:val="22"/>
                <w:szCs w:val="22"/>
              </w:rPr>
              <w:t xml:space="preserve"> the Insolvency </w:t>
            </w:r>
            <w:r w:rsidR="00BF6D34" w:rsidRPr="00D10FAD">
              <w:rPr>
                <w:sz w:val="22"/>
                <w:szCs w:val="22"/>
              </w:rPr>
              <w:t>Rules (Northern Ireland) 1991</w:t>
            </w:r>
            <w:r w:rsidRPr="00D10FAD">
              <w:rPr>
                <w:sz w:val="22"/>
                <w:szCs w:val="22"/>
              </w:rPr>
              <w:t xml:space="preserve">. The impact of this will be that more people with low surplus income, </w:t>
            </w:r>
            <w:proofErr w:type="gramStart"/>
            <w:r w:rsidRPr="00D10FAD">
              <w:rPr>
                <w:sz w:val="22"/>
                <w:szCs w:val="22"/>
              </w:rPr>
              <w:t>assets</w:t>
            </w:r>
            <w:proofErr w:type="gramEnd"/>
            <w:r w:rsidRPr="00D10FAD">
              <w:rPr>
                <w:sz w:val="22"/>
                <w:szCs w:val="22"/>
              </w:rPr>
              <w:t xml:space="preserve"> and minimal debts, in financial distress, </w:t>
            </w:r>
            <w:r w:rsidR="007F7FCE">
              <w:rPr>
                <w:sz w:val="22"/>
                <w:szCs w:val="22"/>
              </w:rPr>
              <w:t xml:space="preserve">will be </w:t>
            </w:r>
            <w:r w:rsidRPr="00D10FAD">
              <w:rPr>
                <w:sz w:val="22"/>
                <w:szCs w:val="22"/>
              </w:rPr>
              <w:t xml:space="preserve">able to make a ‘fresh start’ by falling within the scope of the revised monetary eligibility criteria. </w:t>
            </w:r>
          </w:p>
        </w:tc>
      </w:tr>
      <w:tr w:rsidR="00AE6D20" w:rsidRPr="00633593" w14:paraId="1D9B78AE" w14:textId="77777777" w:rsidTr="00D10FAD">
        <w:trPr>
          <w:trHeight w:hRule="exact" w:val="4517"/>
        </w:trPr>
        <w:tc>
          <w:tcPr>
            <w:tcW w:w="10296" w:type="dxa"/>
            <w:gridSpan w:val="2"/>
            <w:shd w:val="clear" w:color="auto" w:fill="auto"/>
            <w:tcMar>
              <w:top w:w="28" w:type="dxa"/>
            </w:tcMar>
          </w:tcPr>
          <w:p w14:paraId="0CF5D43E" w14:textId="77777777" w:rsidR="00AE6D20" w:rsidRPr="00D10FAD" w:rsidRDefault="0072504E">
            <w:pPr>
              <w:rPr>
                <w:sz w:val="22"/>
                <w:szCs w:val="22"/>
              </w:rPr>
            </w:pPr>
            <w:r w:rsidRPr="00D10FAD">
              <w:rPr>
                <w:b/>
                <w:sz w:val="22"/>
                <w:szCs w:val="22"/>
              </w:rPr>
              <w:t>What policy options have been considered, including any alternatives to regulation?  Please justify preferred option (further details in Evidence Base)</w:t>
            </w:r>
            <w:r w:rsidR="00E3724A" w:rsidRPr="00D10FAD">
              <w:rPr>
                <w:b/>
                <w:sz w:val="22"/>
                <w:szCs w:val="22"/>
              </w:rPr>
              <w:t xml:space="preserve"> </w:t>
            </w:r>
            <w:r w:rsidR="00E3724A" w:rsidRPr="00D10FAD">
              <w:rPr>
                <w:sz w:val="22"/>
                <w:szCs w:val="22"/>
              </w:rPr>
              <w:t>(10 lines maximum)</w:t>
            </w:r>
          </w:p>
          <w:p w14:paraId="4DDC0EF6" w14:textId="77777777" w:rsidR="00595E41" w:rsidRPr="00D10FAD" w:rsidRDefault="00595E41">
            <w:pPr>
              <w:rPr>
                <w:sz w:val="22"/>
                <w:szCs w:val="22"/>
              </w:rPr>
            </w:pPr>
            <w:r w:rsidRPr="00D10FAD">
              <w:rPr>
                <w:b/>
                <w:sz w:val="22"/>
                <w:szCs w:val="22"/>
              </w:rPr>
              <w:t>Option 1: Do Nothing:</w:t>
            </w:r>
            <w:r w:rsidR="004D3D8B" w:rsidRPr="00D10FAD">
              <w:rPr>
                <w:sz w:val="22"/>
                <w:szCs w:val="22"/>
              </w:rPr>
              <w:t xml:space="preserve"> This would mean the continued existence in Northern Ireland of a cohort </w:t>
            </w:r>
            <w:r w:rsidRPr="00D10FAD">
              <w:rPr>
                <w:sz w:val="22"/>
                <w:szCs w:val="22"/>
              </w:rPr>
              <w:t xml:space="preserve">of financially distressed individuals with no prospect of being able to pay their creditors who </w:t>
            </w:r>
            <w:r w:rsidR="004D3D8B" w:rsidRPr="00D10FAD">
              <w:rPr>
                <w:sz w:val="22"/>
                <w:szCs w:val="22"/>
              </w:rPr>
              <w:t>cannot a</w:t>
            </w:r>
            <w:r w:rsidRPr="00D10FAD">
              <w:rPr>
                <w:sz w:val="22"/>
                <w:szCs w:val="22"/>
              </w:rPr>
              <w:t xml:space="preserve">ccess appropriate debt relief when they would be able to </w:t>
            </w:r>
            <w:r w:rsidR="004D3D8B" w:rsidRPr="00D10FAD">
              <w:rPr>
                <w:sz w:val="22"/>
                <w:szCs w:val="22"/>
              </w:rPr>
              <w:t xml:space="preserve">do so </w:t>
            </w:r>
            <w:proofErr w:type="gramStart"/>
            <w:r w:rsidRPr="00D10FAD">
              <w:rPr>
                <w:sz w:val="22"/>
                <w:szCs w:val="22"/>
              </w:rPr>
              <w:t>it</w:t>
            </w:r>
            <w:proofErr w:type="gramEnd"/>
            <w:r w:rsidRPr="00D10FAD">
              <w:rPr>
                <w:sz w:val="22"/>
                <w:szCs w:val="22"/>
              </w:rPr>
              <w:t xml:space="preserve"> they were living in England or Wales. </w:t>
            </w:r>
          </w:p>
          <w:p w14:paraId="0E36D54D" w14:textId="62CD4FC6" w:rsidR="00110CDD" w:rsidRPr="00D10FAD" w:rsidRDefault="00595E41" w:rsidP="00110CDD">
            <w:pPr>
              <w:rPr>
                <w:sz w:val="22"/>
                <w:szCs w:val="22"/>
              </w:rPr>
            </w:pPr>
            <w:r w:rsidRPr="00D10FAD">
              <w:rPr>
                <w:b/>
                <w:sz w:val="22"/>
                <w:szCs w:val="22"/>
              </w:rPr>
              <w:t>Option 2: Non-regulatory option:</w:t>
            </w:r>
            <w:r w:rsidRPr="00D10FAD">
              <w:rPr>
                <w:sz w:val="22"/>
                <w:szCs w:val="22"/>
              </w:rPr>
              <w:t xml:space="preserve"> One option </w:t>
            </w:r>
            <w:r w:rsidR="004D3D8B" w:rsidRPr="00D10FAD">
              <w:rPr>
                <w:sz w:val="22"/>
                <w:szCs w:val="22"/>
              </w:rPr>
              <w:t xml:space="preserve">would be </w:t>
            </w:r>
            <w:r w:rsidRPr="00D10FAD">
              <w:rPr>
                <w:sz w:val="22"/>
                <w:szCs w:val="22"/>
              </w:rPr>
              <w:t xml:space="preserve">to increase awareness and use of </w:t>
            </w:r>
            <w:r w:rsidR="004D3D8B" w:rsidRPr="00D10FAD">
              <w:rPr>
                <w:sz w:val="22"/>
                <w:szCs w:val="22"/>
              </w:rPr>
              <w:t>Debt Relief Orders (</w:t>
            </w:r>
            <w:r w:rsidRPr="00D10FAD">
              <w:rPr>
                <w:sz w:val="22"/>
                <w:szCs w:val="22"/>
              </w:rPr>
              <w:t>DROs</w:t>
            </w:r>
            <w:r w:rsidR="004D3D8B" w:rsidRPr="00D10FAD">
              <w:rPr>
                <w:sz w:val="22"/>
                <w:szCs w:val="22"/>
              </w:rPr>
              <w:t>)</w:t>
            </w:r>
            <w:r w:rsidRPr="00D10FAD">
              <w:rPr>
                <w:sz w:val="22"/>
                <w:szCs w:val="22"/>
              </w:rPr>
              <w:t>. However, compared with legislative change, the monetary limits w</w:t>
            </w:r>
            <w:r w:rsidR="004D3D8B" w:rsidRPr="00D10FAD">
              <w:rPr>
                <w:sz w:val="22"/>
                <w:szCs w:val="22"/>
              </w:rPr>
              <w:t xml:space="preserve">ould </w:t>
            </w:r>
            <w:r w:rsidRPr="00D10FAD">
              <w:rPr>
                <w:sz w:val="22"/>
                <w:szCs w:val="22"/>
              </w:rPr>
              <w:t>still act as a barrier to those with debts of between £20,000 and £</w:t>
            </w:r>
            <w:r w:rsidR="007F7FCE">
              <w:rPr>
                <w:sz w:val="22"/>
                <w:szCs w:val="22"/>
              </w:rPr>
              <w:t>5</w:t>
            </w:r>
            <w:r w:rsidRPr="00D10FAD">
              <w:rPr>
                <w:sz w:val="22"/>
                <w:szCs w:val="22"/>
              </w:rPr>
              <w:t xml:space="preserve">0,000, </w:t>
            </w:r>
            <w:r w:rsidR="00EB2436" w:rsidRPr="00D10FAD">
              <w:rPr>
                <w:sz w:val="22"/>
                <w:szCs w:val="22"/>
              </w:rPr>
              <w:t xml:space="preserve">monthly </w:t>
            </w:r>
            <w:r w:rsidRPr="00D10FAD">
              <w:rPr>
                <w:sz w:val="22"/>
                <w:szCs w:val="22"/>
              </w:rPr>
              <w:t xml:space="preserve">surplus income between £50-£75, assets valued between £1,000 and £2,000 </w:t>
            </w:r>
            <w:r w:rsidR="00110CDD" w:rsidRPr="00D10FAD">
              <w:rPr>
                <w:sz w:val="22"/>
                <w:szCs w:val="22"/>
              </w:rPr>
              <w:t>and a motor vehicle worth between £</w:t>
            </w:r>
            <w:r w:rsidR="007F7FCE">
              <w:rPr>
                <w:sz w:val="22"/>
                <w:szCs w:val="22"/>
              </w:rPr>
              <w:t>2</w:t>
            </w:r>
            <w:r w:rsidR="00110CDD" w:rsidRPr="00D10FAD">
              <w:rPr>
                <w:sz w:val="22"/>
                <w:szCs w:val="22"/>
              </w:rPr>
              <w:t>,000 and £</w:t>
            </w:r>
            <w:r w:rsidR="007F7FCE">
              <w:rPr>
                <w:sz w:val="22"/>
                <w:szCs w:val="22"/>
              </w:rPr>
              <w:t>4</w:t>
            </w:r>
            <w:r w:rsidR="00110CDD" w:rsidRPr="00D10FAD">
              <w:rPr>
                <w:sz w:val="22"/>
                <w:szCs w:val="22"/>
              </w:rPr>
              <w:t>,000</w:t>
            </w:r>
            <w:r w:rsidRPr="00D10FAD">
              <w:rPr>
                <w:sz w:val="22"/>
                <w:szCs w:val="22"/>
              </w:rPr>
              <w:t>. Another alternative</w:t>
            </w:r>
            <w:r w:rsidR="00110CDD" w:rsidRPr="00D10FAD">
              <w:rPr>
                <w:sz w:val="22"/>
                <w:szCs w:val="22"/>
              </w:rPr>
              <w:t xml:space="preserve"> would be </w:t>
            </w:r>
            <w:r w:rsidRPr="00D10FAD">
              <w:rPr>
                <w:sz w:val="22"/>
                <w:szCs w:val="22"/>
              </w:rPr>
              <w:t xml:space="preserve">for the Government to work with creditors to encourage increased use of forbearance, however this is not a long-term solution and does not provide the desired debt relief to those who need a fresh start. </w:t>
            </w:r>
          </w:p>
          <w:p w14:paraId="68A1ADF5" w14:textId="77777777" w:rsidR="0072504E" w:rsidRPr="00D10FAD" w:rsidRDefault="00595E41" w:rsidP="00110CDD">
            <w:pPr>
              <w:rPr>
                <w:sz w:val="22"/>
                <w:szCs w:val="22"/>
              </w:rPr>
            </w:pPr>
            <w:r w:rsidRPr="00D10FAD">
              <w:rPr>
                <w:b/>
                <w:sz w:val="22"/>
                <w:szCs w:val="22"/>
              </w:rPr>
              <w:t>Option 3: Preferred option:</w:t>
            </w:r>
            <w:r w:rsidRPr="00D10FAD">
              <w:rPr>
                <w:sz w:val="22"/>
                <w:szCs w:val="22"/>
              </w:rPr>
              <w:t xml:space="preserve"> The preferred option is to introduce new measures via s</w:t>
            </w:r>
            <w:r w:rsidR="00110CDD" w:rsidRPr="00D10FAD">
              <w:rPr>
                <w:sz w:val="22"/>
                <w:szCs w:val="22"/>
              </w:rPr>
              <w:t>ubordinate</w:t>
            </w:r>
            <w:r w:rsidRPr="00D10FAD">
              <w:rPr>
                <w:sz w:val="22"/>
                <w:szCs w:val="22"/>
              </w:rPr>
              <w:t xml:space="preserve"> legislation. This is the preferred and only option to achieve the policy objective; to give more people </w:t>
            </w:r>
            <w:r w:rsidR="00110CDD" w:rsidRPr="00D10FAD">
              <w:rPr>
                <w:sz w:val="22"/>
                <w:szCs w:val="22"/>
              </w:rPr>
              <w:t xml:space="preserve">in Northern Ireland </w:t>
            </w:r>
            <w:r w:rsidRPr="00D10FAD">
              <w:rPr>
                <w:sz w:val="22"/>
                <w:szCs w:val="22"/>
              </w:rPr>
              <w:t xml:space="preserve">with low-level assets, low surplus income and low levels of debt, who are experiencing financial distress, </w:t>
            </w:r>
            <w:r w:rsidR="00110CDD" w:rsidRPr="00D10FAD">
              <w:rPr>
                <w:sz w:val="22"/>
                <w:szCs w:val="22"/>
              </w:rPr>
              <w:t xml:space="preserve">the same </w:t>
            </w:r>
            <w:r w:rsidRPr="00D10FAD">
              <w:rPr>
                <w:sz w:val="22"/>
                <w:szCs w:val="22"/>
              </w:rPr>
              <w:t>access to a suitable option for debt relief</w:t>
            </w:r>
            <w:r w:rsidR="00110CDD" w:rsidRPr="00D10FAD">
              <w:rPr>
                <w:sz w:val="22"/>
                <w:szCs w:val="22"/>
              </w:rPr>
              <w:t xml:space="preserve"> as they would have In England and Wales.</w:t>
            </w:r>
          </w:p>
        </w:tc>
      </w:tr>
      <w:tr w:rsidR="0072504E" w:rsidRPr="00633593" w14:paraId="3EF5150B" w14:textId="77777777" w:rsidTr="00BD27DD">
        <w:trPr>
          <w:trHeight w:hRule="exact" w:val="421"/>
        </w:trPr>
        <w:tc>
          <w:tcPr>
            <w:tcW w:w="5495" w:type="dxa"/>
            <w:shd w:val="clear" w:color="auto" w:fill="auto"/>
          </w:tcPr>
          <w:p w14:paraId="70717B88" w14:textId="77777777" w:rsidR="0072504E" w:rsidRPr="00633593" w:rsidRDefault="0072504E">
            <w:pPr>
              <w:rPr>
                <w:sz w:val="22"/>
                <w:szCs w:val="22"/>
              </w:rPr>
            </w:pPr>
            <w:r w:rsidRPr="00633593">
              <w:rPr>
                <w:b/>
                <w:sz w:val="22"/>
                <w:szCs w:val="22"/>
              </w:rPr>
              <w:t>Will the policy be reviewed?</w:t>
            </w:r>
            <w:bookmarkStart w:id="3" w:name="Dropdown4"/>
            <w:r w:rsidRPr="00633593">
              <w:rPr>
                <w:sz w:val="22"/>
                <w:szCs w:val="22"/>
              </w:rPr>
              <w:t xml:space="preserve">  </w:t>
            </w:r>
            <w:bookmarkEnd w:id="3"/>
            <w:r w:rsidR="004904DE" w:rsidRPr="00633593">
              <w:rPr>
                <w:sz w:val="22"/>
                <w:szCs w:val="22"/>
              </w:rPr>
              <w:fldChar w:fldCharType="begin">
                <w:ffData>
                  <w:name w:val=""/>
                  <w:enabled/>
                  <w:calcOnExit w:val="0"/>
                  <w:ddList>
                    <w:listEntry w:val="It will be reviewed"/>
                    <w:listEntry w:val="It will not be reviewed"/>
                  </w:ddList>
                </w:ffData>
              </w:fldChar>
            </w:r>
            <w:r w:rsidR="00E3724A" w:rsidRPr="00633593">
              <w:rPr>
                <w:sz w:val="22"/>
                <w:szCs w:val="22"/>
              </w:rPr>
              <w:instrText xml:space="preserve"> FORMDROPDOWN </w:instrText>
            </w:r>
            <w:r w:rsidR="00E56F31">
              <w:rPr>
                <w:sz w:val="22"/>
                <w:szCs w:val="22"/>
              </w:rPr>
            </w:r>
            <w:r w:rsidR="00E56F31">
              <w:rPr>
                <w:sz w:val="22"/>
                <w:szCs w:val="22"/>
              </w:rPr>
              <w:fldChar w:fldCharType="separate"/>
            </w:r>
            <w:r w:rsidR="004904DE" w:rsidRPr="00633593">
              <w:rPr>
                <w:sz w:val="22"/>
                <w:szCs w:val="22"/>
              </w:rPr>
              <w:fldChar w:fldCharType="end"/>
            </w:r>
          </w:p>
        </w:tc>
        <w:tc>
          <w:tcPr>
            <w:tcW w:w="4801" w:type="dxa"/>
            <w:shd w:val="clear" w:color="auto" w:fill="auto"/>
          </w:tcPr>
          <w:p w14:paraId="4C9D05D2" w14:textId="63DCB697" w:rsidR="0072504E" w:rsidRPr="00633593" w:rsidRDefault="0072504E" w:rsidP="00B76939">
            <w:pPr>
              <w:rPr>
                <w:sz w:val="22"/>
                <w:szCs w:val="22"/>
              </w:rPr>
            </w:pPr>
            <w:r w:rsidRPr="00633593">
              <w:rPr>
                <w:b/>
                <w:sz w:val="22"/>
                <w:szCs w:val="22"/>
              </w:rPr>
              <w:t xml:space="preserve">If applicable, set review date: </w:t>
            </w:r>
            <w:r w:rsidR="007F7FCE" w:rsidRPr="007F7FCE">
              <w:rPr>
                <w:bCs/>
                <w:sz w:val="22"/>
                <w:szCs w:val="22"/>
              </w:rPr>
              <w:t>4</w:t>
            </w:r>
            <w:r w:rsidR="00110CDD" w:rsidRPr="00633593">
              <w:rPr>
                <w:sz w:val="22"/>
                <w:szCs w:val="22"/>
              </w:rPr>
              <w:t>/</w:t>
            </w:r>
            <w:r w:rsidR="00110CDD" w:rsidRPr="00D10FAD">
              <w:rPr>
                <w:sz w:val="22"/>
                <w:szCs w:val="22"/>
              </w:rPr>
              <w:t>202</w:t>
            </w:r>
            <w:r w:rsidR="007F7FCE">
              <w:rPr>
                <w:sz w:val="22"/>
                <w:szCs w:val="22"/>
              </w:rPr>
              <w:t>9</w:t>
            </w:r>
          </w:p>
        </w:tc>
      </w:tr>
    </w:tbl>
    <w:p w14:paraId="5B3512F9" w14:textId="77777777" w:rsidR="00AE6D20" w:rsidRDefault="00AE6D20">
      <w:pPr>
        <w:rPr>
          <w:sz w:val="22"/>
          <w:szCs w:val="22"/>
        </w:rPr>
      </w:pPr>
    </w:p>
    <w:p w14:paraId="7D8F8778" w14:textId="77777777" w:rsidR="00606F37" w:rsidRDefault="00606F37">
      <w:pPr>
        <w:rPr>
          <w:sz w:val="22"/>
          <w:szCs w:val="22"/>
        </w:rPr>
      </w:pPr>
    </w:p>
    <w:p w14:paraId="53BA157A" w14:textId="77777777" w:rsidR="00606F37" w:rsidRPr="00D10FAD" w:rsidRDefault="00606F3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432"/>
        <w:gridCol w:w="3433"/>
        <w:gridCol w:w="3431"/>
      </w:tblGrid>
      <w:tr w:rsidR="00A73C2D" w:rsidRPr="00633593" w14:paraId="2890CD20" w14:textId="77777777" w:rsidTr="001577E1">
        <w:tc>
          <w:tcPr>
            <w:tcW w:w="5000" w:type="pct"/>
            <w:gridSpan w:val="3"/>
            <w:shd w:val="clear" w:color="auto" w:fill="E6E6E6"/>
            <w:tcMar>
              <w:top w:w="57" w:type="dxa"/>
            </w:tcMar>
          </w:tcPr>
          <w:p w14:paraId="1E25BB57" w14:textId="77777777" w:rsidR="00A73C2D" w:rsidRPr="00633593" w:rsidRDefault="00A73C2D" w:rsidP="001577E1">
            <w:pPr>
              <w:jc w:val="center"/>
              <w:rPr>
                <w:b/>
                <w:sz w:val="22"/>
                <w:szCs w:val="22"/>
              </w:rPr>
            </w:pPr>
            <w:r w:rsidRPr="00633593">
              <w:rPr>
                <w:b/>
                <w:sz w:val="22"/>
                <w:szCs w:val="22"/>
              </w:rPr>
              <w:lastRenderedPageBreak/>
              <w:t>Cost of Preferred (or more likely) Option</w:t>
            </w:r>
          </w:p>
        </w:tc>
      </w:tr>
      <w:tr w:rsidR="00A73C2D" w:rsidRPr="00633593" w14:paraId="63E04091" w14:textId="77777777" w:rsidTr="001577E1">
        <w:tc>
          <w:tcPr>
            <w:tcW w:w="1667" w:type="pct"/>
            <w:shd w:val="clear" w:color="auto" w:fill="E6E6E6"/>
            <w:tcMar>
              <w:top w:w="57" w:type="dxa"/>
            </w:tcMar>
          </w:tcPr>
          <w:p w14:paraId="561A1A44" w14:textId="60BB2783" w:rsidR="00A73C2D" w:rsidRPr="00D10FAD" w:rsidRDefault="00A73C2D">
            <w:pPr>
              <w:rPr>
                <w:sz w:val="22"/>
                <w:szCs w:val="22"/>
              </w:rPr>
            </w:pPr>
            <w:r w:rsidRPr="00D10FAD">
              <w:rPr>
                <w:b/>
                <w:sz w:val="22"/>
                <w:szCs w:val="22"/>
              </w:rPr>
              <w:t xml:space="preserve">Total outlay cost for </w:t>
            </w:r>
            <w:proofErr w:type="gramStart"/>
            <w:r w:rsidRPr="00D10FAD">
              <w:rPr>
                <w:b/>
                <w:sz w:val="22"/>
                <w:szCs w:val="22"/>
              </w:rPr>
              <w:t xml:space="preserve">business  </w:t>
            </w:r>
            <w:r w:rsidRPr="00D10FAD">
              <w:rPr>
                <w:sz w:val="22"/>
                <w:szCs w:val="22"/>
              </w:rPr>
              <w:t>£</w:t>
            </w:r>
            <w:proofErr w:type="gramEnd"/>
          </w:p>
        </w:tc>
        <w:tc>
          <w:tcPr>
            <w:tcW w:w="1667" w:type="pct"/>
            <w:shd w:val="clear" w:color="auto" w:fill="E6E6E6"/>
            <w:tcMar>
              <w:top w:w="57" w:type="dxa"/>
            </w:tcMar>
          </w:tcPr>
          <w:p w14:paraId="426E9425" w14:textId="06E7C860" w:rsidR="00A73C2D" w:rsidRPr="00D10FAD" w:rsidRDefault="00A73C2D" w:rsidP="00FB254B">
            <w:pPr>
              <w:rPr>
                <w:sz w:val="22"/>
                <w:szCs w:val="22"/>
              </w:rPr>
            </w:pPr>
            <w:r w:rsidRPr="00D10FAD">
              <w:rPr>
                <w:b/>
                <w:sz w:val="22"/>
                <w:szCs w:val="22"/>
              </w:rPr>
              <w:t xml:space="preserve">Total net cost to business per year </w:t>
            </w:r>
            <w:r w:rsidRPr="00D10FAD">
              <w:rPr>
                <w:sz w:val="22"/>
                <w:szCs w:val="22"/>
              </w:rPr>
              <w:t>£</w:t>
            </w:r>
          </w:p>
        </w:tc>
        <w:tc>
          <w:tcPr>
            <w:tcW w:w="1666" w:type="pct"/>
            <w:shd w:val="clear" w:color="auto" w:fill="E6E6E6"/>
            <w:tcMar>
              <w:top w:w="57" w:type="dxa"/>
            </w:tcMar>
          </w:tcPr>
          <w:p w14:paraId="2736296F" w14:textId="04FEC10D" w:rsidR="00A73C2D" w:rsidRPr="00D10FAD" w:rsidRDefault="00A73C2D" w:rsidP="00126611">
            <w:pPr>
              <w:rPr>
                <w:sz w:val="22"/>
                <w:szCs w:val="22"/>
              </w:rPr>
            </w:pPr>
            <w:r w:rsidRPr="00D10FAD">
              <w:rPr>
                <w:b/>
                <w:sz w:val="22"/>
                <w:szCs w:val="22"/>
              </w:rPr>
              <w:t>Annual cost for implementation by Regulator</w:t>
            </w:r>
            <w:r w:rsidRPr="00D10FAD">
              <w:rPr>
                <w:sz w:val="22"/>
                <w:szCs w:val="22"/>
              </w:rPr>
              <w:t xml:space="preserve"> £</w:t>
            </w:r>
          </w:p>
        </w:tc>
      </w:tr>
      <w:tr w:rsidR="00A73C2D" w:rsidRPr="00633593" w14:paraId="4A391096" w14:textId="77777777" w:rsidTr="006B0D71">
        <w:trPr>
          <w:trHeight w:hRule="exact" w:val="607"/>
        </w:trPr>
        <w:tc>
          <w:tcPr>
            <w:tcW w:w="1667" w:type="pct"/>
            <w:shd w:val="clear" w:color="auto" w:fill="E6E6E6"/>
            <w:tcMar>
              <w:top w:w="57" w:type="dxa"/>
            </w:tcMar>
          </w:tcPr>
          <w:p w14:paraId="576CEA69" w14:textId="57D3017B" w:rsidR="00A73C2D" w:rsidRPr="00D10FAD" w:rsidRDefault="006B0D71" w:rsidP="007F7FCE">
            <w:pPr>
              <w:rPr>
                <w:sz w:val="22"/>
                <w:szCs w:val="22"/>
              </w:rPr>
            </w:pPr>
            <w:r w:rsidRPr="00D10FAD">
              <w:rPr>
                <w:sz w:val="22"/>
                <w:szCs w:val="22"/>
              </w:rPr>
              <w:t xml:space="preserve">Zero. There are no outlay costs </w:t>
            </w:r>
            <w:r w:rsidR="007F7FCE">
              <w:rPr>
                <w:sz w:val="22"/>
                <w:szCs w:val="22"/>
              </w:rPr>
              <w:t>for business</w:t>
            </w:r>
            <w:r w:rsidRPr="00D10FAD">
              <w:rPr>
                <w:sz w:val="22"/>
                <w:szCs w:val="22"/>
              </w:rPr>
              <w:t>.</w:t>
            </w:r>
          </w:p>
        </w:tc>
        <w:tc>
          <w:tcPr>
            <w:tcW w:w="1667" w:type="pct"/>
            <w:shd w:val="clear" w:color="auto" w:fill="E6E6E6"/>
            <w:tcMar>
              <w:top w:w="57" w:type="dxa"/>
            </w:tcMar>
          </w:tcPr>
          <w:p w14:paraId="0869A939" w14:textId="27B185AD" w:rsidR="00A73C2D" w:rsidRPr="00496294" w:rsidRDefault="006B0D71">
            <w:pPr>
              <w:rPr>
                <w:sz w:val="22"/>
                <w:szCs w:val="22"/>
              </w:rPr>
            </w:pPr>
            <w:r w:rsidRPr="00496294">
              <w:rPr>
                <w:sz w:val="22"/>
                <w:szCs w:val="22"/>
              </w:rPr>
              <w:t>2</w:t>
            </w:r>
            <w:r w:rsidR="00496294" w:rsidRPr="00496294">
              <w:rPr>
                <w:sz w:val="22"/>
                <w:szCs w:val="22"/>
              </w:rPr>
              <w:t>29</w:t>
            </w:r>
            <w:r w:rsidRPr="00496294">
              <w:rPr>
                <w:sz w:val="22"/>
                <w:szCs w:val="22"/>
              </w:rPr>
              <w:t>,</w:t>
            </w:r>
            <w:r w:rsidR="00496294" w:rsidRPr="00496294">
              <w:rPr>
                <w:sz w:val="22"/>
                <w:szCs w:val="22"/>
              </w:rPr>
              <w:t>425</w:t>
            </w:r>
          </w:p>
        </w:tc>
        <w:tc>
          <w:tcPr>
            <w:tcW w:w="1666" w:type="pct"/>
            <w:shd w:val="clear" w:color="auto" w:fill="E6E6E6"/>
            <w:tcMar>
              <w:top w:w="57" w:type="dxa"/>
            </w:tcMar>
          </w:tcPr>
          <w:p w14:paraId="588D9279" w14:textId="4F394BE0" w:rsidR="00A73C2D" w:rsidRPr="00D10FAD" w:rsidRDefault="00FD6321">
            <w:pPr>
              <w:rPr>
                <w:sz w:val="22"/>
                <w:szCs w:val="22"/>
              </w:rPr>
            </w:pPr>
            <w:r>
              <w:rPr>
                <w:sz w:val="22"/>
                <w:szCs w:val="22"/>
              </w:rPr>
              <w:t>87</w:t>
            </w:r>
            <w:r w:rsidR="00FC33DD" w:rsidRPr="00D10FAD">
              <w:rPr>
                <w:sz w:val="22"/>
                <w:szCs w:val="22"/>
              </w:rPr>
              <w:t>,</w:t>
            </w:r>
            <w:r w:rsidR="00056D09">
              <w:rPr>
                <w:sz w:val="22"/>
                <w:szCs w:val="22"/>
              </w:rPr>
              <w:t>5</w:t>
            </w:r>
            <w:r>
              <w:rPr>
                <w:sz w:val="22"/>
                <w:szCs w:val="22"/>
              </w:rPr>
              <w:t>00</w:t>
            </w:r>
          </w:p>
        </w:tc>
      </w:tr>
    </w:tbl>
    <w:p w14:paraId="0A3E2229" w14:textId="16070139" w:rsidR="0072504E" w:rsidRPr="00D10FAD" w:rsidRDefault="007250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48"/>
        <w:gridCol w:w="1620"/>
        <w:gridCol w:w="1800"/>
        <w:gridCol w:w="1800"/>
        <w:gridCol w:w="1728"/>
      </w:tblGrid>
      <w:tr w:rsidR="0009497A" w:rsidRPr="00633593" w14:paraId="6A95C564" w14:textId="77777777" w:rsidTr="001577E1">
        <w:tc>
          <w:tcPr>
            <w:tcW w:w="6768" w:type="dxa"/>
            <w:gridSpan w:val="3"/>
            <w:shd w:val="clear" w:color="auto" w:fill="E6E6E6"/>
            <w:tcMar>
              <w:top w:w="57" w:type="dxa"/>
              <w:bottom w:w="57" w:type="dxa"/>
            </w:tcMar>
          </w:tcPr>
          <w:p w14:paraId="0CB1464E" w14:textId="77777777" w:rsidR="0009497A" w:rsidRPr="00D10FAD" w:rsidRDefault="0009497A">
            <w:pPr>
              <w:rPr>
                <w:b/>
                <w:sz w:val="22"/>
                <w:szCs w:val="22"/>
              </w:rPr>
            </w:pPr>
            <w:r w:rsidRPr="00D10FAD">
              <w:rPr>
                <w:b/>
                <w:sz w:val="22"/>
                <w:szCs w:val="22"/>
              </w:rPr>
              <w:t>Does Implementation go beyond minimum EU requirements?</w:t>
            </w:r>
          </w:p>
        </w:tc>
        <w:tc>
          <w:tcPr>
            <w:tcW w:w="1800" w:type="dxa"/>
            <w:shd w:val="clear" w:color="auto" w:fill="E6E6E6"/>
            <w:tcMar>
              <w:top w:w="57" w:type="dxa"/>
              <w:bottom w:w="57" w:type="dxa"/>
            </w:tcMar>
          </w:tcPr>
          <w:p w14:paraId="07E2D5C9" w14:textId="77777777" w:rsidR="0009497A" w:rsidRPr="00633593" w:rsidRDefault="008B64E0">
            <w:pPr>
              <w:rPr>
                <w:b/>
                <w:sz w:val="22"/>
                <w:szCs w:val="22"/>
              </w:rPr>
            </w:pPr>
            <w:r w:rsidRPr="00633593">
              <w:rPr>
                <w:b/>
                <w:sz w:val="22"/>
                <w:szCs w:val="22"/>
              </w:rPr>
              <w:t>YES</w:t>
            </w:r>
            <w:r w:rsidR="0009497A" w:rsidRPr="00633593">
              <w:rPr>
                <w:b/>
                <w:sz w:val="22"/>
                <w:szCs w:val="22"/>
              </w:rPr>
              <w:t xml:space="preserve"> </w:t>
            </w:r>
            <w:bookmarkStart w:id="4" w:name="Check1"/>
            <w:r w:rsidR="004904DE" w:rsidRPr="00633593">
              <w:rPr>
                <w:b/>
                <w:sz w:val="22"/>
                <w:szCs w:val="22"/>
              </w:rPr>
              <w:fldChar w:fldCharType="begin">
                <w:ffData>
                  <w:name w:val="Check1"/>
                  <w:enabled/>
                  <w:calcOnExit w:val="0"/>
                  <w:checkBox>
                    <w:sizeAuto/>
                    <w:default w:val="0"/>
                    <w:checked w:val="0"/>
                  </w:checkBox>
                </w:ffData>
              </w:fldChar>
            </w:r>
            <w:r w:rsidR="003403CC" w:rsidRPr="00633593">
              <w:rPr>
                <w:b/>
                <w:sz w:val="22"/>
                <w:szCs w:val="22"/>
              </w:rPr>
              <w:instrText xml:space="preserve"> FORMCHECKBOX </w:instrText>
            </w:r>
            <w:r w:rsidR="00E56F31">
              <w:rPr>
                <w:b/>
                <w:sz w:val="22"/>
                <w:szCs w:val="22"/>
              </w:rPr>
            </w:r>
            <w:r w:rsidR="00E56F31">
              <w:rPr>
                <w:b/>
                <w:sz w:val="22"/>
                <w:szCs w:val="22"/>
              </w:rPr>
              <w:fldChar w:fldCharType="separate"/>
            </w:r>
            <w:r w:rsidR="004904DE" w:rsidRPr="00633593">
              <w:rPr>
                <w:b/>
                <w:sz w:val="22"/>
                <w:szCs w:val="22"/>
              </w:rPr>
              <w:fldChar w:fldCharType="end"/>
            </w:r>
            <w:bookmarkEnd w:id="4"/>
          </w:p>
        </w:tc>
        <w:tc>
          <w:tcPr>
            <w:tcW w:w="1728" w:type="dxa"/>
            <w:shd w:val="clear" w:color="auto" w:fill="E6E6E6"/>
            <w:tcMar>
              <w:top w:w="57" w:type="dxa"/>
              <w:bottom w:w="57" w:type="dxa"/>
            </w:tcMar>
          </w:tcPr>
          <w:p w14:paraId="24304362" w14:textId="3C40CFB6" w:rsidR="0009497A" w:rsidRPr="00633593" w:rsidRDefault="008B64E0" w:rsidP="00110CDD">
            <w:pPr>
              <w:rPr>
                <w:b/>
                <w:sz w:val="22"/>
                <w:szCs w:val="22"/>
              </w:rPr>
            </w:pPr>
            <w:r w:rsidRPr="00633593">
              <w:rPr>
                <w:b/>
                <w:sz w:val="22"/>
                <w:szCs w:val="22"/>
              </w:rPr>
              <w:t>NO</w:t>
            </w:r>
            <w:r w:rsidR="0009497A" w:rsidRPr="00633593">
              <w:rPr>
                <w:b/>
                <w:sz w:val="22"/>
                <w:szCs w:val="22"/>
              </w:rPr>
              <w:t xml:space="preserve"> </w:t>
            </w:r>
            <w:r w:rsidR="00636052" w:rsidRPr="00633593">
              <w:rPr>
                <w:b/>
                <w:sz w:val="22"/>
                <w:szCs w:val="22"/>
              </w:rPr>
              <w:fldChar w:fldCharType="begin">
                <w:ffData>
                  <w:name w:val="Check2"/>
                  <w:enabled/>
                  <w:calcOnExit w:val="0"/>
                  <w:checkBox>
                    <w:sizeAuto/>
                    <w:default w:val="1"/>
                  </w:checkBox>
                </w:ffData>
              </w:fldChar>
            </w:r>
            <w:r w:rsidR="00636052" w:rsidRPr="00633593">
              <w:rPr>
                <w:b/>
                <w:sz w:val="22"/>
                <w:szCs w:val="22"/>
              </w:rPr>
              <w:instrText xml:space="preserve"> FORMCHECKBOX </w:instrText>
            </w:r>
            <w:r w:rsidR="00E56F31">
              <w:rPr>
                <w:b/>
                <w:sz w:val="22"/>
                <w:szCs w:val="22"/>
              </w:rPr>
            </w:r>
            <w:r w:rsidR="00E56F31">
              <w:rPr>
                <w:b/>
                <w:sz w:val="22"/>
                <w:szCs w:val="22"/>
              </w:rPr>
              <w:fldChar w:fldCharType="separate"/>
            </w:r>
            <w:r w:rsidR="00636052" w:rsidRPr="00633593">
              <w:rPr>
                <w:b/>
                <w:sz w:val="22"/>
                <w:szCs w:val="22"/>
              </w:rPr>
              <w:fldChar w:fldCharType="end"/>
            </w:r>
          </w:p>
        </w:tc>
      </w:tr>
      <w:tr w:rsidR="008B64E0" w:rsidRPr="00633593" w14:paraId="77CE4DBE" w14:textId="77777777" w:rsidTr="008B64E0">
        <w:tc>
          <w:tcPr>
            <w:tcW w:w="6768" w:type="dxa"/>
            <w:gridSpan w:val="3"/>
            <w:shd w:val="clear" w:color="auto" w:fill="E6E6E6"/>
            <w:tcMar>
              <w:top w:w="57" w:type="dxa"/>
              <w:bottom w:w="57" w:type="dxa"/>
            </w:tcMar>
          </w:tcPr>
          <w:p w14:paraId="0EC26F6A" w14:textId="77777777" w:rsidR="008B64E0" w:rsidRPr="00D10FAD" w:rsidRDefault="008B64E0">
            <w:pPr>
              <w:rPr>
                <w:b/>
                <w:sz w:val="22"/>
                <w:szCs w:val="22"/>
              </w:rPr>
            </w:pPr>
            <w:r w:rsidRPr="00D10FAD">
              <w:rPr>
                <w:b/>
                <w:iCs/>
                <w:sz w:val="22"/>
                <w:szCs w:val="22"/>
              </w:rPr>
              <w:t>Is this measure likely to impact on trade and investment?</w:t>
            </w:r>
          </w:p>
        </w:tc>
        <w:tc>
          <w:tcPr>
            <w:tcW w:w="1800" w:type="dxa"/>
            <w:shd w:val="clear" w:color="auto" w:fill="E6E6E6"/>
            <w:tcMar>
              <w:top w:w="57" w:type="dxa"/>
              <w:bottom w:w="57" w:type="dxa"/>
            </w:tcMar>
          </w:tcPr>
          <w:p w14:paraId="5438E011" w14:textId="77777777" w:rsidR="008B64E0" w:rsidRPr="00633593" w:rsidRDefault="008B64E0">
            <w:pPr>
              <w:rPr>
                <w:b/>
                <w:sz w:val="22"/>
                <w:szCs w:val="22"/>
              </w:rPr>
            </w:pPr>
            <w:r w:rsidRPr="00633593">
              <w:rPr>
                <w:b/>
                <w:sz w:val="22"/>
                <w:szCs w:val="22"/>
              </w:rPr>
              <w:t xml:space="preserve">YES </w:t>
            </w:r>
            <w:r w:rsidRPr="00633593">
              <w:rPr>
                <w:b/>
                <w:sz w:val="22"/>
                <w:szCs w:val="22"/>
              </w:rPr>
              <w:fldChar w:fldCharType="begin">
                <w:ffData>
                  <w:name w:val="Check1"/>
                  <w:enabled/>
                  <w:calcOnExit w:val="0"/>
                  <w:checkBox>
                    <w:sizeAuto/>
                    <w:default w:val="0"/>
                    <w:checked w:val="0"/>
                  </w:checkBox>
                </w:ffData>
              </w:fldChar>
            </w:r>
            <w:r w:rsidRPr="00633593">
              <w:rPr>
                <w:b/>
                <w:sz w:val="22"/>
                <w:szCs w:val="22"/>
              </w:rPr>
              <w:instrText xml:space="preserve"> FORMCHECKBOX </w:instrText>
            </w:r>
            <w:r w:rsidR="00E56F31">
              <w:rPr>
                <w:b/>
                <w:sz w:val="22"/>
                <w:szCs w:val="22"/>
              </w:rPr>
            </w:r>
            <w:r w:rsidR="00E56F31">
              <w:rPr>
                <w:b/>
                <w:sz w:val="22"/>
                <w:szCs w:val="22"/>
              </w:rPr>
              <w:fldChar w:fldCharType="separate"/>
            </w:r>
            <w:r w:rsidRPr="00633593">
              <w:rPr>
                <w:b/>
                <w:sz w:val="22"/>
                <w:szCs w:val="22"/>
              </w:rPr>
              <w:fldChar w:fldCharType="end"/>
            </w:r>
          </w:p>
        </w:tc>
        <w:tc>
          <w:tcPr>
            <w:tcW w:w="1728" w:type="dxa"/>
            <w:shd w:val="clear" w:color="auto" w:fill="E6E6E6"/>
          </w:tcPr>
          <w:p w14:paraId="24F8CC9C" w14:textId="06C68AA9" w:rsidR="008B64E0" w:rsidRPr="00633593" w:rsidRDefault="008B64E0" w:rsidP="00FB254B">
            <w:pPr>
              <w:rPr>
                <w:b/>
                <w:sz w:val="22"/>
                <w:szCs w:val="22"/>
              </w:rPr>
            </w:pPr>
            <w:r w:rsidRPr="00633593">
              <w:rPr>
                <w:b/>
                <w:sz w:val="22"/>
                <w:szCs w:val="22"/>
              </w:rPr>
              <w:t xml:space="preserve">NO </w:t>
            </w:r>
            <w:r w:rsidR="00636052" w:rsidRPr="00633593">
              <w:rPr>
                <w:b/>
                <w:sz w:val="22"/>
                <w:szCs w:val="22"/>
              </w:rPr>
              <w:fldChar w:fldCharType="begin">
                <w:ffData>
                  <w:name w:val="Check2"/>
                  <w:enabled/>
                  <w:calcOnExit w:val="0"/>
                  <w:checkBox>
                    <w:sizeAuto/>
                    <w:default w:val="1"/>
                  </w:checkBox>
                </w:ffData>
              </w:fldChar>
            </w:r>
            <w:r w:rsidR="00636052" w:rsidRPr="00633593">
              <w:rPr>
                <w:b/>
                <w:sz w:val="22"/>
                <w:szCs w:val="22"/>
              </w:rPr>
              <w:instrText xml:space="preserve"> </w:instrText>
            </w:r>
            <w:bookmarkStart w:id="5" w:name="Check2"/>
            <w:r w:rsidR="00636052" w:rsidRPr="00633593">
              <w:rPr>
                <w:b/>
                <w:sz w:val="22"/>
                <w:szCs w:val="22"/>
              </w:rPr>
              <w:instrText xml:space="preserve">FORMCHECKBOX </w:instrText>
            </w:r>
            <w:r w:rsidR="00E56F31">
              <w:rPr>
                <w:b/>
                <w:sz w:val="22"/>
                <w:szCs w:val="22"/>
              </w:rPr>
            </w:r>
            <w:r w:rsidR="00E56F31">
              <w:rPr>
                <w:b/>
                <w:sz w:val="22"/>
                <w:szCs w:val="22"/>
              </w:rPr>
              <w:fldChar w:fldCharType="separate"/>
            </w:r>
            <w:r w:rsidR="00636052" w:rsidRPr="00633593">
              <w:rPr>
                <w:b/>
                <w:sz w:val="22"/>
                <w:szCs w:val="22"/>
              </w:rPr>
              <w:fldChar w:fldCharType="end"/>
            </w:r>
            <w:bookmarkEnd w:id="5"/>
          </w:p>
        </w:tc>
      </w:tr>
      <w:tr w:rsidR="00A73C2D" w:rsidRPr="00633593" w14:paraId="0D1057A6" w14:textId="77777777" w:rsidTr="001577E1">
        <w:tc>
          <w:tcPr>
            <w:tcW w:w="3348" w:type="dxa"/>
            <w:shd w:val="clear" w:color="auto" w:fill="E6E6E6"/>
            <w:tcMar>
              <w:top w:w="57" w:type="dxa"/>
              <w:bottom w:w="57" w:type="dxa"/>
            </w:tcMar>
          </w:tcPr>
          <w:p w14:paraId="40896065" w14:textId="77777777" w:rsidR="00A73C2D" w:rsidRPr="00633593" w:rsidRDefault="0009497A">
            <w:pPr>
              <w:rPr>
                <w:sz w:val="22"/>
                <w:szCs w:val="22"/>
              </w:rPr>
            </w:pPr>
            <w:r w:rsidRPr="00633593">
              <w:rPr>
                <w:sz w:val="22"/>
                <w:szCs w:val="22"/>
              </w:rPr>
              <w:t>Are any of these organisations in scope?</w:t>
            </w:r>
          </w:p>
        </w:tc>
        <w:tc>
          <w:tcPr>
            <w:tcW w:w="1620" w:type="dxa"/>
            <w:shd w:val="clear" w:color="auto" w:fill="E6E6E6"/>
            <w:tcMar>
              <w:top w:w="57" w:type="dxa"/>
              <w:bottom w:w="57" w:type="dxa"/>
            </w:tcMar>
          </w:tcPr>
          <w:p w14:paraId="7143CB98" w14:textId="77777777" w:rsidR="00A73C2D" w:rsidRPr="00633593" w:rsidRDefault="0009497A">
            <w:pPr>
              <w:rPr>
                <w:b/>
                <w:sz w:val="22"/>
                <w:szCs w:val="22"/>
              </w:rPr>
            </w:pPr>
            <w:r w:rsidRPr="00633593">
              <w:rPr>
                <w:b/>
                <w:sz w:val="22"/>
                <w:szCs w:val="22"/>
              </w:rPr>
              <w:t>Micro</w:t>
            </w:r>
          </w:p>
          <w:p w14:paraId="50E67C4E" w14:textId="7A89AEF4" w:rsidR="0009497A" w:rsidRPr="00633593" w:rsidRDefault="0009497A" w:rsidP="00FB254B">
            <w:pPr>
              <w:rPr>
                <w:sz w:val="22"/>
                <w:szCs w:val="22"/>
              </w:rPr>
            </w:pPr>
            <w:r w:rsidRPr="00633593">
              <w:rPr>
                <w:sz w:val="22"/>
                <w:szCs w:val="22"/>
              </w:rPr>
              <w:t xml:space="preserve">Yes </w:t>
            </w:r>
            <w:bookmarkStart w:id="6" w:name="Check9"/>
            <w:r w:rsidR="00636052" w:rsidRPr="00633593">
              <w:rPr>
                <w:sz w:val="22"/>
                <w:szCs w:val="22"/>
              </w:rPr>
              <w:fldChar w:fldCharType="begin">
                <w:ffData>
                  <w:name w:val=""/>
                  <w:enabled/>
                  <w:calcOnExit w:val="0"/>
                  <w:checkBox>
                    <w:sizeAuto/>
                    <w:default w:val="1"/>
                  </w:checkBox>
                </w:ffData>
              </w:fldChar>
            </w:r>
            <w:r w:rsidR="00636052" w:rsidRPr="00633593">
              <w:rPr>
                <w:sz w:val="22"/>
                <w:szCs w:val="22"/>
              </w:rPr>
              <w:instrText xml:space="preserve"> FORMCHECKBOX </w:instrText>
            </w:r>
            <w:r w:rsidR="00E56F31">
              <w:rPr>
                <w:sz w:val="22"/>
                <w:szCs w:val="22"/>
              </w:rPr>
            </w:r>
            <w:r w:rsidR="00E56F31">
              <w:rPr>
                <w:sz w:val="22"/>
                <w:szCs w:val="22"/>
              </w:rPr>
              <w:fldChar w:fldCharType="separate"/>
            </w:r>
            <w:r w:rsidR="00636052" w:rsidRPr="00633593">
              <w:rPr>
                <w:sz w:val="22"/>
                <w:szCs w:val="22"/>
              </w:rPr>
              <w:fldChar w:fldCharType="end"/>
            </w:r>
            <w:bookmarkEnd w:id="6"/>
            <w:r w:rsidRPr="00633593">
              <w:rPr>
                <w:sz w:val="22"/>
                <w:szCs w:val="22"/>
              </w:rPr>
              <w:t xml:space="preserve"> No </w:t>
            </w:r>
            <w:r w:rsidR="004904DE" w:rsidRPr="00633593">
              <w:rPr>
                <w:sz w:val="22"/>
                <w:szCs w:val="22"/>
              </w:rPr>
              <w:fldChar w:fldCharType="begin">
                <w:ffData>
                  <w:name w:val="Check10"/>
                  <w:enabled/>
                  <w:calcOnExit w:val="0"/>
                  <w:checkBox>
                    <w:sizeAuto/>
                    <w:default w:val="0"/>
                  </w:checkBox>
                </w:ffData>
              </w:fldChar>
            </w:r>
            <w:bookmarkStart w:id="7" w:name="Check10"/>
            <w:r w:rsidRPr="00633593">
              <w:rPr>
                <w:sz w:val="22"/>
                <w:szCs w:val="22"/>
              </w:rPr>
              <w:instrText xml:space="preserve"> FORMCHECKBOX </w:instrText>
            </w:r>
            <w:r w:rsidR="00E56F31">
              <w:rPr>
                <w:sz w:val="22"/>
                <w:szCs w:val="22"/>
              </w:rPr>
            </w:r>
            <w:r w:rsidR="00E56F31">
              <w:rPr>
                <w:sz w:val="22"/>
                <w:szCs w:val="22"/>
              </w:rPr>
              <w:fldChar w:fldCharType="separate"/>
            </w:r>
            <w:r w:rsidR="004904DE" w:rsidRPr="00633593">
              <w:rPr>
                <w:sz w:val="22"/>
                <w:szCs w:val="22"/>
              </w:rPr>
              <w:fldChar w:fldCharType="end"/>
            </w:r>
            <w:bookmarkEnd w:id="7"/>
          </w:p>
        </w:tc>
        <w:tc>
          <w:tcPr>
            <w:tcW w:w="1800" w:type="dxa"/>
            <w:shd w:val="clear" w:color="auto" w:fill="E6E6E6"/>
            <w:tcMar>
              <w:top w:w="57" w:type="dxa"/>
              <w:bottom w:w="57" w:type="dxa"/>
            </w:tcMar>
          </w:tcPr>
          <w:p w14:paraId="353BA05E" w14:textId="77777777" w:rsidR="00A73C2D" w:rsidRPr="00633593" w:rsidRDefault="0009497A">
            <w:pPr>
              <w:rPr>
                <w:b/>
                <w:sz w:val="22"/>
                <w:szCs w:val="22"/>
              </w:rPr>
            </w:pPr>
            <w:r w:rsidRPr="00633593">
              <w:rPr>
                <w:b/>
                <w:sz w:val="22"/>
                <w:szCs w:val="22"/>
              </w:rPr>
              <w:t>Small</w:t>
            </w:r>
          </w:p>
          <w:p w14:paraId="4B83FC6E" w14:textId="04C7E219" w:rsidR="0009497A" w:rsidRPr="00633593" w:rsidRDefault="0009497A" w:rsidP="00FB254B">
            <w:pPr>
              <w:rPr>
                <w:sz w:val="22"/>
                <w:szCs w:val="22"/>
              </w:rPr>
            </w:pPr>
            <w:r w:rsidRPr="00633593">
              <w:rPr>
                <w:sz w:val="22"/>
                <w:szCs w:val="22"/>
              </w:rPr>
              <w:t xml:space="preserve">Yes </w:t>
            </w:r>
            <w:r w:rsidR="00636052" w:rsidRPr="00633593">
              <w:rPr>
                <w:sz w:val="22"/>
                <w:szCs w:val="22"/>
              </w:rPr>
              <w:fldChar w:fldCharType="begin">
                <w:ffData>
                  <w:name w:val="Check7"/>
                  <w:enabled/>
                  <w:calcOnExit w:val="0"/>
                  <w:checkBox>
                    <w:sizeAuto/>
                    <w:default w:val="1"/>
                  </w:checkBox>
                </w:ffData>
              </w:fldChar>
            </w:r>
            <w:r w:rsidR="00636052" w:rsidRPr="00633593">
              <w:rPr>
                <w:sz w:val="22"/>
                <w:szCs w:val="22"/>
              </w:rPr>
              <w:instrText xml:space="preserve"> </w:instrText>
            </w:r>
            <w:bookmarkStart w:id="8" w:name="Check7"/>
            <w:r w:rsidR="00636052" w:rsidRPr="00633593">
              <w:rPr>
                <w:sz w:val="22"/>
                <w:szCs w:val="22"/>
              </w:rPr>
              <w:instrText xml:space="preserve">FORMCHECKBOX </w:instrText>
            </w:r>
            <w:r w:rsidR="00E56F31">
              <w:rPr>
                <w:sz w:val="22"/>
                <w:szCs w:val="22"/>
              </w:rPr>
            </w:r>
            <w:r w:rsidR="00E56F31">
              <w:rPr>
                <w:sz w:val="22"/>
                <w:szCs w:val="22"/>
              </w:rPr>
              <w:fldChar w:fldCharType="separate"/>
            </w:r>
            <w:r w:rsidR="00636052" w:rsidRPr="00633593">
              <w:rPr>
                <w:sz w:val="22"/>
                <w:szCs w:val="22"/>
              </w:rPr>
              <w:fldChar w:fldCharType="end"/>
            </w:r>
            <w:bookmarkEnd w:id="8"/>
            <w:r w:rsidRPr="00633593">
              <w:rPr>
                <w:sz w:val="22"/>
                <w:szCs w:val="22"/>
              </w:rPr>
              <w:t xml:space="preserve"> No </w:t>
            </w:r>
            <w:r w:rsidR="004904DE" w:rsidRPr="00633593">
              <w:rPr>
                <w:sz w:val="22"/>
                <w:szCs w:val="22"/>
              </w:rPr>
              <w:fldChar w:fldCharType="begin">
                <w:ffData>
                  <w:name w:val="Check8"/>
                  <w:enabled/>
                  <w:calcOnExit w:val="0"/>
                  <w:checkBox>
                    <w:sizeAuto/>
                    <w:default w:val="0"/>
                  </w:checkBox>
                </w:ffData>
              </w:fldChar>
            </w:r>
            <w:bookmarkStart w:id="9" w:name="Check8"/>
            <w:r w:rsidRPr="00633593">
              <w:rPr>
                <w:sz w:val="22"/>
                <w:szCs w:val="22"/>
              </w:rPr>
              <w:instrText xml:space="preserve"> FORMCHECKBOX </w:instrText>
            </w:r>
            <w:r w:rsidR="00E56F31">
              <w:rPr>
                <w:sz w:val="22"/>
                <w:szCs w:val="22"/>
              </w:rPr>
            </w:r>
            <w:r w:rsidR="00E56F31">
              <w:rPr>
                <w:sz w:val="22"/>
                <w:szCs w:val="22"/>
              </w:rPr>
              <w:fldChar w:fldCharType="separate"/>
            </w:r>
            <w:r w:rsidR="004904DE" w:rsidRPr="00633593">
              <w:rPr>
                <w:sz w:val="22"/>
                <w:szCs w:val="22"/>
              </w:rPr>
              <w:fldChar w:fldCharType="end"/>
            </w:r>
            <w:bookmarkEnd w:id="9"/>
          </w:p>
        </w:tc>
        <w:tc>
          <w:tcPr>
            <w:tcW w:w="1800" w:type="dxa"/>
            <w:shd w:val="clear" w:color="auto" w:fill="E6E6E6"/>
            <w:tcMar>
              <w:top w:w="57" w:type="dxa"/>
              <w:bottom w:w="57" w:type="dxa"/>
            </w:tcMar>
          </w:tcPr>
          <w:p w14:paraId="2177F057" w14:textId="77777777" w:rsidR="00A73C2D" w:rsidRPr="00633593" w:rsidRDefault="0009497A">
            <w:pPr>
              <w:rPr>
                <w:b/>
                <w:sz w:val="22"/>
                <w:szCs w:val="22"/>
              </w:rPr>
            </w:pPr>
            <w:r w:rsidRPr="00633593">
              <w:rPr>
                <w:b/>
                <w:sz w:val="22"/>
                <w:szCs w:val="22"/>
              </w:rPr>
              <w:t xml:space="preserve">Medium </w:t>
            </w:r>
          </w:p>
          <w:p w14:paraId="114BEE0F" w14:textId="5413E1A0" w:rsidR="0009497A" w:rsidRPr="00633593" w:rsidRDefault="0009497A" w:rsidP="00FB254B">
            <w:pPr>
              <w:rPr>
                <w:sz w:val="22"/>
                <w:szCs w:val="22"/>
              </w:rPr>
            </w:pPr>
            <w:r w:rsidRPr="00633593">
              <w:rPr>
                <w:sz w:val="22"/>
                <w:szCs w:val="22"/>
              </w:rPr>
              <w:t xml:space="preserve">Yes </w:t>
            </w:r>
            <w:r w:rsidR="00636052" w:rsidRPr="00633593">
              <w:rPr>
                <w:sz w:val="22"/>
                <w:szCs w:val="22"/>
              </w:rPr>
              <w:fldChar w:fldCharType="begin">
                <w:ffData>
                  <w:name w:val="Check5"/>
                  <w:enabled/>
                  <w:calcOnExit w:val="0"/>
                  <w:checkBox>
                    <w:sizeAuto/>
                    <w:default w:val="1"/>
                  </w:checkBox>
                </w:ffData>
              </w:fldChar>
            </w:r>
            <w:r w:rsidR="00636052" w:rsidRPr="00633593">
              <w:rPr>
                <w:sz w:val="22"/>
                <w:szCs w:val="22"/>
              </w:rPr>
              <w:instrText xml:space="preserve"> </w:instrText>
            </w:r>
            <w:bookmarkStart w:id="10" w:name="Check5"/>
            <w:r w:rsidR="00636052" w:rsidRPr="00633593">
              <w:rPr>
                <w:sz w:val="22"/>
                <w:szCs w:val="22"/>
              </w:rPr>
              <w:instrText xml:space="preserve">FORMCHECKBOX </w:instrText>
            </w:r>
            <w:r w:rsidR="00E56F31">
              <w:rPr>
                <w:sz w:val="22"/>
                <w:szCs w:val="22"/>
              </w:rPr>
            </w:r>
            <w:r w:rsidR="00E56F31">
              <w:rPr>
                <w:sz w:val="22"/>
                <w:szCs w:val="22"/>
              </w:rPr>
              <w:fldChar w:fldCharType="separate"/>
            </w:r>
            <w:r w:rsidR="00636052" w:rsidRPr="00633593">
              <w:rPr>
                <w:sz w:val="22"/>
                <w:szCs w:val="22"/>
              </w:rPr>
              <w:fldChar w:fldCharType="end"/>
            </w:r>
            <w:bookmarkEnd w:id="10"/>
            <w:r w:rsidRPr="00633593">
              <w:rPr>
                <w:sz w:val="22"/>
                <w:szCs w:val="22"/>
              </w:rPr>
              <w:t xml:space="preserve"> No </w:t>
            </w:r>
            <w:r w:rsidR="004904DE" w:rsidRPr="00633593">
              <w:rPr>
                <w:sz w:val="22"/>
                <w:szCs w:val="22"/>
              </w:rPr>
              <w:fldChar w:fldCharType="begin">
                <w:ffData>
                  <w:name w:val="Check6"/>
                  <w:enabled/>
                  <w:calcOnExit w:val="0"/>
                  <w:checkBox>
                    <w:sizeAuto/>
                    <w:default w:val="0"/>
                  </w:checkBox>
                </w:ffData>
              </w:fldChar>
            </w:r>
            <w:bookmarkStart w:id="11" w:name="Check6"/>
            <w:r w:rsidRPr="00633593">
              <w:rPr>
                <w:sz w:val="22"/>
                <w:szCs w:val="22"/>
              </w:rPr>
              <w:instrText xml:space="preserve"> FORMCHECKBOX </w:instrText>
            </w:r>
            <w:r w:rsidR="00E56F31">
              <w:rPr>
                <w:sz w:val="22"/>
                <w:szCs w:val="22"/>
              </w:rPr>
            </w:r>
            <w:r w:rsidR="00E56F31">
              <w:rPr>
                <w:sz w:val="22"/>
                <w:szCs w:val="22"/>
              </w:rPr>
              <w:fldChar w:fldCharType="separate"/>
            </w:r>
            <w:r w:rsidR="004904DE" w:rsidRPr="00633593">
              <w:rPr>
                <w:sz w:val="22"/>
                <w:szCs w:val="22"/>
              </w:rPr>
              <w:fldChar w:fldCharType="end"/>
            </w:r>
            <w:bookmarkEnd w:id="11"/>
          </w:p>
        </w:tc>
        <w:tc>
          <w:tcPr>
            <w:tcW w:w="1728" w:type="dxa"/>
            <w:shd w:val="clear" w:color="auto" w:fill="E6E6E6"/>
            <w:tcMar>
              <w:top w:w="57" w:type="dxa"/>
              <w:bottom w:w="57" w:type="dxa"/>
            </w:tcMar>
          </w:tcPr>
          <w:p w14:paraId="28F86E9F" w14:textId="77777777" w:rsidR="00A73C2D" w:rsidRPr="00633593" w:rsidRDefault="0009497A">
            <w:pPr>
              <w:rPr>
                <w:b/>
                <w:sz w:val="22"/>
                <w:szCs w:val="22"/>
              </w:rPr>
            </w:pPr>
            <w:r w:rsidRPr="00633593">
              <w:rPr>
                <w:b/>
                <w:sz w:val="22"/>
                <w:szCs w:val="22"/>
              </w:rPr>
              <w:t>Large</w:t>
            </w:r>
          </w:p>
          <w:p w14:paraId="5DB893F0" w14:textId="00E4C228" w:rsidR="0009497A" w:rsidRPr="00633593" w:rsidRDefault="0009497A" w:rsidP="00FB254B">
            <w:pPr>
              <w:rPr>
                <w:sz w:val="22"/>
                <w:szCs w:val="22"/>
              </w:rPr>
            </w:pPr>
            <w:r w:rsidRPr="00633593">
              <w:rPr>
                <w:sz w:val="22"/>
                <w:szCs w:val="22"/>
              </w:rPr>
              <w:t xml:space="preserve">Yes </w:t>
            </w:r>
            <w:r w:rsidR="00636052" w:rsidRPr="00633593">
              <w:rPr>
                <w:sz w:val="22"/>
                <w:szCs w:val="22"/>
              </w:rPr>
              <w:fldChar w:fldCharType="begin">
                <w:ffData>
                  <w:name w:val="Check3"/>
                  <w:enabled/>
                  <w:calcOnExit w:val="0"/>
                  <w:checkBox>
                    <w:sizeAuto/>
                    <w:default w:val="1"/>
                  </w:checkBox>
                </w:ffData>
              </w:fldChar>
            </w:r>
            <w:r w:rsidR="00636052" w:rsidRPr="00633593">
              <w:rPr>
                <w:sz w:val="22"/>
                <w:szCs w:val="22"/>
              </w:rPr>
              <w:instrText xml:space="preserve"> </w:instrText>
            </w:r>
            <w:bookmarkStart w:id="12" w:name="Check3"/>
            <w:r w:rsidR="00636052" w:rsidRPr="00633593">
              <w:rPr>
                <w:sz w:val="22"/>
                <w:szCs w:val="22"/>
              </w:rPr>
              <w:instrText xml:space="preserve">FORMCHECKBOX </w:instrText>
            </w:r>
            <w:r w:rsidR="00E56F31">
              <w:rPr>
                <w:sz w:val="22"/>
                <w:szCs w:val="22"/>
              </w:rPr>
            </w:r>
            <w:r w:rsidR="00E56F31">
              <w:rPr>
                <w:sz w:val="22"/>
                <w:szCs w:val="22"/>
              </w:rPr>
              <w:fldChar w:fldCharType="separate"/>
            </w:r>
            <w:r w:rsidR="00636052" w:rsidRPr="00633593">
              <w:rPr>
                <w:sz w:val="22"/>
                <w:szCs w:val="22"/>
              </w:rPr>
              <w:fldChar w:fldCharType="end"/>
            </w:r>
            <w:bookmarkEnd w:id="12"/>
            <w:r w:rsidRPr="00633593">
              <w:rPr>
                <w:sz w:val="22"/>
                <w:szCs w:val="22"/>
              </w:rPr>
              <w:t xml:space="preserve"> No </w:t>
            </w:r>
            <w:r w:rsidR="004904DE" w:rsidRPr="00633593">
              <w:rPr>
                <w:sz w:val="22"/>
                <w:szCs w:val="22"/>
              </w:rPr>
              <w:fldChar w:fldCharType="begin">
                <w:ffData>
                  <w:name w:val="Check4"/>
                  <w:enabled/>
                  <w:calcOnExit w:val="0"/>
                  <w:checkBox>
                    <w:sizeAuto/>
                    <w:default w:val="0"/>
                  </w:checkBox>
                </w:ffData>
              </w:fldChar>
            </w:r>
            <w:bookmarkStart w:id="13" w:name="Check4"/>
            <w:r w:rsidRPr="00633593">
              <w:rPr>
                <w:sz w:val="22"/>
                <w:szCs w:val="22"/>
              </w:rPr>
              <w:instrText xml:space="preserve"> FORMCHECKBOX </w:instrText>
            </w:r>
            <w:r w:rsidR="00E56F31">
              <w:rPr>
                <w:sz w:val="22"/>
                <w:szCs w:val="22"/>
              </w:rPr>
            </w:r>
            <w:r w:rsidR="00E56F31">
              <w:rPr>
                <w:sz w:val="22"/>
                <w:szCs w:val="22"/>
              </w:rPr>
              <w:fldChar w:fldCharType="separate"/>
            </w:r>
            <w:r w:rsidR="004904DE" w:rsidRPr="00633593">
              <w:rPr>
                <w:sz w:val="22"/>
                <w:szCs w:val="22"/>
              </w:rPr>
              <w:fldChar w:fldCharType="end"/>
            </w:r>
            <w:bookmarkEnd w:id="13"/>
          </w:p>
        </w:tc>
      </w:tr>
    </w:tbl>
    <w:p w14:paraId="46FF3FA4" w14:textId="77777777" w:rsidR="00A73C2D" w:rsidRPr="00D10FAD" w:rsidRDefault="00A73C2D">
      <w:pPr>
        <w:rPr>
          <w:sz w:val="22"/>
          <w:szCs w:val="22"/>
        </w:rPr>
      </w:pPr>
    </w:p>
    <w:p w14:paraId="4939433B" w14:textId="77777777" w:rsidR="00CF1552" w:rsidRPr="00D10FAD" w:rsidRDefault="00CF1552">
      <w:pPr>
        <w:rPr>
          <w:b/>
          <w:sz w:val="22"/>
          <w:szCs w:val="22"/>
        </w:rPr>
      </w:pPr>
      <w:r w:rsidRPr="00D10FAD">
        <w:rPr>
          <w:b/>
          <w:sz w:val="22"/>
          <w:szCs w:val="22"/>
        </w:rPr>
        <w:t>The final RIA supporting legislation must be attached to the Explanatory Memorandum and published with it.</w:t>
      </w:r>
    </w:p>
    <w:p w14:paraId="4EDFADFD" w14:textId="77777777" w:rsidR="00E56F31" w:rsidRDefault="008517AA">
      <w:pPr>
        <w:rPr>
          <w:sz w:val="22"/>
          <w:szCs w:val="22"/>
        </w:rPr>
      </w:pPr>
      <w:r w:rsidRPr="00D10FAD">
        <w:rPr>
          <w:sz w:val="22"/>
          <w:szCs w:val="22"/>
        </w:rPr>
        <w:t xml:space="preserve">Approved by:  </w:t>
      </w:r>
    </w:p>
    <w:p w14:paraId="270CD8A2" w14:textId="57C0674A" w:rsidR="00E56F31" w:rsidRDefault="00E56F31">
      <w:pPr>
        <w:rPr>
          <w:sz w:val="22"/>
          <w:szCs w:val="22"/>
        </w:rPr>
      </w:pPr>
      <w:r w:rsidRPr="005F0877">
        <w:rPr>
          <w:noProof/>
        </w:rPr>
        <w:pict w14:anchorId="1D091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209.4pt;height:68.4pt;visibility:visible;mso-wrap-style:square">
            <v:imagedata r:id="rId9" o:title=""/>
          </v:shape>
        </w:pict>
      </w:r>
    </w:p>
    <w:p w14:paraId="34D5014E" w14:textId="76229075" w:rsidR="00CF1552" w:rsidRPr="00D10FAD" w:rsidRDefault="00E56F31">
      <w:pPr>
        <w:rPr>
          <w:sz w:val="22"/>
          <w:szCs w:val="22"/>
        </w:rPr>
      </w:pPr>
      <w:r>
        <w:rPr>
          <w:sz w:val="22"/>
          <w:szCs w:val="22"/>
        </w:rPr>
        <w:t>Richard Monds</w:t>
      </w:r>
      <w:r w:rsidR="00CF1552" w:rsidRPr="00D10FAD">
        <w:rPr>
          <w:sz w:val="22"/>
          <w:szCs w:val="22"/>
        </w:rPr>
        <w:t xml:space="preserve">   Date:</w:t>
      </w:r>
      <w:r w:rsidR="008517AA" w:rsidRPr="00D10FAD">
        <w:rPr>
          <w:sz w:val="22"/>
          <w:szCs w:val="22"/>
        </w:rPr>
        <w:t xml:space="preserve"> </w:t>
      </w:r>
      <w:r>
        <w:rPr>
          <w:sz w:val="22"/>
          <w:szCs w:val="22"/>
        </w:rPr>
        <w:t>5 June 2024</w:t>
      </w:r>
    </w:p>
    <w:p w14:paraId="6A9FE320" w14:textId="77777777" w:rsidR="0009497A" w:rsidRPr="00D10FAD" w:rsidRDefault="0009497A">
      <w:pPr>
        <w:rPr>
          <w:sz w:val="22"/>
          <w:szCs w:val="22"/>
        </w:rPr>
        <w:sectPr w:rsidR="0009497A" w:rsidRPr="00D10FAD" w:rsidSect="001641CF">
          <w:pgSz w:w="11906" w:h="16838"/>
          <w:pgMar w:top="540" w:right="926" w:bottom="720" w:left="900" w:header="708" w:footer="708" w:gutter="0"/>
          <w:cols w:space="708"/>
          <w:docGrid w:linePitch="360"/>
        </w:sectPr>
      </w:pPr>
    </w:p>
    <w:p w14:paraId="12D94202" w14:textId="0BC99E06" w:rsidR="0009497A" w:rsidRPr="00D10FAD" w:rsidRDefault="003D6EAD" w:rsidP="00734AB8">
      <w:pPr>
        <w:tabs>
          <w:tab w:val="left" w:pos="7797"/>
        </w:tabs>
        <w:rPr>
          <w:sz w:val="22"/>
          <w:szCs w:val="22"/>
        </w:rPr>
      </w:pPr>
      <w:r w:rsidRPr="00D10FAD">
        <w:rPr>
          <w:sz w:val="22"/>
          <w:szCs w:val="22"/>
        </w:rPr>
        <w:lastRenderedPageBreak/>
        <w:t xml:space="preserve">Summary: Analysis and Evidence </w:t>
      </w:r>
      <w:r w:rsidRPr="00D10FAD">
        <w:rPr>
          <w:sz w:val="22"/>
          <w:szCs w:val="22"/>
        </w:rPr>
        <w:tab/>
        <w:t>Po</w:t>
      </w:r>
      <w:r w:rsidR="00CC0939" w:rsidRPr="00D10FAD">
        <w:rPr>
          <w:sz w:val="22"/>
          <w:szCs w:val="22"/>
        </w:rPr>
        <w:t xml:space="preserve">licy Option </w:t>
      </w:r>
      <w:bookmarkStart w:id="14" w:name="OptionNumber"/>
      <w:r w:rsidR="00636052" w:rsidRPr="00D10FAD">
        <w:rPr>
          <w:sz w:val="22"/>
          <w:szCs w:val="22"/>
        </w:rPr>
        <w:t>1</w:t>
      </w:r>
      <w:bookmarkEnd w:id="14"/>
    </w:p>
    <w:p w14:paraId="33C5F21C" w14:textId="59D696B7" w:rsidR="003D6EAD" w:rsidRPr="00633593" w:rsidRDefault="003D6EAD" w:rsidP="003D6EAD">
      <w:pPr>
        <w:tabs>
          <w:tab w:val="left" w:pos="7920"/>
        </w:tabs>
        <w:rPr>
          <w:sz w:val="22"/>
          <w:szCs w:val="22"/>
        </w:rPr>
      </w:pPr>
      <w:r w:rsidRPr="00633593">
        <w:rPr>
          <w:sz w:val="22"/>
          <w:szCs w:val="22"/>
        </w:rPr>
        <w:t>Description:</w:t>
      </w:r>
      <w:r w:rsidR="00BC6455" w:rsidRPr="00633593">
        <w:rPr>
          <w:sz w:val="22"/>
          <w:szCs w:val="22"/>
        </w:rPr>
        <w:t xml:space="preserve"> </w:t>
      </w:r>
    </w:p>
    <w:p w14:paraId="4BE5FC87" w14:textId="77777777" w:rsidR="003D6EAD" w:rsidRPr="00633593" w:rsidRDefault="003D6EAD" w:rsidP="003D6EAD">
      <w:pPr>
        <w:tabs>
          <w:tab w:val="left" w:pos="7920"/>
        </w:tabs>
        <w:rPr>
          <w:sz w:val="22"/>
          <w:szCs w:val="22"/>
        </w:rPr>
      </w:pPr>
    </w:p>
    <w:p w14:paraId="5115B782" w14:textId="77777777" w:rsidR="002D313A" w:rsidRPr="00633593" w:rsidRDefault="002D313A" w:rsidP="003D6EAD">
      <w:pPr>
        <w:tabs>
          <w:tab w:val="left" w:pos="7920"/>
        </w:tabs>
        <w:rPr>
          <w:sz w:val="22"/>
          <w:szCs w:val="22"/>
        </w:rPr>
      </w:pPr>
    </w:p>
    <w:p w14:paraId="492DE8B7" w14:textId="77777777" w:rsidR="003D6EAD" w:rsidRPr="00633593" w:rsidRDefault="003D6EAD" w:rsidP="003D6EAD">
      <w:pPr>
        <w:tabs>
          <w:tab w:val="left" w:pos="7920"/>
        </w:tabs>
        <w:rPr>
          <w:sz w:val="22"/>
          <w:szCs w:val="22"/>
        </w:rPr>
      </w:pPr>
    </w:p>
    <w:p w14:paraId="0145A34E" w14:textId="080A42EA" w:rsidR="003D6EAD" w:rsidRPr="00633593" w:rsidRDefault="003D6EAD" w:rsidP="003D6EAD">
      <w:pPr>
        <w:tabs>
          <w:tab w:val="left" w:pos="7920"/>
        </w:tabs>
        <w:rPr>
          <w:b/>
          <w:sz w:val="22"/>
          <w:szCs w:val="22"/>
        </w:rPr>
      </w:pPr>
      <w:r w:rsidRPr="00633593">
        <w:rPr>
          <w:b/>
          <w:sz w:val="22"/>
          <w:szCs w:val="22"/>
        </w:rPr>
        <w:t>ECONOMIC ASSESSMENT</w:t>
      </w:r>
      <w:r w:rsidR="00CC0939" w:rsidRPr="00633593">
        <w:rPr>
          <w:b/>
          <w:sz w:val="22"/>
          <w:szCs w:val="22"/>
        </w:rPr>
        <w:t xml:space="preserve"> (Option</w:t>
      </w:r>
      <w:r w:rsidR="00636052" w:rsidRPr="00633593">
        <w:rPr>
          <w:b/>
          <w:sz w:val="22"/>
          <w:szCs w:val="22"/>
        </w:rPr>
        <w:t xml:space="preserve"> 1</w:t>
      </w:r>
      <w:r w:rsidR="00AA4ABF" w:rsidRPr="00633593">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1030"/>
        <w:gridCol w:w="3088"/>
        <w:gridCol w:w="2060"/>
      </w:tblGrid>
      <w:tr w:rsidR="00B34F78" w:rsidRPr="00633593" w14:paraId="44EF65FE" w14:textId="77777777" w:rsidTr="00396F23">
        <w:tc>
          <w:tcPr>
            <w:tcW w:w="2059" w:type="dxa"/>
            <w:tcBorders>
              <w:bottom w:val="nil"/>
            </w:tcBorders>
            <w:shd w:val="clear" w:color="auto" w:fill="auto"/>
          </w:tcPr>
          <w:p w14:paraId="67968D3F" w14:textId="77777777" w:rsidR="00610455" w:rsidRPr="00633593" w:rsidRDefault="00610455" w:rsidP="001577E1">
            <w:pPr>
              <w:tabs>
                <w:tab w:val="left" w:pos="7920"/>
              </w:tabs>
              <w:rPr>
                <w:b/>
                <w:sz w:val="22"/>
                <w:szCs w:val="22"/>
              </w:rPr>
            </w:pPr>
            <w:r w:rsidRPr="00633593">
              <w:rPr>
                <w:b/>
                <w:sz w:val="22"/>
                <w:szCs w:val="22"/>
              </w:rPr>
              <w:t>Costs</w:t>
            </w:r>
            <w:r w:rsidR="002144B3" w:rsidRPr="00633593">
              <w:rPr>
                <w:b/>
                <w:sz w:val="22"/>
                <w:szCs w:val="22"/>
              </w:rPr>
              <w:t xml:space="preserve"> (£m)</w:t>
            </w:r>
          </w:p>
        </w:tc>
        <w:tc>
          <w:tcPr>
            <w:tcW w:w="3089" w:type="dxa"/>
            <w:gridSpan w:val="2"/>
            <w:tcBorders>
              <w:bottom w:val="nil"/>
            </w:tcBorders>
            <w:shd w:val="clear" w:color="auto" w:fill="auto"/>
          </w:tcPr>
          <w:p w14:paraId="15B5A6A5" w14:textId="77777777" w:rsidR="00610455" w:rsidRPr="00633593" w:rsidRDefault="00610455" w:rsidP="001577E1">
            <w:pPr>
              <w:tabs>
                <w:tab w:val="left" w:pos="7920"/>
              </w:tabs>
              <w:rPr>
                <w:b/>
                <w:sz w:val="22"/>
                <w:szCs w:val="22"/>
              </w:rPr>
            </w:pPr>
            <w:r w:rsidRPr="00633593">
              <w:rPr>
                <w:b/>
                <w:sz w:val="22"/>
                <w:szCs w:val="22"/>
              </w:rPr>
              <w:t>Total Transitional (Policy)</w:t>
            </w:r>
          </w:p>
        </w:tc>
        <w:tc>
          <w:tcPr>
            <w:tcW w:w="3088" w:type="dxa"/>
            <w:tcBorders>
              <w:bottom w:val="nil"/>
            </w:tcBorders>
            <w:shd w:val="clear" w:color="auto" w:fill="auto"/>
          </w:tcPr>
          <w:p w14:paraId="74C6D770" w14:textId="77777777" w:rsidR="00610455" w:rsidRPr="00633593" w:rsidRDefault="00610455" w:rsidP="001577E1">
            <w:pPr>
              <w:tabs>
                <w:tab w:val="left" w:pos="7920"/>
              </w:tabs>
              <w:rPr>
                <w:b/>
                <w:sz w:val="22"/>
                <w:szCs w:val="22"/>
              </w:rPr>
            </w:pPr>
            <w:r w:rsidRPr="00633593">
              <w:rPr>
                <w:b/>
                <w:sz w:val="22"/>
                <w:szCs w:val="22"/>
              </w:rPr>
              <w:t>Average Annual (recurring)</w:t>
            </w:r>
          </w:p>
        </w:tc>
        <w:tc>
          <w:tcPr>
            <w:tcW w:w="2060" w:type="dxa"/>
            <w:tcBorders>
              <w:bottom w:val="nil"/>
            </w:tcBorders>
            <w:shd w:val="clear" w:color="auto" w:fill="auto"/>
          </w:tcPr>
          <w:p w14:paraId="0B43D92E" w14:textId="77777777" w:rsidR="00610455" w:rsidRPr="00633593" w:rsidRDefault="00610455" w:rsidP="001577E1">
            <w:pPr>
              <w:tabs>
                <w:tab w:val="left" w:pos="7920"/>
              </w:tabs>
              <w:rPr>
                <w:b/>
                <w:sz w:val="22"/>
                <w:szCs w:val="22"/>
              </w:rPr>
            </w:pPr>
            <w:r w:rsidRPr="00633593">
              <w:rPr>
                <w:b/>
                <w:sz w:val="22"/>
                <w:szCs w:val="22"/>
              </w:rPr>
              <w:t>Total Cost</w:t>
            </w:r>
          </w:p>
        </w:tc>
      </w:tr>
      <w:tr w:rsidR="00B34F78" w:rsidRPr="00633593" w14:paraId="4213A341" w14:textId="77777777" w:rsidTr="00396F23">
        <w:tc>
          <w:tcPr>
            <w:tcW w:w="2059" w:type="dxa"/>
            <w:tcBorders>
              <w:top w:val="nil"/>
            </w:tcBorders>
            <w:shd w:val="clear" w:color="auto" w:fill="auto"/>
          </w:tcPr>
          <w:p w14:paraId="2F28A887" w14:textId="77777777" w:rsidR="00610455" w:rsidRPr="00D10FAD" w:rsidRDefault="00610455" w:rsidP="001577E1">
            <w:pPr>
              <w:tabs>
                <w:tab w:val="left" w:pos="7920"/>
              </w:tabs>
              <w:rPr>
                <w:sz w:val="22"/>
                <w:szCs w:val="22"/>
              </w:rPr>
            </w:pPr>
          </w:p>
        </w:tc>
        <w:tc>
          <w:tcPr>
            <w:tcW w:w="2059" w:type="dxa"/>
            <w:tcBorders>
              <w:top w:val="nil"/>
              <w:right w:val="nil"/>
            </w:tcBorders>
            <w:shd w:val="clear" w:color="auto" w:fill="auto"/>
          </w:tcPr>
          <w:p w14:paraId="45D6020F" w14:textId="77777777" w:rsidR="00610455" w:rsidRPr="00D10FAD" w:rsidRDefault="002144B3" w:rsidP="001577E1">
            <w:pPr>
              <w:tabs>
                <w:tab w:val="left" w:pos="7920"/>
              </w:tabs>
              <w:jc w:val="right"/>
              <w:rPr>
                <w:sz w:val="22"/>
                <w:szCs w:val="22"/>
              </w:rPr>
            </w:pPr>
            <w:r w:rsidRPr="00D10FAD">
              <w:rPr>
                <w:sz w:val="22"/>
                <w:szCs w:val="22"/>
              </w:rPr>
              <w:t>(c</w:t>
            </w:r>
            <w:r w:rsidR="00610455" w:rsidRPr="00D10FAD">
              <w:rPr>
                <w:sz w:val="22"/>
                <w:szCs w:val="22"/>
              </w:rPr>
              <w:t xml:space="preserve">onstant </w:t>
            </w:r>
            <w:r w:rsidRPr="00D10FAD">
              <w:rPr>
                <w:sz w:val="22"/>
                <w:szCs w:val="22"/>
              </w:rPr>
              <w:t>p</w:t>
            </w:r>
            <w:r w:rsidR="00610455" w:rsidRPr="00D10FAD">
              <w:rPr>
                <w:sz w:val="22"/>
                <w:szCs w:val="22"/>
              </w:rPr>
              <w:t>rice</w:t>
            </w:r>
            <w:r w:rsidRPr="00D10FAD">
              <w:rPr>
                <w:sz w:val="22"/>
                <w:szCs w:val="22"/>
              </w:rPr>
              <w:t>)</w:t>
            </w:r>
          </w:p>
        </w:tc>
        <w:tc>
          <w:tcPr>
            <w:tcW w:w="1030" w:type="dxa"/>
            <w:tcBorders>
              <w:top w:val="nil"/>
              <w:left w:val="nil"/>
            </w:tcBorders>
            <w:shd w:val="clear" w:color="auto" w:fill="auto"/>
          </w:tcPr>
          <w:p w14:paraId="3E19CA13" w14:textId="77777777" w:rsidR="00610455" w:rsidRPr="00D10FAD" w:rsidRDefault="00610455" w:rsidP="001577E1">
            <w:pPr>
              <w:tabs>
                <w:tab w:val="left" w:pos="7920"/>
              </w:tabs>
              <w:jc w:val="right"/>
              <w:rPr>
                <w:sz w:val="22"/>
                <w:szCs w:val="22"/>
              </w:rPr>
            </w:pPr>
            <w:r w:rsidRPr="00D10FAD">
              <w:rPr>
                <w:sz w:val="22"/>
                <w:szCs w:val="22"/>
              </w:rPr>
              <w:t>Years</w:t>
            </w:r>
          </w:p>
        </w:tc>
        <w:tc>
          <w:tcPr>
            <w:tcW w:w="3088" w:type="dxa"/>
            <w:tcBorders>
              <w:top w:val="nil"/>
            </w:tcBorders>
            <w:shd w:val="clear" w:color="auto" w:fill="auto"/>
          </w:tcPr>
          <w:p w14:paraId="7E69FF75" w14:textId="77777777" w:rsidR="00610455" w:rsidRPr="00D10FAD" w:rsidRDefault="00610455" w:rsidP="001577E1">
            <w:pPr>
              <w:tabs>
                <w:tab w:val="left" w:pos="7920"/>
              </w:tabs>
              <w:jc w:val="right"/>
              <w:rPr>
                <w:sz w:val="22"/>
                <w:szCs w:val="22"/>
              </w:rPr>
            </w:pPr>
            <w:r w:rsidRPr="00D10FAD">
              <w:rPr>
                <w:sz w:val="22"/>
                <w:szCs w:val="22"/>
              </w:rPr>
              <w:t>(excl. transitional) (constant price)</w:t>
            </w:r>
          </w:p>
        </w:tc>
        <w:tc>
          <w:tcPr>
            <w:tcW w:w="2060" w:type="dxa"/>
            <w:tcBorders>
              <w:top w:val="nil"/>
            </w:tcBorders>
            <w:shd w:val="clear" w:color="auto" w:fill="auto"/>
          </w:tcPr>
          <w:p w14:paraId="437A336D" w14:textId="77777777" w:rsidR="00610455" w:rsidRPr="00D10FAD" w:rsidRDefault="00610455" w:rsidP="001577E1">
            <w:pPr>
              <w:tabs>
                <w:tab w:val="left" w:pos="7920"/>
              </w:tabs>
              <w:jc w:val="right"/>
              <w:rPr>
                <w:sz w:val="22"/>
                <w:szCs w:val="22"/>
              </w:rPr>
            </w:pPr>
            <w:r w:rsidRPr="00D10FAD">
              <w:rPr>
                <w:sz w:val="22"/>
                <w:szCs w:val="22"/>
              </w:rPr>
              <w:t>(Present Value)</w:t>
            </w:r>
          </w:p>
        </w:tc>
      </w:tr>
      <w:tr w:rsidR="00B34F78" w:rsidRPr="00633593" w14:paraId="176AB1A5" w14:textId="77777777" w:rsidTr="00396F23">
        <w:trPr>
          <w:trHeight w:hRule="exact" w:val="255"/>
        </w:trPr>
        <w:tc>
          <w:tcPr>
            <w:tcW w:w="2059" w:type="dxa"/>
            <w:shd w:val="clear" w:color="auto" w:fill="auto"/>
          </w:tcPr>
          <w:p w14:paraId="066AD978" w14:textId="77777777" w:rsidR="002144B3" w:rsidRPr="00633593" w:rsidRDefault="002144B3" w:rsidP="001577E1">
            <w:pPr>
              <w:tabs>
                <w:tab w:val="left" w:pos="7920"/>
              </w:tabs>
              <w:rPr>
                <w:b/>
                <w:sz w:val="22"/>
                <w:szCs w:val="22"/>
              </w:rPr>
            </w:pPr>
            <w:r w:rsidRPr="00633593">
              <w:rPr>
                <w:b/>
                <w:sz w:val="22"/>
                <w:szCs w:val="22"/>
              </w:rPr>
              <w:t>Low</w:t>
            </w:r>
          </w:p>
        </w:tc>
        <w:tc>
          <w:tcPr>
            <w:tcW w:w="2059" w:type="dxa"/>
            <w:shd w:val="clear" w:color="auto" w:fill="auto"/>
            <w:vAlign w:val="center"/>
          </w:tcPr>
          <w:p w14:paraId="4C2596CD" w14:textId="77777777" w:rsidR="002144B3" w:rsidRPr="00633593" w:rsidRDefault="00EB2436" w:rsidP="00735376">
            <w:pPr>
              <w:tabs>
                <w:tab w:val="left" w:pos="7920"/>
              </w:tabs>
              <w:jc w:val="right"/>
              <w:rPr>
                <w:b/>
                <w:sz w:val="22"/>
                <w:szCs w:val="22"/>
              </w:rPr>
            </w:pPr>
            <w:r w:rsidRPr="00633593">
              <w:rPr>
                <w:b/>
                <w:sz w:val="22"/>
                <w:szCs w:val="22"/>
              </w:rPr>
              <w:t>N/A</w:t>
            </w:r>
          </w:p>
        </w:tc>
        <w:tc>
          <w:tcPr>
            <w:tcW w:w="1030" w:type="dxa"/>
            <w:vMerge w:val="restart"/>
            <w:shd w:val="clear" w:color="auto" w:fill="auto"/>
          </w:tcPr>
          <w:p w14:paraId="591717E1" w14:textId="77777777" w:rsidR="002144B3" w:rsidRPr="00633593" w:rsidRDefault="001E201C" w:rsidP="001577E1">
            <w:pPr>
              <w:tabs>
                <w:tab w:val="left" w:pos="7920"/>
              </w:tabs>
              <w:rPr>
                <w:b/>
                <w:sz w:val="22"/>
                <w:szCs w:val="22"/>
              </w:rPr>
            </w:pPr>
            <w:r w:rsidRPr="00633593">
              <w:rPr>
                <w:b/>
                <w:sz w:val="22"/>
                <w:szCs w:val="22"/>
              </w:rPr>
              <w:t>1</w:t>
            </w:r>
          </w:p>
        </w:tc>
        <w:tc>
          <w:tcPr>
            <w:tcW w:w="3088" w:type="dxa"/>
            <w:shd w:val="clear" w:color="auto" w:fill="auto"/>
            <w:vAlign w:val="center"/>
          </w:tcPr>
          <w:p w14:paraId="65FBF1AC" w14:textId="77777777" w:rsidR="002144B3" w:rsidRPr="00D10FAD" w:rsidRDefault="00EB2436" w:rsidP="00EB2436">
            <w:pPr>
              <w:tabs>
                <w:tab w:val="left" w:pos="7920"/>
              </w:tabs>
              <w:jc w:val="right"/>
              <w:rPr>
                <w:b/>
                <w:sz w:val="22"/>
                <w:szCs w:val="22"/>
              </w:rPr>
            </w:pPr>
            <w:r w:rsidRPr="00633593">
              <w:rPr>
                <w:b/>
                <w:sz w:val="22"/>
                <w:szCs w:val="22"/>
              </w:rPr>
              <w:t>N/A</w:t>
            </w:r>
          </w:p>
        </w:tc>
        <w:tc>
          <w:tcPr>
            <w:tcW w:w="2060" w:type="dxa"/>
            <w:shd w:val="clear" w:color="auto" w:fill="auto"/>
            <w:vAlign w:val="center"/>
          </w:tcPr>
          <w:p w14:paraId="0D7332A6" w14:textId="77777777" w:rsidR="002144B3" w:rsidRPr="00D10FAD" w:rsidRDefault="00EB2436" w:rsidP="00EB2436">
            <w:pPr>
              <w:tabs>
                <w:tab w:val="left" w:pos="7920"/>
              </w:tabs>
              <w:jc w:val="right"/>
              <w:rPr>
                <w:b/>
                <w:sz w:val="22"/>
                <w:szCs w:val="22"/>
              </w:rPr>
            </w:pPr>
            <w:r w:rsidRPr="00633593">
              <w:rPr>
                <w:b/>
                <w:sz w:val="22"/>
                <w:szCs w:val="22"/>
              </w:rPr>
              <w:t>N/A</w:t>
            </w:r>
          </w:p>
        </w:tc>
      </w:tr>
      <w:tr w:rsidR="00B34F78" w:rsidRPr="00633593" w14:paraId="4884C7F5" w14:textId="77777777" w:rsidTr="00396F23">
        <w:trPr>
          <w:trHeight w:hRule="exact" w:val="255"/>
        </w:trPr>
        <w:tc>
          <w:tcPr>
            <w:tcW w:w="2059" w:type="dxa"/>
            <w:tcBorders>
              <w:bottom w:val="single" w:sz="12" w:space="0" w:color="auto"/>
            </w:tcBorders>
            <w:shd w:val="clear" w:color="auto" w:fill="auto"/>
          </w:tcPr>
          <w:p w14:paraId="732DC847" w14:textId="77777777" w:rsidR="002144B3" w:rsidRPr="00633593" w:rsidRDefault="002144B3" w:rsidP="001577E1">
            <w:pPr>
              <w:tabs>
                <w:tab w:val="left" w:pos="7920"/>
              </w:tabs>
              <w:rPr>
                <w:b/>
                <w:sz w:val="22"/>
                <w:szCs w:val="22"/>
              </w:rPr>
            </w:pPr>
            <w:r w:rsidRPr="00633593">
              <w:rPr>
                <w:b/>
                <w:sz w:val="22"/>
                <w:szCs w:val="22"/>
              </w:rPr>
              <w:t>High</w:t>
            </w:r>
          </w:p>
        </w:tc>
        <w:tc>
          <w:tcPr>
            <w:tcW w:w="2059" w:type="dxa"/>
            <w:tcBorders>
              <w:bottom w:val="single" w:sz="12" w:space="0" w:color="auto"/>
            </w:tcBorders>
            <w:shd w:val="clear" w:color="auto" w:fill="auto"/>
            <w:vAlign w:val="center"/>
          </w:tcPr>
          <w:p w14:paraId="3E69349E" w14:textId="77777777" w:rsidR="002144B3" w:rsidRPr="00633593" w:rsidRDefault="00EB2436" w:rsidP="009B55F5">
            <w:pPr>
              <w:tabs>
                <w:tab w:val="left" w:pos="7920"/>
              </w:tabs>
              <w:jc w:val="right"/>
              <w:rPr>
                <w:b/>
                <w:sz w:val="22"/>
                <w:szCs w:val="22"/>
              </w:rPr>
            </w:pPr>
            <w:r w:rsidRPr="00633593">
              <w:rPr>
                <w:b/>
                <w:sz w:val="22"/>
                <w:szCs w:val="22"/>
              </w:rPr>
              <w:t>N/A</w:t>
            </w:r>
          </w:p>
        </w:tc>
        <w:tc>
          <w:tcPr>
            <w:tcW w:w="1030" w:type="dxa"/>
            <w:vMerge/>
            <w:tcBorders>
              <w:bottom w:val="single" w:sz="12" w:space="0" w:color="auto"/>
            </w:tcBorders>
            <w:shd w:val="clear" w:color="auto" w:fill="auto"/>
          </w:tcPr>
          <w:p w14:paraId="65146FBB" w14:textId="77777777" w:rsidR="002144B3" w:rsidRPr="00633593" w:rsidRDefault="002144B3" w:rsidP="001577E1">
            <w:pPr>
              <w:tabs>
                <w:tab w:val="left" w:pos="7920"/>
              </w:tabs>
              <w:jc w:val="right"/>
              <w:rPr>
                <w:b/>
                <w:sz w:val="22"/>
                <w:szCs w:val="22"/>
              </w:rPr>
            </w:pPr>
          </w:p>
        </w:tc>
        <w:tc>
          <w:tcPr>
            <w:tcW w:w="3088" w:type="dxa"/>
            <w:tcBorders>
              <w:bottom w:val="single" w:sz="12" w:space="0" w:color="auto"/>
            </w:tcBorders>
            <w:shd w:val="clear" w:color="auto" w:fill="auto"/>
            <w:vAlign w:val="center"/>
          </w:tcPr>
          <w:p w14:paraId="5C0F4D12" w14:textId="77777777" w:rsidR="002144B3" w:rsidRPr="00D10FAD" w:rsidRDefault="00EB2436" w:rsidP="00EB2436">
            <w:pPr>
              <w:tabs>
                <w:tab w:val="left" w:pos="7920"/>
              </w:tabs>
              <w:jc w:val="right"/>
              <w:rPr>
                <w:b/>
                <w:sz w:val="22"/>
                <w:szCs w:val="22"/>
              </w:rPr>
            </w:pPr>
            <w:r w:rsidRPr="00633593">
              <w:rPr>
                <w:b/>
                <w:sz w:val="22"/>
                <w:szCs w:val="22"/>
              </w:rPr>
              <w:t>N/A</w:t>
            </w:r>
          </w:p>
        </w:tc>
        <w:tc>
          <w:tcPr>
            <w:tcW w:w="2060" w:type="dxa"/>
            <w:tcBorders>
              <w:bottom w:val="single" w:sz="12" w:space="0" w:color="auto"/>
            </w:tcBorders>
            <w:shd w:val="clear" w:color="auto" w:fill="auto"/>
            <w:vAlign w:val="center"/>
          </w:tcPr>
          <w:p w14:paraId="520C9A35" w14:textId="77777777" w:rsidR="002144B3" w:rsidRPr="00D10FAD" w:rsidRDefault="00EB2436" w:rsidP="00EB2436">
            <w:pPr>
              <w:tabs>
                <w:tab w:val="left" w:pos="7920"/>
              </w:tabs>
              <w:jc w:val="right"/>
              <w:rPr>
                <w:b/>
                <w:sz w:val="22"/>
                <w:szCs w:val="22"/>
              </w:rPr>
            </w:pPr>
            <w:r w:rsidRPr="00633593">
              <w:rPr>
                <w:b/>
                <w:sz w:val="22"/>
                <w:szCs w:val="22"/>
              </w:rPr>
              <w:t>N/A</w:t>
            </w:r>
          </w:p>
        </w:tc>
      </w:tr>
      <w:tr w:rsidR="00B34F78" w:rsidRPr="0080567C" w14:paraId="2EA5D610" w14:textId="77777777" w:rsidTr="00396F23">
        <w:trPr>
          <w:trHeight w:hRule="exact" w:val="284"/>
        </w:trPr>
        <w:tc>
          <w:tcPr>
            <w:tcW w:w="2059" w:type="dxa"/>
            <w:tcBorders>
              <w:top w:val="single" w:sz="12" w:space="0" w:color="auto"/>
              <w:left w:val="single" w:sz="12" w:space="0" w:color="auto"/>
              <w:bottom w:val="single" w:sz="12" w:space="0" w:color="auto"/>
              <w:right w:val="single" w:sz="12" w:space="0" w:color="auto"/>
            </w:tcBorders>
            <w:shd w:val="clear" w:color="auto" w:fill="auto"/>
          </w:tcPr>
          <w:p w14:paraId="28F7E0A4" w14:textId="77777777" w:rsidR="002144B3" w:rsidRPr="00633593" w:rsidRDefault="002144B3" w:rsidP="001577E1">
            <w:pPr>
              <w:tabs>
                <w:tab w:val="left" w:pos="7920"/>
              </w:tabs>
              <w:rPr>
                <w:b/>
                <w:sz w:val="22"/>
                <w:szCs w:val="22"/>
              </w:rPr>
            </w:pPr>
            <w:r w:rsidRPr="00633593">
              <w:rPr>
                <w:b/>
                <w:sz w:val="22"/>
                <w:szCs w:val="22"/>
              </w:rPr>
              <w:t>Best Estimate</w:t>
            </w:r>
          </w:p>
        </w:tc>
        <w:tc>
          <w:tcPr>
            <w:tcW w:w="2059" w:type="dxa"/>
            <w:tcBorders>
              <w:top w:val="single" w:sz="12" w:space="0" w:color="auto"/>
              <w:left w:val="single" w:sz="12" w:space="0" w:color="auto"/>
              <w:bottom w:val="single" w:sz="12" w:space="0" w:color="auto"/>
              <w:right w:val="single" w:sz="12" w:space="0" w:color="auto"/>
            </w:tcBorders>
            <w:shd w:val="clear" w:color="auto" w:fill="auto"/>
          </w:tcPr>
          <w:p w14:paraId="4871B6DD" w14:textId="21CD961C" w:rsidR="002144B3" w:rsidRPr="00633593" w:rsidRDefault="009B55F5" w:rsidP="001577E1">
            <w:pPr>
              <w:tabs>
                <w:tab w:val="left" w:pos="7920"/>
              </w:tabs>
              <w:jc w:val="right"/>
              <w:rPr>
                <w:b/>
                <w:sz w:val="22"/>
                <w:szCs w:val="22"/>
              </w:rPr>
            </w:pPr>
            <w:r w:rsidRPr="00633593">
              <w:rPr>
                <w:b/>
                <w:sz w:val="22"/>
                <w:szCs w:val="22"/>
              </w:rPr>
              <w:t>4,</w:t>
            </w:r>
            <w:r w:rsidR="007E16B6">
              <w:rPr>
                <w:b/>
                <w:sz w:val="22"/>
                <w:szCs w:val="22"/>
              </w:rPr>
              <w:t>1</w:t>
            </w:r>
            <w:r w:rsidR="007A2CEA">
              <w:rPr>
                <w:b/>
                <w:sz w:val="22"/>
                <w:szCs w:val="22"/>
              </w:rPr>
              <w:t>03</w:t>
            </w:r>
          </w:p>
        </w:tc>
        <w:tc>
          <w:tcPr>
            <w:tcW w:w="1030" w:type="dxa"/>
            <w:vMerge/>
            <w:tcBorders>
              <w:top w:val="single" w:sz="12" w:space="0" w:color="auto"/>
              <w:left w:val="single" w:sz="12" w:space="0" w:color="auto"/>
              <w:bottom w:val="single" w:sz="12" w:space="0" w:color="auto"/>
              <w:right w:val="single" w:sz="12" w:space="0" w:color="auto"/>
            </w:tcBorders>
            <w:shd w:val="clear" w:color="auto" w:fill="auto"/>
          </w:tcPr>
          <w:p w14:paraId="4D811A78" w14:textId="77777777" w:rsidR="002144B3" w:rsidRPr="00633593" w:rsidRDefault="002144B3" w:rsidP="001577E1">
            <w:pPr>
              <w:tabs>
                <w:tab w:val="left" w:pos="7920"/>
              </w:tabs>
              <w:jc w:val="right"/>
              <w:rPr>
                <w:b/>
                <w:sz w:val="22"/>
                <w:szCs w:val="22"/>
              </w:rPr>
            </w:pPr>
          </w:p>
        </w:tc>
        <w:tc>
          <w:tcPr>
            <w:tcW w:w="3088" w:type="dxa"/>
            <w:tcBorders>
              <w:top w:val="single" w:sz="12" w:space="0" w:color="auto"/>
              <w:left w:val="single" w:sz="12" w:space="0" w:color="auto"/>
              <w:bottom w:val="single" w:sz="12" w:space="0" w:color="auto"/>
              <w:right w:val="single" w:sz="12" w:space="0" w:color="auto"/>
            </w:tcBorders>
            <w:shd w:val="clear" w:color="auto" w:fill="auto"/>
          </w:tcPr>
          <w:p w14:paraId="6CE153CB" w14:textId="03917E88" w:rsidR="002144B3" w:rsidRPr="00633593" w:rsidRDefault="00EB2436" w:rsidP="001577E1">
            <w:pPr>
              <w:tabs>
                <w:tab w:val="left" w:pos="7920"/>
              </w:tabs>
              <w:jc w:val="right"/>
              <w:rPr>
                <w:b/>
                <w:sz w:val="22"/>
                <w:szCs w:val="22"/>
              </w:rPr>
            </w:pPr>
            <w:r w:rsidRPr="00633593">
              <w:rPr>
                <w:b/>
                <w:sz w:val="22"/>
                <w:szCs w:val="22"/>
              </w:rPr>
              <w:t>3</w:t>
            </w:r>
            <w:r w:rsidR="0080567C">
              <w:rPr>
                <w:b/>
                <w:sz w:val="22"/>
                <w:szCs w:val="22"/>
              </w:rPr>
              <w:t>48</w:t>
            </w:r>
            <w:r w:rsidRPr="00633593">
              <w:rPr>
                <w:b/>
                <w:sz w:val="22"/>
                <w:szCs w:val="22"/>
              </w:rPr>
              <w:t>,8</w:t>
            </w:r>
            <w:r w:rsidR="0080567C">
              <w:rPr>
                <w:b/>
                <w:sz w:val="22"/>
                <w:szCs w:val="22"/>
              </w:rPr>
              <w:t>6</w:t>
            </w:r>
            <w:r w:rsidRPr="00633593">
              <w:rPr>
                <w:b/>
                <w:sz w:val="22"/>
                <w:szCs w:val="22"/>
              </w:rPr>
              <w:t>0</w:t>
            </w:r>
          </w:p>
        </w:tc>
        <w:tc>
          <w:tcPr>
            <w:tcW w:w="2060" w:type="dxa"/>
            <w:tcBorders>
              <w:top w:val="single" w:sz="12" w:space="0" w:color="auto"/>
              <w:left w:val="single" w:sz="12" w:space="0" w:color="auto"/>
              <w:bottom w:val="single" w:sz="12" w:space="0" w:color="auto"/>
              <w:right w:val="single" w:sz="12" w:space="0" w:color="auto"/>
            </w:tcBorders>
            <w:shd w:val="clear" w:color="auto" w:fill="auto"/>
          </w:tcPr>
          <w:p w14:paraId="1B5889A9" w14:textId="25CED08B" w:rsidR="002144B3" w:rsidRPr="0080567C" w:rsidRDefault="00496294" w:rsidP="00EB2436">
            <w:pPr>
              <w:tabs>
                <w:tab w:val="left" w:pos="7920"/>
              </w:tabs>
              <w:jc w:val="right"/>
              <w:rPr>
                <w:b/>
                <w:sz w:val="22"/>
                <w:szCs w:val="22"/>
                <w:highlight w:val="yellow"/>
              </w:rPr>
            </w:pPr>
            <w:r w:rsidRPr="00496294">
              <w:rPr>
                <w:b/>
                <w:sz w:val="22"/>
                <w:szCs w:val="22"/>
              </w:rPr>
              <w:t>3</w:t>
            </w:r>
            <w:r w:rsidR="00EB2436" w:rsidRPr="00496294">
              <w:rPr>
                <w:b/>
                <w:sz w:val="22"/>
                <w:szCs w:val="22"/>
              </w:rPr>
              <w:t>,</w:t>
            </w:r>
            <w:r w:rsidRPr="00496294">
              <w:rPr>
                <w:b/>
                <w:sz w:val="22"/>
                <w:szCs w:val="22"/>
              </w:rPr>
              <w:t>006</w:t>
            </w:r>
            <w:r w:rsidR="00EB2436" w:rsidRPr="00496294">
              <w:rPr>
                <w:b/>
                <w:sz w:val="22"/>
                <w:szCs w:val="22"/>
              </w:rPr>
              <w:t>.98</w:t>
            </w:r>
            <w:r w:rsidRPr="00496294">
              <w:rPr>
                <w:b/>
                <w:sz w:val="22"/>
                <w:szCs w:val="22"/>
              </w:rPr>
              <w:t>0.5</w:t>
            </w:r>
          </w:p>
        </w:tc>
      </w:tr>
      <w:tr w:rsidR="002144B3" w:rsidRPr="00633593" w14:paraId="5E479550" w14:textId="77777777" w:rsidTr="00396F23">
        <w:trPr>
          <w:trHeight w:hRule="exact" w:val="3407"/>
        </w:trPr>
        <w:tc>
          <w:tcPr>
            <w:tcW w:w="10296" w:type="dxa"/>
            <w:gridSpan w:val="5"/>
            <w:tcBorders>
              <w:top w:val="single" w:sz="12" w:space="0" w:color="auto"/>
            </w:tcBorders>
            <w:shd w:val="clear" w:color="auto" w:fill="auto"/>
          </w:tcPr>
          <w:p w14:paraId="2B11EA19" w14:textId="77777777" w:rsidR="002144B3" w:rsidRPr="00D10FAD" w:rsidRDefault="002144B3" w:rsidP="001577E1">
            <w:pPr>
              <w:tabs>
                <w:tab w:val="left" w:pos="7920"/>
              </w:tabs>
              <w:rPr>
                <w:sz w:val="22"/>
                <w:szCs w:val="22"/>
              </w:rPr>
            </w:pPr>
            <w:r w:rsidRPr="00D10FAD">
              <w:rPr>
                <w:b/>
                <w:sz w:val="22"/>
                <w:szCs w:val="22"/>
              </w:rPr>
              <w:t>Description and scale of key monetised costs by ‘main affected groups’</w:t>
            </w:r>
            <w:r w:rsidR="00BC6455" w:rsidRPr="00D10FAD">
              <w:rPr>
                <w:b/>
                <w:sz w:val="22"/>
                <w:szCs w:val="22"/>
              </w:rPr>
              <w:t xml:space="preserve"> </w:t>
            </w:r>
            <w:r w:rsidRPr="00D10FAD">
              <w:rPr>
                <w:sz w:val="22"/>
                <w:szCs w:val="22"/>
              </w:rPr>
              <w:t>Maximum 5 lines</w:t>
            </w:r>
          </w:p>
          <w:p w14:paraId="694E8317" w14:textId="55AB4F51" w:rsidR="00721C3D" w:rsidRPr="00D10FAD" w:rsidRDefault="005C4004" w:rsidP="00B34F78">
            <w:pPr>
              <w:tabs>
                <w:tab w:val="left" w:pos="7920"/>
              </w:tabs>
              <w:rPr>
                <w:sz w:val="22"/>
                <w:szCs w:val="22"/>
              </w:rPr>
            </w:pPr>
            <w:r w:rsidRPr="00D10FAD">
              <w:rPr>
                <w:sz w:val="22"/>
                <w:szCs w:val="22"/>
              </w:rPr>
              <w:t>- Familiarisation costs for competent authorities include costs to train staff, disseminating information and to update any processing systems; £</w:t>
            </w:r>
            <w:r w:rsidR="0062118C" w:rsidRPr="00D10FAD">
              <w:rPr>
                <w:sz w:val="22"/>
                <w:szCs w:val="22"/>
              </w:rPr>
              <w:t>4,</w:t>
            </w:r>
            <w:r w:rsidR="005F5759">
              <w:rPr>
                <w:sz w:val="22"/>
                <w:szCs w:val="22"/>
              </w:rPr>
              <w:t>1</w:t>
            </w:r>
            <w:r w:rsidR="007A2CEA">
              <w:rPr>
                <w:sz w:val="22"/>
                <w:szCs w:val="22"/>
              </w:rPr>
              <w:t>03</w:t>
            </w:r>
          </w:p>
          <w:p w14:paraId="04080A89" w14:textId="0CD13CD4" w:rsidR="00721C3D" w:rsidRPr="00D10FAD" w:rsidRDefault="005C4004" w:rsidP="00B34F78">
            <w:pPr>
              <w:tabs>
                <w:tab w:val="left" w:pos="7920"/>
              </w:tabs>
              <w:rPr>
                <w:sz w:val="22"/>
                <w:szCs w:val="22"/>
              </w:rPr>
            </w:pPr>
            <w:r w:rsidRPr="00D10FAD">
              <w:rPr>
                <w:sz w:val="22"/>
                <w:szCs w:val="22"/>
              </w:rPr>
              <w:t>- Cost to competent authorities from increased Debt Relief Order demand; £</w:t>
            </w:r>
            <w:r w:rsidR="00FD6321">
              <w:rPr>
                <w:sz w:val="22"/>
                <w:szCs w:val="22"/>
              </w:rPr>
              <w:t>87</w:t>
            </w:r>
            <w:r w:rsidR="0062118C" w:rsidRPr="00D10FAD">
              <w:rPr>
                <w:sz w:val="22"/>
                <w:szCs w:val="22"/>
              </w:rPr>
              <w:t>,</w:t>
            </w:r>
            <w:r w:rsidR="00FD6321">
              <w:rPr>
                <w:sz w:val="22"/>
                <w:szCs w:val="22"/>
              </w:rPr>
              <w:t>500</w:t>
            </w:r>
            <w:r w:rsidRPr="00D10FAD">
              <w:rPr>
                <w:sz w:val="22"/>
                <w:szCs w:val="22"/>
              </w:rPr>
              <w:t xml:space="preserve"> </w:t>
            </w:r>
          </w:p>
          <w:p w14:paraId="4388E2F1" w14:textId="731C64BD" w:rsidR="00721C3D" w:rsidRPr="00D10FAD" w:rsidRDefault="005C4004" w:rsidP="00B34F78">
            <w:pPr>
              <w:tabs>
                <w:tab w:val="left" w:pos="7920"/>
              </w:tabs>
              <w:rPr>
                <w:sz w:val="22"/>
                <w:szCs w:val="22"/>
              </w:rPr>
            </w:pPr>
            <w:r w:rsidRPr="00D10FAD">
              <w:rPr>
                <w:sz w:val="22"/>
                <w:szCs w:val="22"/>
              </w:rPr>
              <w:t>- Cost to creditors from individuals able to access debt relief, where no distribution is made to creditors; £</w:t>
            </w:r>
            <w:r w:rsidR="0062118C" w:rsidRPr="00D10FAD">
              <w:rPr>
                <w:sz w:val="22"/>
                <w:szCs w:val="22"/>
              </w:rPr>
              <w:t>1</w:t>
            </w:r>
            <w:r w:rsidR="00E3343A">
              <w:rPr>
                <w:sz w:val="22"/>
                <w:szCs w:val="22"/>
              </w:rPr>
              <w:t>96</w:t>
            </w:r>
            <w:r w:rsidR="0062118C" w:rsidRPr="00D10FAD">
              <w:rPr>
                <w:sz w:val="22"/>
                <w:szCs w:val="22"/>
              </w:rPr>
              <w:t>,</w:t>
            </w:r>
            <w:r w:rsidR="00E3343A">
              <w:rPr>
                <w:sz w:val="22"/>
                <w:szCs w:val="22"/>
              </w:rPr>
              <w:t>175</w:t>
            </w:r>
          </w:p>
          <w:p w14:paraId="757701BA" w14:textId="72FFAC03" w:rsidR="00721C3D" w:rsidRPr="00D10FAD" w:rsidRDefault="005C4004" w:rsidP="00B34F78">
            <w:pPr>
              <w:tabs>
                <w:tab w:val="left" w:pos="7920"/>
              </w:tabs>
              <w:rPr>
                <w:sz w:val="22"/>
                <w:szCs w:val="22"/>
              </w:rPr>
            </w:pPr>
            <w:r w:rsidRPr="00D10FAD">
              <w:rPr>
                <w:sz w:val="22"/>
                <w:szCs w:val="22"/>
              </w:rPr>
              <w:t xml:space="preserve"> - Insolvency Practitioners (IP) are involved in certain procedures and charge fees to cover their remuneration. The only IP led procedure impacted by the measure is the Individual Voluntary Arrangement (IVA). There is potential that some debtors would now enter a DRO rather than an IVA, resulting in a £</w:t>
            </w:r>
            <w:r w:rsidR="0022764C">
              <w:rPr>
                <w:sz w:val="22"/>
                <w:szCs w:val="22"/>
              </w:rPr>
              <w:t>33</w:t>
            </w:r>
            <w:r w:rsidR="0062118C" w:rsidRPr="00D10FAD">
              <w:rPr>
                <w:sz w:val="22"/>
                <w:szCs w:val="22"/>
              </w:rPr>
              <w:t>,</w:t>
            </w:r>
            <w:r w:rsidR="0022764C">
              <w:rPr>
                <w:sz w:val="22"/>
                <w:szCs w:val="22"/>
              </w:rPr>
              <w:t>250</w:t>
            </w:r>
            <w:r w:rsidRPr="00D10FAD">
              <w:rPr>
                <w:sz w:val="22"/>
                <w:szCs w:val="22"/>
              </w:rPr>
              <w:t xml:space="preserve"> loss of IP fee income. </w:t>
            </w:r>
          </w:p>
          <w:p w14:paraId="718A3607" w14:textId="13F2ED3D" w:rsidR="00441982" w:rsidRPr="00D10FAD" w:rsidRDefault="005C4004" w:rsidP="0062118C">
            <w:pPr>
              <w:tabs>
                <w:tab w:val="left" w:pos="7920"/>
              </w:tabs>
              <w:rPr>
                <w:sz w:val="22"/>
                <w:szCs w:val="22"/>
              </w:rPr>
            </w:pPr>
            <w:r w:rsidRPr="00D10FAD">
              <w:rPr>
                <w:sz w:val="22"/>
                <w:szCs w:val="22"/>
              </w:rPr>
              <w:t>- Total cost to Government creditors from individuals able to access debt relief; £</w:t>
            </w:r>
            <w:r w:rsidR="006E60EC">
              <w:rPr>
                <w:sz w:val="22"/>
                <w:szCs w:val="22"/>
              </w:rPr>
              <w:t>31</w:t>
            </w:r>
            <w:r w:rsidR="0062118C" w:rsidRPr="00D10FAD">
              <w:rPr>
                <w:sz w:val="22"/>
                <w:szCs w:val="22"/>
              </w:rPr>
              <w:t>,</w:t>
            </w:r>
            <w:r w:rsidR="006E60EC">
              <w:rPr>
                <w:sz w:val="22"/>
                <w:szCs w:val="22"/>
              </w:rPr>
              <w:t>935</w:t>
            </w:r>
            <w:r w:rsidRPr="00D10FAD">
              <w:rPr>
                <w:sz w:val="22"/>
                <w:szCs w:val="22"/>
              </w:rPr>
              <w:t xml:space="preserve"> (Non-business impact)</w:t>
            </w:r>
          </w:p>
        </w:tc>
      </w:tr>
      <w:tr w:rsidR="002144B3" w:rsidRPr="00633593" w14:paraId="196A993C" w14:textId="77777777" w:rsidTr="00D10FAD">
        <w:trPr>
          <w:trHeight w:hRule="exact" w:val="604"/>
        </w:trPr>
        <w:tc>
          <w:tcPr>
            <w:tcW w:w="10296" w:type="dxa"/>
            <w:gridSpan w:val="5"/>
            <w:shd w:val="clear" w:color="auto" w:fill="auto"/>
          </w:tcPr>
          <w:p w14:paraId="7B38181E" w14:textId="77777777" w:rsidR="002144B3" w:rsidRPr="00D10FAD" w:rsidRDefault="002144B3" w:rsidP="001577E1">
            <w:pPr>
              <w:tabs>
                <w:tab w:val="left" w:pos="7920"/>
              </w:tabs>
              <w:rPr>
                <w:sz w:val="22"/>
                <w:szCs w:val="22"/>
              </w:rPr>
            </w:pPr>
            <w:r w:rsidRPr="00D10FAD">
              <w:rPr>
                <w:b/>
                <w:sz w:val="22"/>
                <w:szCs w:val="22"/>
              </w:rPr>
              <w:t>Other key non-monetised costs by ‘main affected groups’</w:t>
            </w:r>
            <w:r w:rsidR="00BC6455" w:rsidRPr="00D10FAD">
              <w:rPr>
                <w:b/>
                <w:sz w:val="22"/>
                <w:szCs w:val="22"/>
              </w:rPr>
              <w:t xml:space="preserve"> </w:t>
            </w:r>
            <w:r w:rsidRPr="00D10FAD">
              <w:rPr>
                <w:sz w:val="22"/>
                <w:szCs w:val="22"/>
              </w:rPr>
              <w:t>Maximum 5 lines</w:t>
            </w:r>
          </w:p>
          <w:p w14:paraId="320232FB" w14:textId="77777777" w:rsidR="002144B3" w:rsidRPr="00D10FAD" w:rsidRDefault="00082357" w:rsidP="00082357">
            <w:pPr>
              <w:tabs>
                <w:tab w:val="left" w:pos="7920"/>
              </w:tabs>
              <w:rPr>
                <w:sz w:val="22"/>
                <w:szCs w:val="22"/>
              </w:rPr>
            </w:pPr>
            <w:r w:rsidRPr="00D10FAD">
              <w:rPr>
                <w:sz w:val="22"/>
                <w:szCs w:val="22"/>
              </w:rPr>
              <w:t xml:space="preserve">- None </w:t>
            </w:r>
          </w:p>
        </w:tc>
      </w:tr>
      <w:tr w:rsidR="00B34F78" w:rsidRPr="00633593" w14:paraId="41DC414A" w14:textId="77777777" w:rsidTr="00396F23">
        <w:tc>
          <w:tcPr>
            <w:tcW w:w="2059" w:type="dxa"/>
            <w:tcBorders>
              <w:bottom w:val="nil"/>
            </w:tcBorders>
            <w:shd w:val="clear" w:color="auto" w:fill="auto"/>
          </w:tcPr>
          <w:p w14:paraId="2985424E" w14:textId="77777777" w:rsidR="002144B3" w:rsidRPr="00633593" w:rsidRDefault="002144B3" w:rsidP="001577E1">
            <w:pPr>
              <w:tabs>
                <w:tab w:val="left" w:pos="7920"/>
              </w:tabs>
              <w:rPr>
                <w:b/>
                <w:sz w:val="22"/>
                <w:szCs w:val="22"/>
              </w:rPr>
            </w:pPr>
            <w:r w:rsidRPr="00633593">
              <w:rPr>
                <w:b/>
                <w:sz w:val="22"/>
                <w:szCs w:val="22"/>
              </w:rPr>
              <w:t>Benefits (£m)</w:t>
            </w:r>
          </w:p>
        </w:tc>
        <w:tc>
          <w:tcPr>
            <w:tcW w:w="3089" w:type="dxa"/>
            <w:gridSpan w:val="2"/>
            <w:tcBorders>
              <w:bottom w:val="nil"/>
            </w:tcBorders>
            <w:shd w:val="clear" w:color="auto" w:fill="auto"/>
          </w:tcPr>
          <w:p w14:paraId="784D63F4" w14:textId="77777777" w:rsidR="002144B3" w:rsidRPr="00633593" w:rsidRDefault="002144B3" w:rsidP="001577E1">
            <w:pPr>
              <w:tabs>
                <w:tab w:val="left" w:pos="7920"/>
              </w:tabs>
              <w:rPr>
                <w:b/>
                <w:sz w:val="22"/>
                <w:szCs w:val="22"/>
              </w:rPr>
            </w:pPr>
            <w:r w:rsidRPr="00633593">
              <w:rPr>
                <w:b/>
                <w:sz w:val="22"/>
                <w:szCs w:val="22"/>
              </w:rPr>
              <w:t>Total Transitional (Policy)</w:t>
            </w:r>
          </w:p>
        </w:tc>
        <w:tc>
          <w:tcPr>
            <w:tcW w:w="3088" w:type="dxa"/>
            <w:tcBorders>
              <w:bottom w:val="nil"/>
            </w:tcBorders>
            <w:shd w:val="clear" w:color="auto" w:fill="auto"/>
          </w:tcPr>
          <w:p w14:paraId="4C007BA1" w14:textId="77777777" w:rsidR="002144B3" w:rsidRPr="00633593" w:rsidRDefault="002144B3" w:rsidP="001577E1">
            <w:pPr>
              <w:tabs>
                <w:tab w:val="left" w:pos="7920"/>
              </w:tabs>
              <w:rPr>
                <w:b/>
                <w:sz w:val="22"/>
                <w:szCs w:val="22"/>
              </w:rPr>
            </w:pPr>
            <w:r w:rsidRPr="00633593">
              <w:rPr>
                <w:b/>
                <w:sz w:val="22"/>
                <w:szCs w:val="22"/>
              </w:rPr>
              <w:t>Average Annual (recurring)</w:t>
            </w:r>
          </w:p>
        </w:tc>
        <w:tc>
          <w:tcPr>
            <w:tcW w:w="2060" w:type="dxa"/>
            <w:tcBorders>
              <w:bottom w:val="nil"/>
            </w:tcBorders>
            <w:shd w:val="clear" w:color="auto" w:fill="auto"/>
          </w:tcPr>
          <w:p w14:paraId="4993B038" w14:textId="77777777" w:rsidR="002144B3" w:rsidRPr="00633593" w:rsidRDefault="002144B3" w:rsidP="00F276DB">
            <w:pPr>
              <w:tabs>
                <w:tab w:val="left" w:pos="7920"/>
              </w:tabs>
              <w:rPr>
                <w:b/>
                <w:sz w:val="22"/>
                <w:szCs w:val="22"/>
              </w:rPr>
            </w:pPr>
            <w:r w:rsidRPr="00633593">
              <w:rPr>
                <w:b/>
                <w:sz w:val="22"/>
                <w:szCs w:val="22"/>
              </w:rPr>
              <w:t xml:space="preserve">Total </w:t>
            </w:r>
            <w:r w:rsidR="00F276DB" w:rsidRPr="00633593">
              <w:rPr>
                <w:b/>
                <w:sz w:val="22"/>
                <w:szCs w:val="22"/>
              </w:rPr>
              <w:t>Benefit</w:t>
            </w:r>
          </w:p>
        </w:tc>
      </w:tr>
      <w:tr w:rsidR="00B34F78" w:rsidRPr="00633593" w14:paraId="0BF0223A" w14:textId="77777777" w:rsidTr="00396F23">
        <w:tc>
          <w:tcPr>
            <w:tcW w:w="2059" w:type="dxa"/>
            <w:tcBorders>
              <w:top w:val="nil"/>
            </w:tcBorders>
            <w:shd w:val="clear" w:color="auto" w:fill="auto"/>
          </w:tcPr>
          <w:p w14:paraId="39C191C5" w14:textId="77777777" w:rsidR="002144B3" w:rsidRPr="00633593" w:rsidRDefault="002144B3" w:rsidP="001577E1">
            <w:pPr>
              <w:tabs>
                <w:tab w:val="left" w:pos="7920"/>
              </w:tabs>
              <w:rPr>
                <w:b/>
                <w:sz w:val="22"/>
                <w:szCs w:val="22"/>
              </w:rPr>
            </w:pPr>
          </w:p>
        </w:tc>
        <w:tc>
          <w:tcPr>
            <w:tcW w:w="2059" w:type="dxa"/>
            <w:tcBorders>
              <w:top w:val="nil"/>
              <w:right w:val="nil"/>
            </w:tcBorders>
            <w:shd w:val="clear" w:color="auto" w:fill="auto"/>
          </w:tcPr>
          <w:p w14:paraId="5201FCE5" w14:textId="77777777" w:rsidR="002144B3" w:rsidRPr="00D10FAD" w:rsidRDefault="002144B3" w:rsidP="001577E1">
            <w:pPr>
              <w:tabs>
                <w:tab w:val="left" w:pos="7920"/>
              </w:tabs>
              <w:jc w:val="right"/>
              <w:rPr>
                <w:sz w:val="22"/>
                <w:szCs w:val="22"/>
              </w:rPr>
            </w:pPr>
            <w:r w:rsidRPr="00D10FAD">
              <w:rPr>
                <w:sz w:val="22"/>
                <w:szCs w:val="22"/>
              </w:rPr>
              <w:t>(constant price)</w:t>
            </w:r>
          </w:p>
        </w:tc>
        <w:tc>
          <w:tcPr>
            <w:tcW w:w="1030" w:type="dxa"/>
            <w:tcBorders>
              <w:top w:val="nil"/>
              <w:left w:val="nil"/>
            </w:tcBorders>
            <w:shd w:val="clear" w:color="auto" w:fill="auto"/>
          </w:tcPr>
          <w:p w14:paraId="314FBE3A" w14:textId="77777777" w:rsidR="002144B3" w:rsidRPr="00D10FAD" w:rsidRDefault="002144B3" w:rsidP="001577E1">
            <w:pPr>
              <w:tabs>
                <w:tab w:val="left" w:pos="7920"/>
              </w:tabs>
              <w:jc w:val="right"/>
              <w:rPr>
                <w:sz w:val="22"/>
                <w:szCs w:val="22"/>
              </w:rPr>
            </w:pPr>
            <w:r w:rsidRPr="00D10FAD">
              <w:rPr>
                <w:sz w:val="22"/>
                <w:szCs w:val="22"/>
              </w:rPr>
              <w:t>Years</w:t>
            </w:r>
          </w:p>
        </w:tc>
        <w:tc>
          <w:tcPr>
            <w:tcW w:w="3088" w:type="dxa"/>
            <w:tcBorders>
              <w:top w:val="nil"/>
            </w:tcBorders>
            <w:shd w:val="clear" w:color="auto" w:fill="auto"/>
          </w:tcPr>
          <w:p w14:paraId="5B417329" w14:textId="77777777" w:rsidR="002144B3" w:rsidRPr="00D10FAD" w:rsidRDefault="002144B3" w:rsidP="001577E1">
            <w:pPr>
              <w:tabs>
                <w:tab w:val="left" w:pos="7920"/>
              </w:tabs>
              <w:jc w:val="right"/>
              <w:rPr>
                <w:sz w:val="22"/>
                <w:szCs w:val="22"/>
              </w:rPr>
            </w:pPr>
            <w:r w:rsidRPr="00D10FAD">
              <w:rPr>
                <w:sz w:val="22"/>
                <w:szCs w:val="22"/>
              </w:rPr>
              <w:t>(excl. transitional) (constant price)</w:t>
            </w:r>
          </w:p>
        </w:tc>
        <w:tc>
          <w:tcPr>
            <w:tcW w:w="2060" w:type="dxa"/>
            <w:tcBorders>
              <w:top w:val="nil"/>
            </w:tcBorders>
            <w:shd w:val="clear" w:color="auto" w:fill="auto"/>
          </w:tcPr>
          <w:p w14:paraId="78EBDFA8" w14:textId="77777777" w:rsidR="002144B3" w:rsidRPr="00D10FAD" w:rsidRDefault="002144B3" w:rsidP="001577E1">
            <w:pPr>
              <w:tabs>
                <w:tab w:val="left" w:pos="7920"/>
              </w:tabs>
              <w:jc w:val="right"/>
              <w:rPr>
                <w:sz w:val="22"/>
                <w:szCs w:val="22"/>
              </w:rPr>
            </w:pPr>
            <w:r w:rsidRPr="00D10FAD">
              <w:rPr>
                <w:sz w:val="22"/>
                <w:szCs w:val="22"/>
              </w:rPr>
              <w:t>(Present Value)</w:t>
            </w:r>
          </w:p>
        </w:tc>
      </w:tr>
      <w:tr w:rsidR="00B34F78" w:rsidRPr="00633593" w14:paraId="747C214B" w14:textId="77777777" w:rsidTr="00396F23">
        <w:trPr>
          <w:trHeight w:hRule="exact" w:val="255"/>
        </w:trPr>
        <w:tc>
          <w:tcPr>
            <w:tcW w:w="2059" w:type="dxa"/>
            <w:shd w:val="clear" w:color="auto" w:fill="auto"/>
          </w:tcPr>
          <w:p w14:paraId="165DB7A8" w14:textId="77777777" w:rsidR="002144B3" w:rsidRPr="00633593" w:rsidRDefault="002144B3" w:rsidP="001577E1">
            <w:pPr>
              <w:tabs>
                <w:tab w:val="left" w:pos="7920"/>
              </w:tabs>
              <w:rPr>
                <w:b/>
                <w:sz w:val="22"/>
                <w:szCs w:val="22"/>
              </w:rPr>
            </w:pPr>
            <w:r w:rsidRPr="00633593">
              <w:rPr>
                <w:b/>
                <w:sz w:val="22"/>
                <w:szCs w:val="22"/>
              </w:rPr>
              <w:t>Low</w:t>
            </w:r>
          </w:p>
        </w:tc>
        <w:tc>
          <w:tcPr>
            <w:tcW w:w="2059" w:type="dxa"/>
            <w:shd w:val="clear" w:color="auto" w:fill="auto"/>
          </w:tcPr>
          <w:p w14:paraId="245B5E6E" w14:textId="77777777" w:rsidR="002144B3" w:rsidRPr="00633593" w:rsidRDefault="00510393" w:rsidP="00510393">
            <w:pPr>
              <w:tabs>
                <w:tab w:val="left" w:pos="7920"/>
              </w:tabs>
              <w:jc w:val="right"/>
              <w:rPr>
                <w:b/>
                <w:sz w:val="22"/>
                <w:szCs w:val="22"/>
              </w:rPr>
            </w:pPr>
            <w:r w:rsidRPr="00633593">
              <w:rPr>
                <w:b/>
                <w:sz w:val="22"/>
                <w:szCs w:val="22"/>
              </w:rPr>
              <w:t>N/A</w:t>
            </w:r>
          </w:p>
        </w:tc>
        <w:tc>
          <w:tcPr>
            <w:tcW w:w="1030" w:type="dxa"/>
            <w:vMerge w:val="restart"/>
            <w:shd w:val="clear" w:color="auto" w:fill="auto"/>
          </w:tcPr>
          <w:p w14:paraId="604276DA" w14:textId="77777777" w:rsidR="002144B3" w:rsidRPr="00633593" w:rsidRDefault="001E201C" w:rsidP="001577E1">
            <w:pPr>
              <w:tabs>
                <w:tab w:val="left" w:pos="7920"/>
              </w:tabs>
              <w:rPr>
                <w:b/>
                <w:sz w:val="22"/>
                <w:szCs w:val="22"/>
              </w:rPr>
            </w:pPr>
            <w:r w:rsidRPr="00633593">
              <w:rPr>
                <w:b/>
                <w:sz w:val="22"/>
                <w:szCs w:val="22"/>
              </w:rPr>
              <w:t>0</w:t>
            </w:r>
          </w:p>
        </w:tc>
        <w:tc>
          <w:tcPr>
            <w:tcW w:w="3088" w:type="dxa"/>
            <w:shd w:val="clear" w:color="auto" w:fill="auto"/>
          </w:tcPr>
          <w:p w14:paraId="70D681AD" w14:textId="77777777" w:rsidR="002144B3" w:rsidRPr="00633593" w:rsidRDefault="00510393" w:rsidP="006E1099">
            <w:pPr>
              <w:tabs>
                <w:tab w:val="left" w:pos="7920"/>
              </w:tabs>
              <w:jc w:val="right"/>
              <w:rPr>
                <w:b/>
                <w:sz w:val="22"/>
                <w:szCs w:val="22"/>
              </w:rPr>
            </w:pPr>
            <w:r w:rsidRPr="00633593">
              <w:rPr>
                <w:b/>
                <w:sz w:val="22"/>
                <w:szCs w:val="22"/>
              </w:rPr>
              <w:t>N/A</w:t>
            </w:r>
          </w:p>
        </w:tc>
        <w:tc>
          <w:tcPr>
            <w:tcW w:w="2060" w:type="dxa"/>
            <w:shd w:val="clear" w:color="auto" w:fill="auto"/>
          </w:tcPr>
          <w:p w14:paraId="7039CD0B" w14:textId="77777777" w:rsidR="002144B3" w:rsidRPr="00633593" w:rsidRDefault="00510393" w:rsidP="00510393">
            <w:pPr>
              <w:tabs>
                <w:tab w:val="left" w:pos="7920"/>
              </w:tabs>
              <w:jc w:val="right"/>
              <w:rPr>
                <w:b/>
                <w:sz w:val="22"/>
                <w:szCs w:val="22"/>
              </w:rPr>
            </w:pPr>
            <w:r w:rsidRPr="00633593">
              <w:rPr>
                <w:b/>
                <w:sz w:val="22"/>
                <w:szCs w:val="22"/>
              </w:rPr>
              <w:t>N/A</w:t>
            </w:r>
          </w:p>
        </w:tc>
      </w:tr>
      <w:tr w:rsidR="00B34F78" w:rsidRPr="00633593" w14:paraId="041982B3" w14:textId="77777777" w:rsidTr="00396F23">
        <w:trPr>
          <w:trHeight w:hRule="exact" w:val="255"/>
        </w:trPr>
        <w:tc>
          <w:tcPr>
            <w:tcW w:w="2059" w:type="dxa"/>
            <w:tcBorders>
              <w:bottom w:val="single" w:sz="12" w:space="0" w:color="auto"/>
            </w:tcBorders>
            <w:shd w:val="clear" w:color="auto" w:fill="auto"/>
          </w:tcPr>
          <w:p w14:paraId="591635A7" w14:textId="77777777" w:rsidR="002144B3" w:rsidRPr="00633593" w:rsidRDefault="002144B3" w:rsidP="001577E1">
            <w:pPr>
              <w:tabs>
                <w:tab w:val="left" w:pos="7920"/>
              </w:tabs>
              <w:rPr>
                <w:b/>
                <w:sz w:val="22"/>
                <w:szCs w:val="22"/>
              </w:rPr>
            </w:pPr>
            <w:r w:rsidRPr="00633593">
              <w:rPr>
                <w:b/>
                <w:sz w:val="22"/>
                <w:szCs w:val="22"/>
              </w:rPr>
              <w:t>High</w:t>
            </w:r>
          </w:p>
        </w:tc>
        <w:tc>
          <w:tcPr>
            <w:tcW w:w="2059" w:type="dxa"/>
            <w:tcBorders>
              <w:bottom w:val="single" w:sz="12" w:space="0" w:color="auto"/>
            </w:tcBorders>
            <w:shd w:val="clear" w:color="auto" w:fill="auto"/>
          </w:tcPr>
          <w:p w14:paraId="441527CD" w14:textId="77777777" w:rsidR="002144B3" w:rsidRPr="00633593" w:rsidRDefault="00510393" w:rsidP="00510393">
            <w:pPr>
              <w:tabs>
                <w:tab w:val="left" w:pos="7920"/>
              </w:tabs>
              <w:jc w:val="right"/>
              <w:rPr>
                <w:b/>
                <w:sz w:val="22"/>
                <w:szCs w:val="22"/>
              </w:rPr>
            </w:pPr>
            <w:r w:rsidRPr="00633593">
              <w:rPr>
                <w:b/>
                <w:sz w:val="22"/>
                <w:szCs w:val="22"/>
              </w:rPr>
              <w:t>N/A</w:t>
            </w:r>
          </w:p>
        </w:tc>
        <w:tc>
          <w:tcPr>
            <w:tcW w:w="1030" w:type="dxa"/>
            <w:vMerge/>
            <w:tcBorders>
              <w:bottom w:val="single" w:sz="12" w:space="0" w:color="auto"/>
            </w:tcBorders>
            <w:shd w:val="clear" w:color="auto" w:fill="auto"/>
          </w:tcPr>
          <w:p w14:paraId="7AA4BF08" w14:textId="77777777" w:rsidR="002144B3" w:rsidRPr="00633593" w:rsidRDefault="002144B3" w:rsidP="001577E1">
            <w:pPr>
              <w:tabs>
                <w:tab w:val="left" w:pos="7920"/>
              </w:tabs>
              <w:rPr>
                <w:b/>
                <w:sz w:val="22"/>
                <w:szCs w:val="22"/>
              </w:rPr>
            </w:pPr>
          </w:p>
        </w:tc>
        <w:tc>
          <w:tcPr>
            <w:tcW w:w="3088" w:type="dxa"/>
            <w:tcBorders>
              <w:bottom w:val="single" w:sz="12" w:space="0" w:color="auto"/>
            </w:tcBorders>
            <w:shd w:val="clear" w:color="auto" w:fill="auto"/>
          </w:tcPr>
          <w:p w14:paraId="1D4194C3" w14:textId="77777777" w:rsidR="002144B3" w:rsidRPr="00633593" w:rsidRDefault="00510393" w:rsidP="006E1099">
            <w:pPr>
              <w:tabs>
                <w:tab w:val="left" w:pos="7920"/>
              </w:tabs>
              <w:jc w:val="right"/>
              <w:rPr>
                <w:b/>
                <w:sz w:val="22"/>
                <w:szCs w:val="22"/>
              </w:rPr>
            </w:pPr>
            <w:r w:rsidRPr="00633593">
              <w:rPr>
                <w:b/>
                <w:sz w:val="22"/>
                <w:szCs w:val="22"/>
              </w:rPr>
              <w:t>N/A</w:t>
            </w:r>
          </w:p>
        </w:tc>
        <w:tc>
          <w:tcPr>
            <w:tcW w:w="2060" w:type="dxa"/>
            <w:tcBorders>
              <w:bottom w:val="single" w:sz="12" w:space="0" w:color="auto"/>
            </w:tcBorders>
            <w:shd w:val="clear" w:color="auto" w:fill="auto"/>
          </w:tcPr>
          <w:p w14:paraId="77F4C43E" w14:textId="77777777" w:rsidR="002144B3" w:rsidRPr="00633593" w:rsidRDefault="00510393" w:rsidP="00510393">
            <w:pPr>
              <w:tabs>
                <w:tab w:val="left" w:pos="7920"/>
              </w:tabs>
              <w:jc w:val="right"/>
              <w:rPr>
                <w:b/>
                <w:sz w:val="22"/>
                <w:szCs w:val="22"/>
              </w:rPr>
            </w:pPr>
            <w:r w:rsidRPr="00633593">
              <w:rPr>
                <w:b/>
                <w:sz w:val="22"/>
                <w:szCs w:val="22"/>
              </w:rPr>
              <w:t>N/A</w:t>
            </w:r>
          </w:p>
        </w:tc>
      </w:tr>
      <w:tr w:rsidR="00B34F78" w:rsidRPr="00633593" w14:paraId="53355098" w14:textId="77777777" w:rsidTr="00396F23">
        <w:trPr>
          <w:trHeight w:hRule="exact" w:val="284"/>
        </w:trPr>
        <w:tc>
          <w:tcPr>
            <w:tcW w:w="2059" w:type="dxa"/>
            <w:tcBorders>
              <w:top w:val="single" w:sz="12" w:space="0" w:color="auto"/>
              <w:left w:val="single" w:sz="12" w:space="0" w:color="auto"/>
              <w:bottom w:val="single" w:sz="12" w:space="0" w:color="auto"/>
              <w:right w:val="single" w:sz="12" w:space="0" w:color="auto"/>
            </w:tcBorders>
            <w:shd w:val="clear" w:color="auto" w:fill="auto"/>
          </w:tcPr>
          <w:p w14:paraId="61B7D063" w14:textId="77777777" w:rsidR="002144B3" w:rsidRPr="00633593" w:rsidRDefault="002144B3" w:rsidP="001577E1">
            <w:pPr>
              <w:tabs>
                <w:tab w:val="left" w:pos="7920"/>
              </w:tabs>
              <w:rPr>
                <w:b/>
                <w:sz w:val="22"/>
                <w:szCs w:val="22"/>
              </w:rPr>
            </w:pPr>
            <w:r w:rsidRPr="00633593">
              <w:rPr>
                <w:b/>
                <w:sz w:val="22"/>
                <w:szCs w:val="22"/>
              </w:rPr>
              <w:t>Best Estimate</w:t>
            </w:r>
          </w:p>
        </w:tc>
        <w:tc>
          <w:tcPr>
            <w:tcW w:w="2059" w:type="dxa"/>
            <w:tcBorders>
              <w:top w:val="single" w:sz="12" w:space="0" w:color="auto"/>
              <w:left w:val="single" w:sz="12" w:space="0" w:color="auto"/>
              <w:bottom w:val="single" w:sz="12" w:space="0" w:color="auto"/>
              <w:right w:val="single" w:sz="12" w:space="0" w:color="auto"/>
            </w:tcBorders>
            <w:shd w:val="clear" w:color="auto" w:fill="auto"/>
          </w:tcPr>
          <w:p w14:paraId="63C24B1E" w14:textId="77777777" w:rsidR="002144B3" w:rsidRPr="00633593" w:rsidRDefault="00510393" w:rsidP="001577E1">
            <w:pPr>
              <w:tabs>
                <w:tab w:val="left" w:pos="7920"/>
              </w:tabs>
              <w:jc w:val="right"/>
              <w:rPr>
                <w:b/>
                <w:sz w:val="22"/>
                <w:szCs w:val="22"/>
              </w:rPr>
            </w:pPr>
            <w:r w:rsidRPr="00633593">
              <w:rPr>
                <w:b/>
                <w:sz w:val="22"/>
                <w:szCs w:val="22"/>
              </w:rPr>
              <w:t>N/A</w:t>
            </w:r>
          </w:p>
        </w:tc>
        <w:tc>
          <w:tcPr>
            <w:tcW w:w="1030" w:type="dxa"/>
            <w:vMerge/>
            <w:tcBorders>
              <w:top w:val="single" w:sz="12" w:space="0" w:color="auto"/>
              <w:left w:val="single" w:sz="12" w:space="0" w:color="auto"/>
              <w:bottom w:val="single" w:sz="12" w:space="0" w:color="auto"/>
              <w:right w:val="single" w:sz="12" w:space="0" w:color="auto"/>
            </w:tcBorders>
            <w:shd w:val="clear" w:color="auto" w:fill="auto"/>
          </w:tcPr>
          <w:p w14:paraId="2FC89FFB" w14:textId="77777777" w:rsidR="002144B3" w:rsidRPr="00633593" w:rsidRDefault="002144B3" w:rsidP="001577E1">
            <w:pPr>
              <w:tabs>
                <w:tab w:val="left" w:pos="7920"/>
              </w:tabs>
              <w:rPr>
                <w:b/>
                <w:sz w:val="22"/>
                <w:szCs w:val="22"/>
              </w:rPr>
            </w:pPr>
          </w:p>
        </w:tc>
        <w:tc>
          <w:tcPr>
            <w:tcW w:w="3088" w:type="dxa"/>
            <w:tcBorders>
              <w:top w:val="single" w:sz="12" w:space="0" w:color="auto"/>
              <w:left w:val="single" w:sz="12" w:space="0" w:color="auto"/>
              <w:bottom w:val="single" w:sz="12" w:space="0" w:color="auto"/>
              <w:right w:val="single" w:sz="12" w:space="0" w:color="auto"/>
            </w:tcBorders>
            <w:shd w:val="clear" w:color="auto" w:fill="auto"/>
          </w:tcPr>
          <w:p w14:paraId="3EAE311B" w14:textId="441933B3" w:rsidR="002144B3" w:rsidRPr="00633593" w:rsidRDefault="008D7C5D" w:rsidP="006E1099">
            <w:pPr>
              <w:tabs>
                <w:tab w:val="left" w:pos="7920"/>
              </w:tabs>
              <w:jc w:val="right"/>
              <w:rPr>
                <w:b/>
                <w:sz w:val="22"/>
                <w:szCs w:val="22"/>
              </w:rPr>
            </w:pPr>
            <w:r>
              <w:rPr>
                <w:b/>
                <w:sz w:val="22"/>
                <w:szCs w:val="22"/>
              </w:rPr>
              <w:t>31</w:t>
            </w:r>
            <w:r w:rsidR="00496294">
              <w:rPr>
                <w:b/>
                <w:sz w:val="22"/>
                <w:szCs w:val="22"/>
              </w:rPr>
              <w:t>3</w:t>
            </w:r>
            <w:r>
              <w:rPr>
                <w:b/>
                <w:sz w:val="22"/>
                <w:szCs w:val="22"/>
              </w:rPr>
              <w:t>,4</w:t>
            </w:r>
            <w:r w:rsidR="00496294">
              <w:rPr>
                <w:b/>
                <w:sz w:val="22"/>
                <w:szCs w:val="22"/>
              </w:rPr>
              <w:t>72</w:t>
            </w:r>
          </w:p>
        </w:tc>
        <w:tc>
          <w:tcPr>
            <w:tcW w:w="2060" w:type="dxa"/>
            <w:tcBorders>
              <w:top w:val="single" w:sz="12" w:space="0" w:color="auto"/>
              <w:left w:val="single" w:sz="12" w:space="0" w:color="auto"/>
              <w:bottom w:val="single" w:sz="12" w:space="0" w:color="auto"/>
              <w:right w:val="single" w:sz="12" w:space="0" w:color="auto"/>
            </w:tcBorders>
            <w:shd w:val="clear" w:color="auto" w:fill="auto"/>
          </w:tcPr>
          <w:p w14:paraId="3B9EB93E" w14:textId="36C24FF8" w:rsidR="002144B3" w:rsidRPr="00496294" w:rsidRDefault="00496294" w:rsidP="001577E1">
            <w:pPr>
              <w:tabs>
                <w:tab w:val="left" w:pos="7920"/>
              </w:tabs>
              <w:jc w:val="right"/>
              <w:rPr>
                <w:b/>
                <w:sz w:val="22"/>
                <w:szCs w:val="22"/>
              </w:rPr>
            </w:pPr>
            <w:r w:rsidRPr="00496294">
              <w:rPr>
                <w:b/>
                <w:sz w:val="22"/>
                <w:szCs w:val="22"/>
              </w:rPr>
              <w:t>2</w:t>
            </w:r>
            <w:r w:rsidR="00510393" w:rsidRPr="00496294">
              <w:rPr>
                <w:b/>
                <w:sz w:val="22"/>
                <w:szCs w:val="22"/>
              </w:rPr>
              <w:t>,</w:t>
            </w:r>
            <w:r w:rsidRPr="00496294">
              <w:rPr>
                <w:b/>
                <w:sz w:val="22"/>
                <w:szCs w:val="22"/>
              </w:rPr>
              <w:t>6</w:t>
            </w:r>
            <w:r>
              <w:rPr>
                <w:b/>
                <w:sz w:val="22"/>
                <w:szCs w:val="22"/>
              </w:rPr>
              <w:t>9</w:t>
            </w:r>
            <w:r w:rsidRPr="00496294">
              <w:rPr>
                <w:b/>
                <w:sz w:val="22"/>
                <w:szCs w:val="22"/>
              </w:rPr>
              <w:t>8</w:t>
            </w:r>
            <w:r w:rsidR="00510393" w:rsidRPr="00496294">
              <w:rPr>
                <w:b/>
                <w:sz w:val="22"/>
                <w:szCs w:val="22"/>
              </w:rPr>
              <w:t>,</w:t>
            </w:r>
            <w:r w:rsidRPr="00496294">
              <w:rPr>
                <w:b/>
                <w:sz w:val="22"/>
                <w:szCs w:val="22"/>
              </w:rPr>
              <w:t>268.7</w:t>
            </w:r>
          </w:p>
        </w:tc>
      </w:tr>
      <w:tr w:rsidR="002144B3" w:rsidRPr="00633593" w14:paraId="56D9680C" w14:textId="77777777" w:rsidTr="00396F23">
        <w:trPr>
          <w:trHeight w:hRule="exact" w:val="2219"/>
        </w:trPr>
        <w:tc>
          <w:tcPr>
            <w:tcW w:w="10296" w:type="dxa"/>
            <w:gridSpan w:val="5"/>
            <w:tcBorders>
              <w:top w:val="single" w:sz="12" w:space="0" w:color="auto"/>
              <w:bottom w:val="single" w:sz="4" w:space="0" w:color="auto"/>
            </w:tcBorders>
            <w:shd w:val="clear" w:color="auto" w:fill="auto"/>
          </w:tcPr>
          <w:p w14:paraId="3F61C597" w14:textId="77777777" w:rsidR="002144B3" w:rsidRPr="00D10FAD" w:rsidRDefault="002144B3" w:rsidP="001577E1">
            <w:pPr>
              <w:tabs>
                <w:tab w:val="left" w:pos="7920"/>
              </w:tabs>
              <w:rPr>
                <w:sz w:val="22"/>
                <w:szCs w:val="22"/>
              </w:rPr>
            </w:pPr>
            <w:r w:rsidRPr="00D10FAD">
              <w:rPr>
                <w:b/>
                <w:sz w:val="22"/>
                <w:szCs w:val="22"/>
              </w:rPr>
              <w:t xml:space="preserve">Description and scale of key monetised </w:t>
            </w:r>
            <w:r w:rsidR="00F276DB" w:rsidRPr="00D10FAD">
              <w:rPr>
                <w:b/>
                <w:sz w:val="22"/>
                <w:szCs w:val="22"/>
              </w:rPr>
              <w:t>benefits</w:t>
            </w:r>
            <w:r w:rsidRPr="00D10FAD">
              <w:rPr>
                <w:b/>
                <w:sz w:val="22"/>
                <w:szCs w:val="22"/>
              </w:rPr>
              <w:t xml:space="preserve"> by ‘main affected groups’</w:t>
            </w:r>
            <w:r w:rsidR="00BC6455" w:rsidRPr="00D10FAD">
              <w:rPr>
                <w:b/>
                <w:sz w:val="22"/>
                <w:szCs w:val="22"/>
              </w:rPr>
              <w:t xml:space="preserve"> </w:t>
            </w:r>
            <w:r w:rsidRPr="00D10FAD">
              <w:rPr>
                <w:sz w:val="22"/>
                <w:szCs w:val="22"/>
              </w:rPr>
              <w:t>Maximum 5 lines</w:t>
            </w:r>
            <w:r w:rsidR="003403CC" w:rsidRPr="00D10FAD">
              <w:rPr>
                <w:sz w:val="22"/>
                <w:szCs w:val="22"/>
              </w:rPr>
              <w:t xml:space="preserve">  </w:t>
            </w:r>
          </w:p>
          <w:p w14:paraId="24E5FAB0" w14:textId="71439216" w:rsidR="00396F23" w:rsidRPr="00D10FAD" w:rsidRDefault="00396F23" w:rsidP="001577E1">
            <w:pPr>
              <w:tabs>
                <w:tab w:val="left" w:pos="7920"/>
              </w:tabs>
              <w:rPr>
                <w:sz w:val="22"/>
                <w:szCs w:val="22"/>
              </w:rPr>
            </w:pPr>
            <w:r w:rsidRPr="00D10FAD">
              <w:rPr>
                <w:sz w:val="22"/>
                <w:szCs w:val="22"/>
              </w:rPr>
              <w:t>- Benefit to debtors through cost savings from receiving a low-cost debt write off; £</w:t>
            </w:r>
            <w:r w:rsidR="006E60EC">
              <w:rPr>
                <w:sz w:val="22"/>
                <w:szCs w:val="22"/>
              </w:rPr>
              <w:t>7</w:t>
            </w:r>
            <w:r w:rsidR="00B62C81" w:rsidRPr="00D10FAD">
              <w:rPr>
                <w:sz w:val="22"/>
                <w:szCs w:val="22"/>
              </w:rPr>
              <w:t>,0</w:t>
            </w:r>
            <w:r w:rsidR="006E60EC">
              <w:rPr>
                <w:sz w:val="22"/>
                <w:szCs w:val="22"/>
              </w:rPr>
              <w:t>32</w:t>
            </w:r>
            <w:r w:rsidRPr="00D10FAD">
              <w:rPr>
                <w:sz w:val="22"/>
                <w:szCs w:val="22"/>
              </w:rPr>
              <w:t xml:space="preserve"> (Non-business impact).</w:t>
            </w:r>
          </w:p>
          <w:p w14:paraId="25CEFAB2" w14:textId="5E6CB0FC" w:rsidR="00396F23" w:rsidRPr="00D10FAD" w:rsidRDefault="00396F23" w:rsidP="00396F23">
            <w:pPr>
              <w:tabs>
                <w:tab w:val="left" w:pos="7920"/>
              </w:tabs>
              <w:rPr>
                <w:sz w:val="22"/>
                <w:szCs w:val="22"/>
              </w:rPr>
            </w:pPr>
            <w:r w:rsidRPr="00D10FAD">
              <w:rPr>
                <w:sz w:val="22"/>
                <w:szCs w:val="22"/>
              </w:rPr>
              <w:t>- Benefit to debtors from retaining money that otherwise would be distributed to creditors: £</w:t>
            </w:r>
            <w:r w:rsidR="0037692C">
              <w:rPr>
                <w:sz w:val="22"/>
                <w:szCs w:val="22"/>
              </w:rPr>
              <w:t>26</w:t>
            </w:r>
            <w:r w:rsidR="00D61982" w:rsidRPr="00D10FAD">
              <w:rPr>
                <w:sz w:val="22"/>
                <w:szCs w:val="22"/>
              </w:rPr>
              <w:t>1,36</w:t>
            </w:r>
            <w:r w:rsidR="00A67B0F">
              <w:rPr>
                <w:sz w:val="22"/>
                <w:szCs w:val="22"/>
              </w:rPr>
              <w:t>1</w:t>
            </w:r>
            <w:r w:rsidRPr="00D10FAD">
              <w:rPr>
                <w:sz w:val="22"/>
                <w:szCs w:val="22"/>
              </w:rPr>
              <w:t xml:space="preserve"> (Non-business impact). This is a transfer as the benefit to consumers is offset by the cost to creditors and therefore it is net present value neutral.</w:t>
            </w:r>
          </w:p>
          <w:p w14:paraId="10744074" w14:textId="7881BDB6" w:rsidR="002144B3" w:rsidRPr="00D10FAD" w:rsidRDefault="00396F23" w:rsidP="00D61982">
            <w:pPr>
              <w:tabs>
                <w:tab w:val="left" w:pos="7920"/>
              </w:tabs>
              <w:rPr>
                <w:b/>
                <w:sz w:val="22"/>
                <w:szCs w:val="22"/>
              </w:rPr>
            </w:pPr>
            <w:r w:rsidRPr="00D10FAD">
              <w:rPr>
                <w:sz w:val="22"/>
                <w:szCs w:val="22"/>
              </w:rPr>
              <w:t>- The costs and benefits to the Insolvency Service result in a net benefit; £</w:t>
            </w:r>
            <w:r w:rsidR="00D61982" w:rsidRPr="00D10FAD">
              <w:rPr>
                <w:sz w:val="22"/>
                <w:szCs w:val="22"/>
              </w:rPr>
              <w:t>4</w:t>
            </w:r>
            <w:r w:rsidR="00496294">
              <w:rPr>
                <w:sz w:val="22"/>
                <w:szCs w:val="22"/>
              </w:rPr>
              <w:t>5</w:t>
            </w:r>
            <w:r w:rsidR="00D61982" w:rsidRPr="00D10FAD">
              <w:rPr>
                <w:sz w:val="22"/>
                <w:szCs w:val="22"/>
              </w:rPr>
              <w:t>,</w:t>
            </w:r>
            <w:r w:rsidR="0037692C">
              <w:rPr>
                <w:sz w:val="22"/>
                <w:szCs w:val="22"/>
              </w:rPr>
              <w:t>0</w:t>
            </w:r>
            <w:r w:rsidR="00496294">
              <w:rPr>
                <w:sz w:val="22"/>
                <w:szCs w:val="22"/>
              </w:rPr>
              <w:t>79</w:t>
            </w:r>
            <w:r w:rsidRPr="00D10FAD">
              <w:rPr>
                <w:sz w:val="22"/>
                <w:szCs w:val="22"/>
              </w:rPr>
              <w:t xml:space="preserve"> (Non-business impact)</w:t>
            </w:r>
          </w:p>
        </w:tc>
      </w:tr>
      <w:tr w:rsidR="002144B3" w:rsidRPr="00633593" w14:paraId="2A879B56" w14:textId="77777777" w:rsidTr="00396F23">
        <w:trPr>
          <w:trHeight w:hRule="exact" w:val="2103"/>
        </w:trPr>
        <w:tc>
          <w:tcPr>
            <w:tcW w:w="10296" w:type="dxa"/>
            <w:gridSpan w:val="5"/>
            <w:shd w:val="clear" w:color="auto" w:fill="auto"/>
          </w:tcPr>
          <w:p w14:paraId="6D798041" w14:textId="77777777" w:rsidR="002144B3" w:rsidRPr="00D10FAD" w:rsidRDefault="002144B3" w:rsidP="001577E1">
            <w:pPr>
              <w:tabs>
                <w:tab w:val="left" w:pos="7920"/>
              </w:tabs>
              <w:rPr>
                <w:sz w:val="22"/>
                <w:szCs w:val="22"/>
              </w:rPr>
            </w:pPr>
            <w:r w:rsidRPr="00D10FAD">
              <w:rPr>
                <w:b/>
                <w:sz w:val="22"/>
                <w:szCs w:val="22"/>
              </w:rPr>
              <w:t xml:space="preserve">Other key non-monetised </w:t>
            </w:r>
            <w:r w:rsidR="00F276DB" w:rsidRPr="00D10FAD">
              <w:rPr>
                <w:b/>
                <w:sz w:val="22"/>
                <w:szCs w:val="22"/>
              </w:rPr>
              <w:t>benefits</w:t>
            </w:r>
            <w:r w:rsidRPr="00D10FAD">
              <w:rPr>
                <w:b/>
                <w:sz w:val="22"/>
                <w:szCs w:val="22"/>
              </w:rPr>
              <w:t xml:space="preserve"> by ‘main affected groups’</w:t>
            </w:r>
            <w:r w:rsidR="00BC6455" w:rsidRPr="00D10FAD">
              <w:rPr>
                <w:b/>
                <w:sz w:val="22"/>
                <w:szCs w:val="22"/>
              </w:rPr>
              <w:t xml:space="preserve"> </w:t>
            </w:r>
            <w:r w:rsidRPr="00D10FAD">
              <w:rPr>
                <w:sz w:val="22"/>
                <w:szCs w:val="22"/>
              </w:rPr>
              <w:t>Maximum 5 lines</w:t>
            </w:r>
          </w:p>
          <w:p w14:paraId="693A2D08" w14:textId="77777777" w:rsidR="00396F23" w:rsidRPr="00D10FAD" w:rsidRDefault="00396F23" w:rsidP="001577E1">
            <w:pPr>
              <w:tabs>
                <w:tab w:val="left" w:pos="7920"/>
              </w:tabs>
              <w:rPr>
                <w:sz w:val="22"/>
                <w:szCs w:val="22"/>
              </w:rPr>
            </w:pPr>
            <w:r w:rsidRPr="00D10FAD">
              <w:rPr>
                <w:sz w:val="22"/>
                <w:szCs w:val="22"/>
              </w:rPr>
              <w:t xml:space="preserve">- Creditors incur costs from dealing with defaulting debtors such as issuing notices, demands or by using specialist collection agencies. Pursuing debtors through the court system is also a significant cost to creditors. Therefore, writing off debt in low asset, debt and surplus income cases can result in a net benefit for creditors. </w:t>
            </w:r>
          </w:p>
          <w:p w14:paraId="77DE69A3" w14:textId="77777777" w:rsidR="002144B3" w:rsidRPr="00D10FAD" w:rsidRDefault="00396F23" w:rsidP="001577E1">
            <w:pPr>
              <w:tabs>
                <w:tab w:val="left" w:pos="7920"/>
              </w:tabs>
              <w:rPr>
                <w:sz w:val="22"/>
                <w:szCs w:val="22"/>
              </w:rPr>
            </w:pPr>
            <w:r w:rsidRPr="00D10FAD">
              <w:rPr>
                <w:sz w:val="22"/>
                <w:szCs w:val="22"/>
              </w:rPr>
              <w:t>- Improved access to debt relief will provide improved social outcomes. There are associations between financial distress and productivity, relationships, physical and mental health.</w:t>
            </w:r>
          </w:p>
        </w:tc>
      </w:tr>
      <w:tr w:rsidR="002144B3" w:rsidRPr="00633593" w14:paraId="2C6DCB9A" w14:textId="77777777" w:rsidTr="00396F23">
        <w:trPr>
          <w:trHeight w:hRule="exact" w:val="1418"/>
        </w:trPr>
        <w:tc>
          <w:tcPr>
            <w:tcW w:w="10296" w:type="dxa"/>
            <w:gridSpan w:val="5"/>
            <w:shd w:val="clear" w:color="auto" w:fill="auto"/>
          </w:tcPr>
          <w:p w14:paraId="2F5EF54E" w14:textId="77777777" w:rsidR="002144B3" w:rsidRPr="00D10FAD" w:rsidRDefault="002144B3" w:rsidP="001577E1">
            <w:pPr>
              <w:tabs>
                <w:tab w:val="left" w:pos="7920"/>
              </w:tabs>
              <w:rPr>
                <w:sz w:val="22"/>
                <w:szCs w:val="22"/>
              </w:rPr>
            </w:pPr>
            <w:r w:rsidRPr="00D10FAD">
              <w:rPr>
                <w:b/>
                <w:sz w:val="22"/>
                <w:szCs w:val="22"/>
              </w:rPr>
              <w:t>Key Assumptions, Sensitivities, Risks</w:t>
            </w:r>
            <w:r w:rsidR="00BC6455" w:rsidRPr="00D10FAD">
              <w:rPr>
                <w:b/>
                <w:sz w:val="22"/>
                <w:szCs w:val="22"/>
              </w:rPr>
              <w:t xml:space="preserve"> </w:t>
            </w:r>
            <w:r w:rsidRPr="00D10FAD">
              <w:rPr>
                <w:sz w:val="22"/>
                <w:szCs w:val="22"/>
              </w:rPr>
              <w:t>Maximum 5 lines</w:t>
            </w:r>
            <w:r w:rsidR="00396F23" w:rsidRPr="00D10FAD">
              <w:rPr>
                <w:b/>
                <w:sz w:val="22"/>
                <w:szCs w:val="22"/>
              </w:rPr>
              <w:t xml:space="preserve"> Discount rate</w:t>
            </w:r>
            <w:r w:rsidR="00396F23" w:rsidRPr="00D10FAD">
              <w:rPr>
                <w:sz w:val="22"/>
                <w:szCs w:val="22"/>
              </w:rPr>
              <w:t xml:space="preserve"> (%) 3.5</w:t>
            </w:r>
          </w:p>
          <w:p w14:paraId="68F57A9D" w14:textId="77777777" w:rsidR="002144B3" w:rsidRPr="00D10FAD" w:rsidRDefault="00662A22" w:rsidP="00662A22">
            <w:pPr>
              <w:tabs>
                <w:tab w:val="left" w:pos="7920"/>
              </w:tabs>
              <w:rPr>
                <w:b/>
                <w:sz w:val="22"/>
                <w:szCs w:val="22"/>
              </w:rPr>
            </w:pPr>
            <w:r w:rsidRPr="00D10FAD">
              <w:rPr>
                <w:sz w:val="22"/>
                <w:szCs w:val="22"/>
              </w:rPr>
              <w:t xml:space="preserve">- There is a risk that the increase in demand for DRO applications is larger than expected resulting in a need to increase the current capacity of competent authorities. This funding risk has been mitigated to an extent by increases to the funding provided by the Department for Communities for free debt advice. </w:t>
            </w:r>
          </w:p>
        </w:tc>
      </w:tr>
      <w:tr w:rsidR="00396F23" w:rsidRPr="00633593" w14:paraId="17101CE4" w14:textId="77777777" w:rsidTr="00AC64B3">
        <w:trPr>
          <w:trHeight w:hRule="exact" w:val="3121"/>
        </w:trPr>
        <w:tc>
          <w:tcPr>
            <w:tcW w:w="10296" w:type="dxa"/>
            <w:gridSpan w:val="5"/>
            <w:tcBorders>
              <w:bottom w:val="single" w:sz="4" w:space="0" w:color="auto"/>
            </w:tcBorders>
            <w:shd w:val="clear" w:color="auto" w:fill="auto"/>
          </w:tcPr>
          <w:p w14:paraId="0B28A25F" w14:textId="3B0C0261" w:rsidR="004C4D7B" w:rsidRPr="00D10FAD" w:rsidRDefault="00662A22" w:rsidP="004C4D7B">
            <w:pPr>
              <w:tabs>
                <w:tab w:val="left" w:pos="7920"/>
              </w:tabs>
              <w:rPr>
                <w:sz w:val="22"/>
                <w:szCs w:val="22"/>
              </w:rPr>
            </w:pPr>
            <w:r w:rsidRPr="00D10FAD">
              <w:rPr>
                <w:sz w:val="22"/>
                <w:szCs w:val="22"/>
              </w:rPr>
              <w:lastRenderedPageBreak/>
              <w:t xml:space="preserve">- A review of </w:t>
            </w:r>
            <w:r w:rsidR="00F86706" w:rsidRPr="00D10FAD">
              <w:rPr>
                <w:sz w:val="22"/>
                <w:szCs w:val="22"/>
              </w:rPr>
              <w:t xml:space="preserve">changes made to </w:t>
            </w:r>
            <w:r w:rsidRPr="00D10FAD">
              <w:rPr>
                <w:sz w:val="22"/>
                <w:szCs w:val="22"/>
              </w:rPr>
              <w:t xml:space="preserve">eligibility </w:t>
            </w:r>
            <w:r w:rsidR="004C4D7B" w:rsidRPr="00D10FAD">
              <w:rPr>
                <w:sz w:val="22"/>
                <w:szCs w:val="22"/>
              </w:rPr>
              <w:t xml:space="preserve">in England and Wales </w:t>
            </w:r>
            <w:r w:rsidRPr="00D10FAD">
              <w:rPr>
                <w:sz w:val="22"/>
                <w:szCs w:val="22"/>
              </w:rPr>
              <w:t xml:space="preserve">in 2015 found that </w:t>
            </w:r>
            <w:r w:rsidR="004C4D7B" w:rsidRPr="00D10FAD">
              <w:rPr>
                <w:sz w:val="22"/>
                <w:szCs w:val="22"/>
              </w:rPr>
              <w:t xml:space="preserve">cases of people who would have previously had to enter debtor bankruptcy </w:t>
            </w:r>
            <w:r w:rsidRPr="00D10FAD">
              <w:rPr>
                <w:sz w:val="22"/>
                <w:szCs w:val="22"/>
              </w:rPr>
              <w:t>now enter</w:t>
            </w:r>
            <w:r w:rsidR="004C4D7B" w:rsidRPr="00D10FAD">
              <w:rPr>
                <w:sz w:val="22"/>
                <w:szCs w:val="22"/>
              </w:rPr>
              <w:t>ing a</w:t>
            </w:r>
            <w:r w:rsidRPr="00D10FAD">
              <w:rPr>
                <w:sz w:val="22"/>
                <w:szCs w:val="22"/>
              </w:rPr>
              <w:t xml:space="preserve"> DRO was negligible and consequently there is a risk that people do not behave as expected. This risk has been mitigated by assuming a small proportion, </w:t>
            </w:r>
            <w:r w:rsidR="0037692C">
              <w:rPr>
                <w:sz w:val="22"/>
                <w:szCs w:val="22"/>
              </w:rPr>
              <w:t>10</w:t>
            </w:r>
            <w:r w:rsidRPr="00D10FAD">
              <w:rPr>
                <w:sz w:val="22"/>
                <w:szCs w:val="22"/>
              </w:rPr>
              <w:t xml:space="preserve">%, enter a DRO rather than debtor bankruptcy, to reflect our efforts working with the sector. </w:t>
            </w:r>
          </w:p>
          <w:p w14:paraId="30E9DEAB" w14:textId="77777777" w:rsidR="00396F23" w:rsidRPr="00D10FAD" w:rsidRDefault="00662A22" w:rsidP="00AC64B3">
            <w:pPr>
              <w:tabs>
                <w:tab w:val="left" w:pos="7920"/>
              </w:tabs>
              <w:rPr>
                <w:b/>
                <w:sz w:val="22"/>
                <w:szCs w:val="22"/>
              </w:rPr>
            </w:pPr>
            <w:r w:rsidRPr="00D10FAD">
              <w:rPr>
                <w:sz w:val="22"/>
                <w:szCs w:val="22"/>
              </w:rPr>
              <w:t xml:space="preserve">- There is a risk of moral hazard; making it is easier for individuals to rid themselves of problem debts may lead to individuals borrowing more recklessly. The Insolvency Service thinks the risk of this is low, since the Insolvency Service management information shows </w:t>
            </w:r>
            <w:r w:rsidR="00AC64B3" w:rsidRPr="00D10FAD">
              <w:rPr>
                <w:sz w:val="22"/>
                <w:szCs w:val="22"/>
              </w:rPr>
              <w:t>that levels of abuse</w:t>
            </w:r>
            <w:r w:rsidRPr="00D10FAD">
              <w:rPr>
                <w:sz w:val="22"/>
                <w:szCs w:val="22"/>
              </w:rPr>
              <w:t xml:space="preserve"> are low. This concern was raised when DROs were introduced in </w:t>
            </w:r>
            <w:r w:rsidR="00AC64B3" w:rsidRPr="00D10FAD">
              <w:rPr>
                <w:sz w:val="22"/>
                <w:szCs w:val="22"/>
              </w:rPr>
              <w:t>Northern Ireland in 2011</w:t>
            </w:r>
            <w:r w:rsidRPr="00D10FAD">
              <w:rPr>
                <w:sz w:val="22"/>
                <w:szCs w:val="22"/>
              </w:rPr>
              <w:t xml:space="preserve"> and we are not aware of any evidence linking reckless borrowing with the availability of DROs.</w:t>
            </w:r>
          </w:p>
        </w:tc>
      </w:tr>
    </w:tbl>
    <w:p w14:paraId="60311757" w14:textId="77777777" w:rsidR="00AA4ABF" w:rsidRPr="00D10FAD" w:rsidRDefault="00AA4ABF" w:rsidP="00AA4ABF">
      <w:pPr>
        <w:rPr>
          <w:sz w:val="22"/>
          <w:szCs w:val="22"/>
        </w:rPr>
      </w:pPr>
    </w:p>
    <w:p w14:paraId="56594D81" w14:textId="77777777" w:rsidR="00AA4ABF" w:rsidRPr="00633593" w:rsidRDefault="00CC0939" w:rsidP="00AA4ABF">
      <w:pPr>
        <w:tabs>
          <w:tab w:val="left" w:pos="7920"/>
        </w:tabs>
        <w:rPr>
          <w:b/>
          <w:sz w:val="22"/>
          <w:szCs w:val="22"/>
        </w:rPr>
      </w:pPr>
      <w:r w:rsidRPr="00633593">
        <w:rPr>
          <w:b/>
          <w:sz w:val="22"/>
          <w:szCs w:val="22"/>
        </w:rPr>
        <w:t xml:space="preserve">BUSINESS ASSESSMENT (Option </w:t>
      </w:r>
      <w:r w:rsidR="001E201C" w:rsidRPr="00D10FAD">
        <w:rPr>
          <w:sz w:val="22"/>
          <w:szCs w:val="22"/>
        </w:rPr>
        <w:t>1</w:t>
      </w:r>
      <w:r w:rsidR="00AA4ABF" w:rsidRPr="00633593">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316"/>
        <w:gridCol w:w="2316"/>
        <w:gridCol w:w="1288"/>
        <w:gridCol w:w="2060"/>
      </w:tblGrid>
      <w:tr w:rsidR="00AA4ABF" w:rsidRPr="00633593" w14:paraId="72D94102" w14:textId="77777777" w:rsidTr="001577E1">
        <w:tc>
          <w:tcPr>
            <w:tcW w:w="6948" w:type="dxa"/>
            <w:gridSpan w:val="3"/>
            <w:tcBorders>
              <w:top w:val="single" w:sz="4" w:space="0" w:color="auto"/>
            </w:tcBorders>
            <w:shd w:val="clear" w:color="auto" w:fill="auto"/>
          </w:tcPr>
          <w:p w14:paraId="3AFF3318" w14:textId="77777777" w:rsidR="00AA4ABF" w:rsidRPr="00633593" w:rsidRDefault="00AA4ABF" w:rsidP="001577E1">
            <w:pPr>
              <w:tabs>
                <w:tab w:val="left" w:pos="7920"/>
              </w:tabs>
              <w:rPr>
                <w:b/>
                <w:sz w:val="22"/>
                <w:szCs w:val="22"/>
              </w:rPr>
            </w:pPr>
            <w:r w:rsidRPr="00633593">
              <w:rPr>
                <w:b/>
                <w:sz w:val="22"/>
                <w:szCs w:val="22"/>
              </w:rPr>
              <w:t>Direct Impact on business (Equivalent Annual) £m</w:t>
            </w:r>
          </w:p>
        </w:tc>
        <w:tc>
          <w:tcPr>
            <w:tcW w:w="1288" w:type="dxa"/>
            <w:tcBorders>
              <w:top w:val="single" w:sz="4" w:space="0" w:color="auto"/>
            </w:tcBorders>
            <w:shd w:val="clear" w:color="auto" w:fill="auto"/>
          </w:tcPr>
          <w:p w14:paraId="6B57E267" w14:textId="77777777" w:rsidR="00AA4ABF" w:rsidRPr="00633593" w:rsidRDefault="00AA4ABF" w:rsidP="001577E1">
            <w:pPr>
              <w:tabs>
                <w:tab w:val="left" w:pos="7920"/>
              </w:tabs>
              <w:rPr>
                <w:b/>
                <w:sz w:val="22"/>
                <w:szCs w:val="22"/>
              </w:rPr>
            </w:pPr>
          </w:p>
        </w:tc>
        <w:tc>
          <w:tcPr>
            <w:tcW w:w="2060" w:type="dxa"/>
            <w:tcBorders>
              <w:top w:val="single" w:sz="4" w:space="0" w:color="auto"/>
            </w:tcBorders>
            <w:shd w:val="clear" w:color="auto" w:fill="auto"/>
          </w:tcPr>
          <w:p w14:paraId="25957C96" w14:textId="77777777" w:rsidR="00AA4ABF" w:rsidRPr="00633593" w:rsidRDefault="00AA4ABF" w:rsidP="001577E1">
            <w:pPr>
              <w:tabs>
                <w:tab w:val="left" w:pos="7920"/>
              </w:tabs>
              <w:rPr>
                <w:b/>
                <w:sz w:val="22"/>
                <w:szCs w:val="22"/>
              </w:rPr>
            </w:pPr>
          </w:p>
        </w:tc>
      </w:tr>
      <w:tr w:rsidR="002144B3" w:rsidRPr="00633593" w14:paraId="2E2693C4" w14:textId="77777777" w:rsidTr="001577E1">
        <w:trPr>
          <w:trHeight w:hRule="exact" w:val="284"/>
        </w:trPr>
        <w:tc>
          <w:tcPr>
            <w:tcW w:w="2316" w:type="dxa"/>
            <w:shd w:val="clear" w:color="auto" w:fill="auto"/>
          </w:tcPr>
          <w:p w14:paraId="139FE49D" w14:textId="429BD5BE" w:rsidR="002144B3" w:rsidRPr="00633593" w:rsidRDefault="00AA4ABF" w:rsidP="001E201C">
            <w:pPr>
              <w:tabs>
                <w:tab w:val="left" w:pos="7920"/>
              </w:tabs>
              <w:rPr>
                <w:b/>
                <w:sz w:val="22"/>
                <w:szCs w:val="22"/>
              </w:rPr>
            </w:pPr>
            <w:r w:rsidRPr="00633593">
              <w:rPr>
                <w:b/>
                <w:sz w:val="22"/>
                <w:szCs w:val="22"/>
              </w:rPr>
              <w:t>Costs:</w:t>
            </w:r>
            <w:r w:rsidR="001E201C" w:rsidRPr="00496294">
              <w:rPr>
                <w:b/>
                <w:sz w:val="22"/>
                <w:szCs w:val="22"/>
              </w:rPr>
              <w:t>2</w:t>
            </w:r>
            <w:r w:rsidR="00496294" w:rsidRPr="00496294">
              <w:rPr>
                <w:b/>
                <w:sz w:val="22"/>
                <w:szCs w:val="22"/>
              </w:rPr>
              <w:t>29</w:t>
            </w:r>
            <w:r w:rsidR="001E201C" w:rsidRPr="00496294">
              <w:rPr>
                <w:b/>
                <w:sz w:val="22"/>
                <w:szCs w:val="22"/>
              </w:rPr>
              <w:t>,</w:t>
            </w:r>
            <w:r w:rsidR="00496294" w:rsidRPr="00496294">
              <w:rPr>
                <w:b/>
                <w:sz w:val="22"/>
                <w:szCs w:val="22"/>
              </w:rPr>
              <w:t>425</w:t>
            </w:r>
          </w:p>
        </w:tc>
        <w:tc>
          <w:tcPr>
            <w:tcW w:w="2316" w:type="dxa"/>
            <w:shd w:val="clear" w:color="auto" w:fill="auto"/>
          </w:tcPr>
          <w:p w14:paraId="78120A50" w14:textId="77777777" w:rsidR="002144B3" w:rsidRPr="00633593" w:rsidRDefault="00AA4ABF" w:rsidP="001E201C">
            <w:pPr>
              <w:tabs>
                <w:tab w:val="left" w:pos="7920"/>
              </w:tabs>
              <w:rPr>
                <w:b/>
                <w:sz w:val="22"/>
                <w:szCs w:val="22"/>
              </w:rPr>
            </w:pPr>
            <w:r w:rsidRPr="00633593">
              <w:rPr>
                <w:b/>
                <w:sz w:val="22"/>
                <w:szCs w:val="22"/>
              </w:rPr>
              <w:t>Benefits:</w:t>
            </w:r>
            <w:r w:rsidR="001E201C" w:rsidRPr="00633593">
              <w:rPr>
                <w:b/>
                <w:sz w:val="22"/>
                <w:szCs w:val="22"/>
              </w:rPr>
              <w:t>0</w:t>
            </w:r>
          </w:p>
        </w:tc>
        <w:tc>
          <w:tcPr>
            <w:tcW w:w="2316" w:type="dxa"/>
            <w:shd w:val="clear" w:color="auto" w:fill="auto"/>
          </w:tcPr>
          <w:p w14:paraId="67229080" w14:textId="11D4CAD5" w:rsidR="002144B3" w:rsidRPr="00633593" w:rsidRDefault="00AA4ABF" w:rsidP="001E201C">
            <w:pPr>
              <w:tabs>
                <w:tab w:val="left" w:pos="7920"/>
              </w:tabs>
              <w:rPr>
                <w:b/>
                <w:sz w:val="22"/>
                <w:szCs w:val="22"/>
              </w:rPr>
            </w:pPr>
            <w:r w:rsidRPr="00633593">
              <w:rPr>
                <w:b/>
                <w:sz w:val="22"/>
                <w:szCs w:val="22"/>
              </w:rPr>
              <w:t>Net:</w:t>
            </w:r>
            <w:r w:rsidR="00496294">
              <w:rPr>
                <w:b/>
                <w:sz w:val="22"/>
                <w:szCs w:val="22"/>
              </w:rPr>
              <w:t>229,425</w:t>
            </w:r>
          </w:p>
        </w:tc>
        <w:tc>
          <w:tcPr>
            <w:tcW w:w="1288" w:type="dxa"/>
            <w:shd w:val="clear" w:color="auto" w:fill="auto"/>
          </w:tcPr>
          <w:p w14:paraId="340E7F01" w14:textId="77777777" w:rsidR="002144B3" w:rsidRPr="00633593" w:rsidRDefault="002144B3" w:rsidP="001577E1">
            <w:pPr>
              <w:tabs>
                <w:tab w:val="left" w:pos="7920"/>
              </w:tabs>
              <w:rPr>
                <w:b/>
                <w:sz w:val="22"/>
                <w:szCs w:val="22"/>
              </w:rPr>
            </w:pPr>
          </w:p>
        </w:tc>
        <w:tc>
          <w:tcPr>
            <w:tcW w:w="2060" w:type="dxa"/>
            <w:shd w:val="clear" w:color="auto" w:fill="auto"/>
          </w:tcPr>
          <w:p w14:paraId="2B2B108C" w14:textId="77777777" w:rsidR="002144B3" w:rsidRPr="00633593" w:rsidRDefault="002144B3" w:rsidP="001577E1">
            <w:pPr>
              <w:tabs>
                <w:tab w:val="left" w:pos="7920"/>
              </w:tabs>
              <w:rPr>
                <w:b/>
                <w:sz w:val="22"/>
                <w:szCs w:val="22"/>
              </w:rPr>
            </w:pPr>
          </w:p>
        </w:tc>
      </w:tr>
    </w:tbl>
    <w:p w14:paraId="18FF95EE" w14:textId="77777777" w:rsidR="002144B3" w:rsidRPr="00D10FAD" w:rsidRDefault="002144B3" w:rsidP="002144B3">
      <w:pPr>
        <w:tabs>
          <w:tab w:val="left" w:pos="7920"/>
        </w:tabs>
        <w:rPr>
          <w:sz w:val="22"/>
          <w:szCs w:val="22"/>
        </w:rPr>
      </w:pPr>
    </w:p>
    <w:p w14:paraId="20278921" w14:textId="77777777" w:rsidR="002144B3" w:rsidRPr="00633593" w:rsidRDefault="00CF1552" w:rsidP="002144B3">
      <w:pPr>
        <w:tabs>
          <w:tab w:val="left" w:pos="7920"/>
        </w:tabs>
        <w:rPr>
          <w:b/>
          <w:sz w:val="22"/>
          <w:szCs w:val="22"/>
        </w:rPr>
      </w:pPr>
      <w:r w:rsidRPr="00633593">
        <w:rPr>
          <w:b/>
          <w:sz w:val="22"/>
          <w:szCs w:val="22"/>
        </w:rPr>
        <w:t>Cross Border Issues</w:t>
      </w:r>
      <w:r w:rsidR="00F77F41" w:rsidRPr="00633593">
        <w:rPr>
          <w:b/>
          <w:sz w:val="22"/>
          <w:szCs w:val="22"/>
        </w:rPr>
        <w:t xml:space="preserve"> (Option </w:t>
      </w:r>
      <w:r w:rsidR="001E201C" w:rsidRPr="00D10FAD">
        <w:rPr>
          <w:sz w:val="22"/>
          <w:szCs w:val="22"/>
        </w:rPr>
        <w:t>1</w:t>
      </w:r>
      <w:r w:rsidR="003403CC" w:rsidRPr="00633593">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AA4ABF" w:rsidRPr="00633593" w14:paraId="7278D1DC" w14:textId="77777777" w:rsidTr="007C7BDA">
        <w:trPr>
          <w:trHeight w:hRule="exact" w:val="1868"/>
        </w:trPr>
        <w:tc>
          <w:tcPr>
            <w:tcW w:w="10296" w:type="dxa"/>
            <w:shd w:val="clear" w:color="auto" w:fill="auto"/>
          </w:tcPr>
          <w:p w14:paraId="27C47D46" w14:textId="77777777" w:rsidR="00AA4ABF" w:rsidRPr="00D10FAD" w:rsidRDefault="00AA4ABF" w:rsidP="001577E1">
            <w:pPr>
              <w:tabs>
                <w:tab w:val="left" w:pos="7920"/>
              </w:tabs>
              <w:rPr>
                <w:sz w:val="22"/>
                <w:szCs w:val="22"/>
              </w:rPr>
            </w:pPr>
            <w:r w:rsidRPr="00D10FAD">
              <w:rPr>
                <w:b/>
                <w:sz w:val="22"/>
                <w:szCs w:val="22"/>
              </w:rPr>
              <w:t xml:space="preserve">How does this option compare to other UK regions and to other EU Member States (particularly Republic of Ireland) </w:t>
            </w:r>
            <w:r w:rsidRPr="00D10FAD">
              <w:rPr>
                <w:sz w:val="22"/>
                <w:szCs w:val="22"/>
              </w:rPr>
              <w:t>Maximum 3 lines</w:t>
            </w:r>
          </w:p>
          <w:p w14:paraId="3806A871" w14:textId="12DD7F89" w:rsidR="00A504FC" w:rsidRPr="00D10FAD" w:rsidRDefault="005E5EDB" w:rsidP="00F32AF2">
            <w:pPr>
              <w:tabs>
                <w:tab w:val="left" w:pos="7920"/>
              </w:tabs>
              <w:rPr>
                <w:sz w:val="22"/>
                <w:szCs w:val="22"/>
              </w:rPr>
            </w:pPr>
            <w:r>
              <w:rPr>
                <w:sz w:val="22"/>
                <w:szCs w:val="22"/>
              </w:rPr>
              <w:t xml:space="preserve">The same </w:t>
            </w:r>
            <w:r w:rsidR="00756963" w:rsidRPr="00D10FAD">
              <w:rPr>
                <w:sz w:val="22"/>
                <w:szCs w:val="22"/>
              </w:rPr>
              <w:t xml:space="preserve">eligibility limits for debt relief </w:t>
            </w:r>
            <w:r>
              <w:rPr>
                <w:sz w:val="22"/>
                <w:szCs w:val="22"/>
              </w:rPr>
              <w:t xml:space="preserve">will apply </w:t>
            </w:r>
            <w:r w:rsidR="00756963" w:rsidRPr="00D10FAD">
              <w:rPr>
                <w:sz w:val="22"/>
                <w:szCs w:val="22"/>
              </w:rPr>
              <w:t xml:space="preserve">in England and Wales </w:t>
            </w:r>
            <w:r>
              <w:rPr>
                <w:sz w:val="22"/>
                <w:szCs w:val="22"/>
              </w:rPr>
              <w:t xml:space="preserve">from </w:t>
            </w:r>
            <w:r w:rsidR="00121B69" w:rsidRPr="00D10FAD">
              <w:rPr>
                <w:sz w:val="22"/>
                <w:szCs w:val="22"/>
              </w:rPr>
              <w:t>29 June 202</w:t>
            </w:r>
            <w:r>
              <w:rPr>
                <w:sz w:val="22"/>
                <w:szCs w:val="22"/>
              </w:rPr>
              <w:t>4</w:t>
            </w:r>
            <w:r w:rsidR="00121B69" w:rsidRPr="00D10FAD">
              <w:rPr>
                <w:sz w:val="22"/>
                <w:szCs w:val="22"/>
              </w:rPr>
              <w:t xml:space="preserve">. </w:t>
            </w:r>
            <w:r w:rsidR="007C7BDA" w:rsidRPr="00D10FAD">
              <w:rPr>
                <w:sz w:val="22"/>
                <w:szCs w:val="22"/>
              </w:rPr>
              <w:t>T</w:t>
            </w:r>
            <w:r w:rsidR="00F32AF2" w:rsidRPr="00D10FAD">
              <w:rPr>
                <w:sz w:val="22"/>
                <w:szCs w:val="22"/>
              </w:rPr>
              <w:t xml:space="preserve">he upper limits for </w:t>
            </w:r>
            <w:r w:rsidR="007C7BDA" w:rsidRPr="00D10FAD">
              <w:rPr>
                <w:sz w:val="22"/>
                <w:szCs w:val="22"/>
              </w:rPr>
              <w:t xml:space="preserve">a Debt Relief Notice in </w:t>
            </w:r>
            <w:r w:rsidR="00121B69" w:rsidRPr="00D10FAD">
              <w:rPr>
                <w:sz w:val="22"/>
                <w:szCs w:val="22"/>
              </w:rPr>
              <w:t xml:space="preserve">the Republic of Ireland </w:t>
            </w:r>
            <w:r w:rsidR="00F32AF2" w:rsidRPr="00D10FAD">
              <w:rPr>
                <w:sz w:val="22"/>
                <w:szCs w:val="22"/>
              </w:rPr>
              <w:t>are, to</w:t>
            </w:r>
            <w:r w:rsidR="007C7BDA" w:rsidRPr="00D10FAD">
              <w:rPr>
                <w:sz w:val="22"/>
                <w:szCs w:val="22"/>
              </w:rPr>
              <w:t xml:space="preserve">tal qualifying debt </w:t>
            </w:r>
            <w:r w:rsidR="00F32AF2" w:rsidRPr="00D10FAD">
              <w:rPr>
                <w:sz w:val="22"/>
                <w:szCs w:val="22"/>
              </w:rPr>
              <w:t xml:space="preserve">of </w:t>
            </w:r>
            <w:r w:rsidR="007C7BDA" w:rsidRPr="00D10FAD">
              <w:rPr>
                <w:sz w:val="22"/>
                <w:szCs w:val="22"/>
              </w:rPr>
              <w:t>E35,000</w:t>
            </w:r>
            <w:r w:rsidR="00F32AF2" w:rsidRPr="00D10FAD">
              <w:rPr>
                <w:sz w:val="22"/>
                <w:szCs w:val="22"/>
              </w:rPr>
              <w:t xml:space="preserve">, </w:t>
            </w:r>
            <w:r w:rsidR="007C7BDA" w:rsidRPr="00D10FAD">
              <w:rPr>
                <w:sz w:val="22"/>
                <w:szCs w:val="22"/>
              </w:rPr>
              <w:t>assets of E1,500</w:t>
            </w:r>
            <w:r w:rsidR="00F32AF2" w:rsidRPr="00D10FAD">
              <w:rPr>
                <w:sz w:val="22"/>
                <w:szCs w:val="22"/>
              </w:rPr>
              <w:t>,</w:t>
            </w:r>
            <w:r w:rsidR="007C7BDA" w:rsidRPr="00D10FAD">
              <w:rPr>
                <w:sz w:val="22"/>
                <w:szCs w:val="22"/>
              </w:rPr>
              <w:t xml:space="preserve"> surplus monthly income of E60 </w:t>
            </w:r>
            <w:r w:rsidR="00F32AF2" w:rsidRPr="00D10FAD">
              <w:rPr>
                <w:sz w:val="22"/>
                <w:szCs w:val="22"/>
              </w:rPr>
              <w:t xml:space="preserve">and the value of a single motor vehicle not to exceed E5,000. </w:t>
            </w:r>
          </w:p>
        </w:tc>
      </w:tr>
    </w:tbl>
    <w:p w14:paraId="2017EAD2" w14:textId="77777777" w:rsidR="00441982" w:rsidRPr="00D10FAD" w:rsidRDefault="00441982" w:rsidP="003D6EAD">
      <w:pPr>
        <w:tabs>
          <w:tab w:val="left" w:pos="7920"/>
        </w:tabs>
        <w:rPr>
          <w:sz w:val="22"/>
          <w:szCs w:val="22"/>
        </w:rPr>
      </w:pPr>
    </w:p>
    <w:p w14:paraId="5098448B" w14:textId="77777777" w:rsidR="00441982" w:rsidRPr="00D10FAD" w:rsidRDefault="00441982">
      <w:pPr>
        <w:rPr>
          <w:sz w:val="22"/>
          <w:szCs w:val="22"/>
        </w:rPr>
      </w:pPr>
      <w:r w:rsidRPr="00D10FAD">
        <w:rPr>
          <w:sz w:val="22"/>
          <w:szCs w:val="22"/>
        </w:rPr>
        <w:br w:type="page"/>
      </w:r>
    </w:p>
    <w:p w14:paraId="7C8A628E" w14:textId="77777777" w:rsidR="00E27E51" w:rsidRPr="00D10FAD" w:rsidRDefault="00F447F1" w:rsidP="003D6EAD">
      <w:pPr>
        <w:tabs>
          <w:tab w:val="left" w:pos="7920"/>
        </w:tabs>
        <w:rPr>
          <w:sz w:val="22"/>
          <w:szCs w:val="22"/>
        </w:rPr>
      </w:pPr>
      <w:r w:rsidRPr="00D10FAD">
        <w:rPr>
          <w:sz w:val="22"/>
          <w:szCs w:val="22"/>
        </w:rPr>
        <w:t>Evidence Base</w:t>
      </w:r>
    </w:p>
    <w:p w14:paraId="63F3EE86" w14:textId="77777777" w:rsidR="00F447F1" w:rsidRPr="00633593" w:rsidRDefault="00F447F1" w:rsidP="003D6EAD">
      <w:pPr>
        <w:tabs>
          <w:tab w:val="left" w:pos="7920"/>
        </w:tabs>
        <w:rPr>
          <w:sz w:val="22"/>
          <w:szCs w:val="22"/>
        </w:rPr>
      </w:pPr>
      <w:r w:rsidRPr="00633593">
        <w:rPr>
          <w:sz w:val="22"/>
          <w:szCs w:val="22"/>
        </w:rPr>
        <w:t>There is discretion for departments and organisations as to how to set out the evidence base.  It is however desirable that the following points are covered:</w:t>
      </w:r>
    </w:p>
    <w:p w14:paraId="20127E25" w14:textId="77777777" w:rsidR="00F447F1" w:rsidRPr="00633593" w:rsidRDefault="00F447F1" w:rsidP="003D6EAD">
      <w:pPr>
        <w:tabs>
          <w:tab w:val="left" w:pos="7920"/>
        </w:tabs>
        <w:rPr>
          <w:sz w:val="22"/>
          <w:szCs w:val="22"/>
        </w:rPr>
      </w:pPr>
    </w:p>
    <w:p w14:paraId="007E27C3" w14:textId="77777777" w:rsidR="00F447F1" w:rsidRPr="00633593" w:rsidRDefault="00F447F1" w:rsidP="00F447F1">
      <w:pPr>
        <w:numPr>
          <w:ilvl w:val="0"/>
          <w:numId w:val="1"/>
        </w:numPr>
        <w:tabs>
          <w:tab w:val="left" w:pos="7920"/>
        </w:tabs>
        <w:rPr>
          <w:sz w:val="22"/>
          <w:szCs w:val="22"/>
        </w:rPr>
      </w:pPr>
      <w:r w:rsidRPr="00633593">
        <w:rPr>
          <w:sz w:val="22"/>
          <w:szCs w:val="22"/>
        </w:rPr>
        <w:t xml:space="preserve">Problem under </w:t>
      </w:r>
      <w:proofErr w:type="gramStart"/>
      <w:r w:rsidRPr="00633593">
        <w:rPr>
          <w:sz w:val="22"/>
          <w:szCs w:val="22"/>
        </w:rPr>
        <w:t>consideration;</w:t>
      </w:r>
      <w:proofErr w:type="gramEnd"/>
    </w:p>
    <w:p w14:paraId="02C820E9" w14:textId="77777777" w:rsidR="00F447F1" w:rsidRPr="00633593" w:rsidRDefault="00F447F1" w:rsidP="00F447F1">
      <w:pPr>
        <w:numPr>
          <w:ilvl w:val="0"/>
          <w:numId w:val="1"/>
        </w:numPr>
        <w:tabs>
          <w:tab w:val="left" w:pos="7920"/>
        </w:tabs>
        <w:rPr>
          <w:sz w:val="22"/>
          <w:szCs w:val="22"/>
        </w:rPr>
      </w:pPr>
      <w:r w:rsidRPr="00633593">
        <w:rPr>
          <w:sz w:val="22"/>
          <w:szCs w:val="22"/>
        </w:rPr>
        <w:t xml:space="preserve">Rationale for </w:t>
      </w:r>
      <w:proofErr w:type="gramStart"/>
      <w:r w:rsidRPr="00633593">
        <w:rPr>
          <w:sz w:val="22"/>
          <w:szCs w:val="22"/>
        </w:rPr>
        <w:t>intervention;</w:t>
      </w:r>
      <w:proofErr w:type="gramEnd"/>
    </w:p>
    <w:p w14:paraId="52A33F8B" w14:textId="77777777" w:rsidR="00F447F1" w:rsidRPr="00633593" w:rsidRDefault="00F447F1" w:rsidP="00F447F1">
      <w:pPr>
        <w:numPr>
          <w:ilvl w:val="0"/>
          <w:numId w:val="1"/>
        </w:numPr>
        <w:tabs>
          <w:tab w:val="left" w:pos="7920"/>
        </w:tabs>
        <w:rPr>
          <w:sz w:val="22"/>
          <w:szCs w:val="22"/>
        </w:rPr>
      </w:pPr>
      <w:r w:rsidRPr="00633593">
        <w:rPr>
          <w:sz w:val="22"/>
          <w:szCs w:val="22"/>
        </w:rPr>
        <w:t xml:space="preserve">Policy </w:t>
      </w:r>
      <w:proofErr w:type="gramStart"/>
      <w:r w:rsidRPr="00633593">
        <w:rPr>
          <w:sz w:val="22"/>
          <w:szCs w:val="22"/>
        </w:rPr>
        <w:t>objective;</w:t>
      </w:r>
      <w:proofErr w:type="gramEnd"/>
    </w:p>
    <w:p w14:paraId="5BC9A5F9" w14:textId="77777777" w:rsidR="00F447F1" w:rsidRPr="00633593" w:rsidRDefault="00F447F1" w:rsidP="00F447F1">
      <w:pPr>
        <w:numPr>
          <w:ilvl w:val="0"/>
          <w:numId w:val="1"/>
        </w:numPr>
        <w:tabs>
          <w:tab w:val="left" w:pos="7920"/>
        </w:tabs>
        <w:rPr>
          <w:sz w:val="22"/>
          <w:szCs w:val="22"/>
        </w:rPr>
      </w:pPr>
      <w:r w:rsidRPr="00633593">
        <w:rPr>
          <w:sz w:val="22"/>
          <w:szCs w:val="22"/>
        </w:rPr>
        <w:t xml:space="preserve">Description of options considered (including do nothing), with reference to the evidence base to support the option </w:t>
      </w:r>
      <w:proofErr w:type="gramStart"/>
      <w:r w:rsidRPr="00633593">
        <w:rPr>
          <w:sz w:val="22"/>
          <w:szCs w:val="22"/>
        </w:rPr>
        <w:t>selection;</w:t>
      </w:r>
      <w:proofErr w:type="gramEnd"/>
    </w:p>
    <w:p w14:paraId="61F13751" w14:textId="77777777" w:rsidR="00F447F1" w:rsidRPr="00633593" w:rsidRDefault="00F447F1" w:rsidP="00F447F1">
      <w:pPr>
        <w:numPr>
          <w:ilvl w:val="0"/>
          <w:numId w:val="1"/>
        </w:numPr>
        <w:tabs>
          <w:tab w:val="left" w:pos="7920"/>
        </w:tabs>
        <w:rPr>
          <w:sz w:val="22"/>
          <w:szCs w:val="22"/>
        </w:rPr>
      </w:pPr>
      <w:r w:rsidRPr="00633593">
        <w:rPr>
          <w:sz w:val="22"/>
          <w:szCs w:val="22"/>
        </w:rPr>
        <w:t>Monetised and non-monetised costs and benefits of each option (including administrative burden</w:t>
      </w:r>
      <w:proofErr w:type="gramStart"/>
      <w:r w:rsidRPr="00633593">
        <w:rPr>
          <w:sz w:val="22"/>
          <w:szCs w:val="22"/>
        </w:rPr>
        <w:t>);</w:t>
      </w:r>
      <w:proofErr w:type="gramEnd"/>
    </w:p>
    <w:p w14:paraId="7DE413E9" w14:textId="77777777" w:rsidR="00F447F1" w:rsidRPr="00633593" w:rsidRDefault="00F447F1" w:rsidP="00F447F1">
      <w:pPr>
        <w:numPr>
          <w:ilvl w:val="0"/>
          <w:numId w:val="1"/>
        </w:numPr>
        <w:tabs>
          <w:tab w:val="left" w:pos="7920"/>
        </w:tabs>
        <w:rPr>
          <w:sz w:val="22"/>
          <w:szCs w:val="22"/>
        </w:rPr>
      </w:pPr>
      <w:r w:rsidRPr="00633593">
        <w:rPr>
          <w:sz w:val="22"/>
          <w:szCs w:val="22"/>
        </w:rPr>
        <w:t xml:space="preserve">Rationale and evidence that justify the level of analysis used in the </w:t>
      </w:r>
      <w:r w:rsidR="00C46D29" w:rsidRPr="00633593">
        <w:rPr>
          <w:sz w:val="22"/>
          <w:szCs w:val="22"/>
        </w:rPr>
        <w:t>R</w:t>
      </w:r>
      <w:r w:rsidRPr="00633593">
        <w:rPr>
          <w:sz w:val="22"/>
          <w:szCs w:val="22"/>
        </w:rPr>
        <w:t>IA (proportionality approach</w:t>
      </w:r>
      <w:proofErr w:type="gramStart"/>
      <w:r w:rsidRPr="00633593">
        <w:rPr>
          <w:sz w:val="22"/>
          <w:szCs w:val="22"/>
        </w:rPr>
        <w:t>);</w:t>
      </w:r>
      <w:proofErr w:type="gramEnd"/>
    </w:p>
    <w:p w14:paraId="31DCCAA8" w14:textId="77777777" w:rsidR="00F447F1" w:rsidRPr="00633593" w:rsidRDefault="00F447F1" w:rsidP="00F447F1">
      <w:pPr>
        <w:numPr>
          <w:ilvl w:val="0"/>
          <w:numId w:val="1"/>
        </w:numPr>
        <w:tabs>
          <w:tab w:val="left" w:pos="7920"/>
        </w:tabs>
        <w:rPr>
          <w:sz w:val="22"/>
          <w:szCs w:val="22"/>
        </w:rPr>
      </w:pPr>
      <w:r w:rsidRPr="00633593">
        <w:rPr>
          <w:sz w:val="22"/>
          <w:szCs w:val="22"/>
        </w:rPr>
        <w:t xml:space="preserve">Risks and </w:t>
      </w:r>
      <w:proofErr w:type="gramStart"/>
      <w:r w:rsidRPr="00633593">
        <w:rPr>
          <w:sz w:val="22"/>
          <w:szCs w:val="22"/>
        </w:rPr>
        <w:t>assumptions;</w:t>
      </w:r>
      <w:proofErr w:type="gramEnd"/>
    </w:p>
    <w:p w14:paraId="7E574FFE" w14:textId="77777777" w:rsidR="00F447F1" w:rsidRPr="00633593" w:rsidRDefault="00F447F1" w:rsidP="00F447F1">
      <w:pPr>
        <w:numPr>
          <w:ilvl w:val="0"/>
          <w:numId w:val="1"/>
        </w:numPr>
        <w:tabs>
          <w:tab w:val="left" w:pos="7920"/>
        </w:tabs>
        <w:rPr>
          <w:sz w:val="22"/>
          <w:szCs w:val="22"/>
        </w:rPr>
      </w:pPr>
      <w:r w:rsidRPr="00633593">
        <w:rPr>
          <w:sz w:val="22"/>
          <w:szCs w:val="22"/>
        </w:rPr>
        <w:t xml:space="preserve">Direct costs and benefits to </w:t>
      </w:r>
      <w:proofErr w:type="gramStart"/>
      <w:r w:rsidRPr="00633593">
        <w:rPr>
          <w:sz w:val="22"/>
          <w:szCs w:val="22"/>
        </w:rPr>
        <w:t>business;</w:t>
      </w:r>
      <w:proofErr w:type="gramEnd"/>
    </w:p>
    <w:p w14:paraId="76A4AF9E" w14:textId="77777777" w:rsidR="00F447F1" w:rsidRPr="00633593" w:rsidRDefault="00F447F1" w:rsidP="00F447F1">
      <w:pPr>
        <w:numPr>
          <w:ilvl w:val="0"/>
          <w:numId w:val="1"/>
        </w:numPr>
        <w:tabs>
          <w:tab w:val="left" w:pos="7920"/>
        </w:tabs>
        <w:rPr>
          <w:sz w:val="22"/>
          <w:szCs w:val="22"/>
        </w:rPr>
      </w:pPr>
      <w:r w:rsidRPr="00633593">
        <w:rPr>
          <w:sz w:val="22"/>
          <w:szCs w:val="22"/>
        </w:rPr>
        <w:t>Wider impacts (in the context of other Impact Assessments in Policy Toolkit Workbook 4</w:t>
      </w:r>
      <w:r w:rsidR="00C46D29" w:rsidRPr="00633593">
        <w:rPr>
          <w:sz w:val="22"/>
          <w:szCs w:val="22"/>
        </w:rPr>
        <w:t>, economic assessment and NIGEAE</w:t>
      </w:r>
      <w:r w:rsidRPr="00633593">
        <w:rPr>
          <w:sz w:val="22"/>
          <w:szCs w:val="22"/>
        </w:rPr>
        <w:t>)</w:t>
      </w:r>
    </w:p>
    <w:p w14:paraId="26F2336A" w14:textId="77777777" w:rsidR="00F447F1" w:rsidRPr="00633593" w:rsidRDefault="00F447F1" w:rsidP="00F447F1">
      <w:pPr>
        <w:tabs>
          <w:tab w:val="left" w:pos="7920"/>
        </w:tabs>
        <w:rPr>
          <w:sz w:val="22"/>
          <w:szCs w:val="22"/>
        </w:rPr>
      </w:pPr>
    </w:p>
    <w:p w14:paraId="34AB3C74" w14:textId="77777777" w:rsidR="00022D29" w:rsidRPr="00D10FAD" w:rsidRDefault="008140C6" w:rsidP="00F447F1">
      <w:pPr>
        <w:tabs>
          <w:tab w:val="left" w:pos="7920"/>
        </w:tabs>
        <w:rPr>
          <w:b/>
          <w:sz w:val="22"/>
          <w:szCs w:val="22"/>
        </w:rPr>
      </w:pPr>
      <w:permStart w:id="1076504152" w:edGrp="everyone"/>
      <w:r w:rsidRPr="00D10FAD">
        <w:rPr>
          <w:b/>
          <w:sz w:val="22"/>
          <w:szCs w:val="22"/>
        </w:rPr>
        <w:t xml:space="preserve">Problem under consideration and rationale for intervention </w:t>
      </w:r>
    </w:p>
    <w:p w14:paraId="283B0AE7" w14:textId="77777777" w:rsidR="00022D29" w:rsidRPr="00D10FAD" w:rsidRDefault="00022D29" w:rsidP="00F447F1">
      <w:pPr>
        <w:tabs>
          <w:tab w:val="left" w:pos="7920"/>
        </w:tabs>
        <w:rPr>
          <w:b/>
          <w:sz w:val="22"/>
          <w:szCs w:val="22"/>
        </w:rPr>
      </w:pPr>
    </w:p>
    <w:p w14:paraId="7C1E14CF" w14:textId="77777777" w:rsidR="00022D29" w:rsidRPr="00D10FAD" w:rsidRDefault="008140C6" w:rsidP="00F447F1">
      <w:pPr>
        <w:tabs>
          <w:tab w:val="left" w:pos="7920"/>
        </w:tabs>
        <w:rPr>
          <w:sz w:val="22"/>
          <w:szCs w:val="22"/>
        </w:rPr>
      </w:pPr>
      <w:r w:rsidRPr="00D10FAD">
        <w:rPr>
          <w:sz w:val="22"/>
          <w:szCs w:val="22"/>
        </w:rPr>
        <w:t xml:space="preserve">1. The changes to the legislation are to ensure that the most financially distressed consumers with debt problems can access a proportionate solution to obtain debt relief and enable them to make a fresh start. To achieve this objective, </w:t>
      </w:r>
      <w:r w:rsidR="00022D29" w:rsidRPr="00D10FAD">
        <w:rPr>
          <w:sz w:val="22"/>
          <w:szCs w:val="22"/>
        </w:rPr>
        <w:t xml:space="preserve">it is proposed to make </w:t>
      </w:r>
      <w:r w:rsidRPr="00D10FAD">
        <w:rPr>
          <w:sz w:val="22"/>
          <w:szCs w:val="22"/>
        </w:rPr>
        <w:t>changes</w:t>
      </w:r>
      <w:r w:rsidR="00022D29" w:rsidRPr="00D10FAD">
        <w:rPr>
          <w:sz w:val="22"/>
          <w:szCs w:val="22"/>
        </w:rPr>
        <w:t xml:space="preserve"> to </w:t>
      </w:r>
      <w:r w:rsidRPr="00D10FAD">
        <w:rPr>
          <w:sz w:val="22"/>
          <w:szCs w:val="22"/>
        </w:rPr>
        <w:t xml:space="preserve">the monetary eligibility criteria for DROs. </w:t>
      </w:r>
    </w:p>
    <w:p w14:paraId="291141B0" w14:textId="77777777" w:rsidR="00022D29" w:rsidRPr="00D10FAD" w:rsidRDefault="00022D29" w:rsidP="00F447F1">
      <w:pPr>
        <w:tabs>
          <w:tab w:val="left" w:pos="7920"/>
        </w:tabs>
        <w:rPr>
          <w:sz w:val="22"/>
          <w:szCs w:val="22"/>
        </w:rPr>
      </w:pPr>
    </w:p>
    <w:p w14:paraId="79A305C7" w14:textId="55528670" w:rsidR="003C028C" w:rsidRPr="00D10FAD" w:rsidRDefault="008140C6" w:rsidP="00F447F1">
      <w:pPr>
        <w:tabs>
          <w:tab w:val="left" w:pos="7920"/>
        </w:tabs>
        <w:rPr>
          <w:sz w:val="22"/>
          <w:szCs w:val="22"/>
        </w:rPr>
      </w:pPr>
      <w:r w:rsidRPr="00D10FAD">
        <w:rPr>
          <w:sz w:val="22"/>
          <w:szCs w:val="22"/>
        </w:rPr>
        <w:t xml:space="preserve">2. Individuals with problem debt have a range of options to deal with their debts. These are described below and fall into two types: formal (statutory) and informal solutions. </w:t>
      </w:r>
    </w:p>
    <w:p w14:paraId="40E08EBF" w14:textId="77777777" w:rsidR="00186418" w:rsidRDefault="00186418" w:rsidP="00F447F1">
      <w:pPr>
        <w:tabs>
          <w:tab w:val="left" w:pos="7920"/>
        </w:tabs>
        <w:rPr>
          <w:sz w:val="22"/>
          <w:szCs w:val="22"/>
        </w:rPr>
      </w:pPr>
    </w:p>
    <w:p w14:paraId="7E21A1FE" w14:textId="59FC589E" w:rsidR="00022D29" w:rsidRPr="00D10FAD" w:rsidRDefault="008140C6" w:rsidP="00F447F1">
      <w:pPr>
        <w:tabs>
          <w:tab w:val="left" w:pos="7920"/>
        </w:tabs>
        <w:rPr>
          <w:sz w:val="22"/>
          <w:szCs w:val="22"/>
        </w:rPr>
      </w:pPr>
      <w:r w:rsidRPr="00D10FAD">
        <w:rPr>
          <w:sz w:val="22"/>
          <w:szCs w:val="22"/>
        </w:rPr>
        <w:t xml:space="preserve">Figure 1: Debt Solutions for a person in debt in </w:t>
      </w:r>
      <w:r w:rsidR="00022D29" w:rsidRPr="00D10FAD">
        <w:rPr>
          <w:sz w:val="22"/>
          <w:szCs w:val="22"/>
        </w:rPr>
        <w:t>Northern Ireland</w:t>
      </w:r>
      <w:r w:rsidRPr="00D10FAD">
        <w:rPr>
          <w:sz w:val="22"/>
          <w:szCs w:val="22"/>
        </w:rPr>
        <w:t xml:space="preserve"> (statutory solutions grey and non-statutory white) </w:t>
      </w:r>
    </w:p>
    <w:p w14:paraId="6B509378" w14:textId="77777777" w:rsidR="00022D29" w:rsidRPr="00D10FAD" w:rsidRDefault="00022D29" w:rsidP="00F447F1">
      <w:pPr>
        <w:tabs>
          <w:tab w:val="left" w:pos="792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735376" w:rsidRPr="00633593" w14:paraId="55079CC4" w14:textId="77777777" w:rsidTr="00735376">
        <w:tc>
          <w:tcPr>
            <w:tcW w:w="3432" w:type="dxa"/>
            <w:shd w:val="clear" w:color="auto" w:fill="BFBFBF"/>
          </w:tcPr>
          <w:p w14:paraId="0D3648B9" w14:textId="77777777" w:rsidR="00022D29" w:rsidRPr="00D10FAD" w:rsidRDefault="00022D29" w:rsidP="00735376">
            <w:pPr>
              <w:tabs>
                <w:tab w:val="left" w:pos="7920"/>
              </w:tabs>
              <w:rPr>
                <w:b/>
                <w:sz w:val="22"/>
                <w:szCs w:val="22"/>
              </w:rPr>
            </w:pPr>
            <w:r w:rsidRPr="00D10FAD">
              <w:rPr>
                <w:b/>
                <w:sz w:val="22"/>
                <w:szCs w:val="22"/>
              </w:rPr>
              <w:t>Administration Order</w:t>
            </w:r>
            <w:r w:rsidR="00BE1FEA" w:rsidRPr="00D10FAD">
              <w:rPr>
                <w:b/>
                <w:sz w:val="22"/>
                <w:szCs w:val="22"/>
              </w:rPr>
              <w:t>:</w:t>
            </w:r>
            <w:r w:rsidRPr="00D10FAD">
              <w:rPr>
                <w:b/>
                <w:sz w:val="22"/>
                <w:szCs w:val="22"/>
              </w:rPr>
              <w:t xml:space="preserve"> </w:t>
            </w:r>
          </w:p>
          <w:p w14:paraId="7690AADC" w14:textId="77777777" w:rsidR="00022D29" w:rsidRPr="00D10FAD" w:rsidRDefault="00022D29" w:rsidP="00735376">
            <w:pPr>
              <w:tabs>
                <w:tab w:val="left" w:pos="7920"/>
              </w:tabs>
              <w:rPr>
                <w:sz w:val="22"/>
                <w:szCs w:val="22"/>
              </w:rPr>
            </w:pPr>
          </w:p>
          <w:p w14:paraId="26F7A8F8" w14:textId="77777777" w:rsidR="00022D29" w:rsidRPr="00D10FAD" w:rsidRDefault="00BE1FEA" w:rsidP="00735376">
            <w:pPr>
              <w:tabs>
                <w:tab w:val="left" w:pos="7920"/>
              </w:tabs>
              <w:rPr>
                <w:sz w:val="22"/>
                <w:szCs w:val="22"/>
              </w:rPr>
            </w:pPr>
            <w:r w:rsidRPr="00D10FAD">
              <w:rPr>
                <w:sz w:val="22"/>
                <w:szCs w:val="22"/>
              </w:rPr>
              <w:t xml:space="preserve">A payment plan managed by the Enforcement of Judgments Office. </w:t>
            </w:r>
          </w:p>
          <w:p w14:paraId="0619ED11" w14:textId="77777777" w:rsidR="00022D29" w:rsidRPr="00D10FAD" w:rsidRDefault="00022D29" w:rsidP="00735376">
            <w:pPr>
              <w:tabs>
                <w:tab w:val="left" w:pos="7920"/>
              </w:tabs>
              <w:rPr>
                <w:sz w:val="22"/>
                <w:szCs w:val="22"/>
              </w:rPr>
            </w:pPr>
          </w:p>
          <w:p w14:paraId="2BA856C8" w14:textId="77777777" w:rsidR="00022D29" w:rsidRPr="00D10FAD" w:rsidRDefault="00022D29" w:rsidP="00735376">
            <w:pPr>
              <w:tabs>
                <w:tab w:val="left" w:pos="7920"/>
              </w:tabs>
              <w:rPr>
                <w:sz w:val="22"/>
                <w:szCs w:val="22"/>
              </w:rPr>
            </w:pPr>
          </w:p>
        </w:tc>
        <w:tc>
          <w:tcPr>
            <w:tcW w:w="3432" w:type="dxa"/>
            <w:shd w:val="clear" w:color="auto" w:fill="auto"/>
          </w:tcPr>
          <w:p w14:paraId="7415F392" w14:textId="77777777" w:rsidR="002C663D" w:rsidRPr="00D10FAD" w:rsidRDefault="002C663D" w:rsidP="00735376">
            <w:pPr>
              <w:tabs>
                <w:tab w:val="left" w:pos="7920"/>
              </w:tabs>
              <w:rPr>
                <w:b/>
                <w:sz w:val="22"/>
                <w:szCs w:val="22"/>
              </w:rPr>
            </w:pPr>
            <w:r w:rsidRPr="00D10FAD">
              <w:rPr>
                <w:b/>
                <w:sz w:val="22"/>
                <w:szCs w:val="22"/>
              </w:rPr>
              <w:t xml:space="preserve">Arranging debt repayments with creditors: </w:t>
            </w:r>
          </w:p>
          <w:p w14:paraId="092E1BBB" w14:textId="77777777" w:rsidR="00022D29" w:rsidRPr="00D10FAD" w:rsidRDefault="002C663D" w:rsidP="00735376">
            <w:pPr>
              <w:tabs>
                <w:tab w:val="left" w:pos="7920"/>
              </w:tabs>
              <w:rPr>
                <w:sz w:val="22"/>
                <w:szCs w:val="22"/>
              </w:rPr>
            </w:pPr>
            <w:r w:rsidRPr="00D10FAD">
              <w:rPr>
                <w:sz w:val="22"/>
                <w:szCs w:val="22"/>
              </w:rPr>
              <w:t>If a person is behind with payments or just needs some breathing space to take control of their finances, debt repayments may be arranged directly with creditors.</w:t>
            </w:r>
          </w:p>
        </w:tc>
        <w:tc>
          <w:tcPr>
            <w:tcW w:w="3432" w:type="dxa"/>
            <w:shd w:val="clear" w:color="auto" w:fill="BFBFBF"/>
          </w:tcPr>
          <w:p w14:paraId="48EA99CB" w14:textId="77777777" w:rsidR="002C663D" w:rsidRPr="00D10FAD" w:rsidRDefault="002C663D" w:rsidP="00735376">
            <w:pPr>
              <w:tabs>
                <w:tab w:val="left" w:pos="7920"/>
              </w:tabs>
              <w:rPr>
                <w:b/>
                <w:sz w:val="22"/>
                <w:szCs w:val="22"/>
              </w:rPr>
            </w:pPr>
            <w:r w:rsidRPr="00D10FAD">
              <w:rPr>
                <w:b/>
                <w:sz w:val="22"/>
                <w:szCs w:val="22"/>
              </w:rPr>
              <w:t xml:space="preserve">Bankruptcy: </w:t>
            </w:r>
          </w:p>
          <w:p w14:paraId="6B1AD7CF" w14:textId="77777777" w:rsidR="002C663D" w:rsidRPr="00D10FAD" w:rsidRDefault="002C663D" w:rsidP="00735376">
            <w:pPr>
              <w:tabs>
                <w:tab w:val="left" w:pos="7920"/>
              </w:tabs>
              <w:rPr>
                <w:sz w:val="22"/>
                <w:szCs w:val="22"/>
              </w:rPr>
            </w:pPr>
            <w:r w:rsidRPr="00D10FAD">
              <w:rPr>
                <w:sz w:val="22"/>
                <w:szCs w:val="22"/>
              </w:rPr>
              <w:t xml:space="preserve">A legal process that writes off unsecured debts but will use assets to repay creditors where appropriate. It provides a fresh start. </w:t>
            </w:r>
          </w:p>
          <w:p w14:paraId="7FD622F2" w14:textId="77777777" w:rsidR="00022D29" w:rsidRPr="00D10FAD" w:rsidRDefault="002C663D" w:rsidP="00735376">
            <w:pPr>
              <w:tabs>
                <w:tab w:val="left" w:pos="7920"/>
              </w:tabs>
              <w:rPr>
                <w:sz w:val="22"/>
                <w:szCs w:val="22"/>
              </w:rPr>
            </w:pPr>
            <w:r w:rsidRPr="00D10FAD">
              <w:rPr>
                <w:sz w:val="22"/>
                <w:szCs w:val="22"/>
              </w:rPr>
              <w:t>Bankruptcies result from either Debtor petitions- the debtor applies to the High Court to have themselves made bankrupt, or Creditor petitions – the creditor applies to the High Court to have another individual made bankrupt</w:t>
            </w:r>
          </w:p>
        </w:tc>
      </w:tr>
      <w:tr w:rsidR="00735376" w:rsidRPr="00633593" w14:paraId="4AE7A2C0" w14:textId="77777777" w:rsidTr="00735376">
        <w:tc>
          <w:tcPr>
            <w:tcW w:w="3432" w:type="dxa"/>
            <w:shd w:val="clear" w:color="auto" w:fill="auto"/>
          </w:tcPr>
          <w:p w14:paraId="2015F8FA" w14:textId="77777777" w:rsidR="00022D29" w:rsidRPr="00D10FAD" w:rsidRDefault="002C663D" w:rsidP="00735376">
            <w:pPr>
              <w:tabs>
                <w:tab w:val="left" w:pos="7920"/>
              </w:tabs>
              <w:rPr>
                <w:sz w:val="22"/>
                <w:szCs w:val="22"/>
              </w:rPr>
            </w:pPr>
            <w:r w:rsidRPr="00D10FAD">
              <w:rPr>
                <w:sz w:val="22"/>
                <w:szCs w:val="22"/>
              </w:rPr>
              <w:t>Debt consolidation loans: Consolidating debt usually involves taking out new credit in the form of a debt consolidation loan to pay off existing credit.</w:t>
            </w:r>
          </w:p>
        </w:tc>
        <w:tc>
          <w:tcPr>
            <w:tcW w:w="3432" w:type="dxa"/>
            <w:shd w:val="clear" w:color="auto" w:fill="auto"/>
          </w:tcPr>
          <w:p w14:paraId="05FD4645" w14:textId="77777777" w:rsidR="00022D29" w:rsidRPr="00D10FAD" w:rsidRDefault="002C663D" w:rsidP="00735376">
            <w:pPr>
              <w:tabs>
                <w:tab w:val="left" w:pos="7920"/>
              </w:tabs>
              <w:rPr>
                <w:sz w:val="22"/>
                <w:szCs w:val="22"/>
              </w:rPr>
            </w:pPr>
            <w:r w:rsidRPr="00D10FAD">
              <w:rPr>
                <w:sz w:val="22"/>
                <w:szCs w:val="22"/>
              </w:rPr>
              <w:t xml:space="preserve">Debt management plan (DMPs): A DMP is usually arranged by a third-party provider. A single monthly payment is made to the </w:t>
            </w:r>
            <w:proofErr w:type="gramStart"/>
            <w:r w:rsidRPr="00D10FAD">
              <w:rPr>
                <w:sz w:val="22"/>
                <w:szCs w:val="22"/>
              </w:rPr>
              <w:t>provider</w:t>
            </w:r>
            <w:proofErr w:type="gramEnd"/>
            <w:r w:rsidRPr="00D10FAD">
              <w:rPr>
                <w:sz w:val="22"/>
                <w:szCs w:val="22"/>
              </w:rPr>
              <w:t xml:space="preserve"> and they contact creditors and share the payment each month.</w:t>
            </w:r>
          </w:p>
        </w:tc>
        <w:tc>
          <w:tcPr>
            <w:tcW w:w="3432" w:type="dxa"/>
            <w:shd w:val="clear" w:color="auto" w:fill="BFBFBF"/>
          </w:tcPr>
          <w:p w14:paraId="607D886D" w14:textId="77777777" w:rsidR="00022D29" w:rsidRPr="00D10FAD" w:rsidRDefault="002C663D" w:rsidP="00735376">
            <w:pPr>
              <w:tabs>
                <w:tab w:val="left" w:pos="7920"/>
              </w:tabs>
              <w:rPr>
                <w:sz w:val="22"/>
                <w:szCs w:val="22"/>
              </w:rPr>
            </w:pPr>
            <w:r w:rsidRPr="00D10FAD">
              <w:rPr>
                <w:sz w:val="22"/>
                <w:szCs w:val="22"/>
              </w:rPr>
              <w:t xml:space="preserve">Debt relief order (DRO): Debts are frozen for 12 months and, if a person’s circumstances don’t change, they will be written off. There are asset, surplus </w:t>
            </w:r>
            <w:proofErr w:type="gramStart"/>
            <w:r w:rsidRPr="00D10FAD">
              <w:rPr>
                <w:sz w:val="22"/>
                <w:szCs w:val="22"/>
              </w:rPr>
              <w:t>income</w:t>
            </w:r>
            <w:proofErr w:type="gramEnd"/>
            <w:r w:rsidRPr="00D10FAD">
              <w:rPr>
                <w:sz w:val="22"/>
                <w:szCs w:val="22"/>
              </w:rPr>
              <w:t xml:space="preserve"> and debt eligibility criteria.</w:t>
            </w:r>
          </w:p>
        </w:tc>
      </w:tr>
      <w:tr w:rsidR="00022D29" w:rsidRPr="00633593" w14:paraId="043409DC" w14:textId="77777777" w:rsidTr="00735376">
        <w:tc>
          <w:tcPr>
            <w:tcW w:w="3432" w:type="dxa"/>
            <w:shd w:val="clear" w:color="auto" w:fill="BFBFBF"/>
          </w:tcPr>
          <w:p w14:paraId="335B81D5" w14:textId="77777777" w:rsidR="00022D29" w:rsidRPr="00D10FAD" w:rsidRDefault="002C663D" w:rsidP="00735376">
            <w:pPr>
              <w:tabs>
                <w:tab w:val="left" w:pos="7920"/>
              </w:tabs>
              <w:rPr>
                <w:sz w:val="22"/>
                <w:szCs w:val="22"/>
              </w:rPr>
            </w:pPr>
            <w:r w:rsidRPr="00D10FAD">
              <w:rPr>
                <w:sz w:val="22"/>
                <w:szCs w:val="22"/>
              </w:rPr>
              <w:t>Individual voluntary arrangement (IVA): A formal agreement with creditors, usually over 5-6 years, arranged through an Insolvency Practitioner.</w:t>
            </w:r>
          </w:p>
        </w:tc>
        <w:tc>
          <w:tcPr>
            <w:tcW w:w="3432" w:type="dxa"/>
            <w:shd w:val="clear" w:color="auto" w:fill="auto"/>
          </w:tcPr>
          <w:p w14:paraId="5890994D" w14:textId="77777777" w:rsidR="00022D29" w:rsidRPr="00D10FAD" w:rsidRDefault="002C663D" w:rsidP="00735376">
            <w:pPr>
              <w:tabs>
                <w:tab w:val="left" w:pos="7920"/>
              </w:tabs>
              <w:rPr>
                <w:sz w:val="22"/>
                <w:szCs w:val="22"/>
              </w:rPr>
            </w:pPr>
            <w:r w:rsidRPr="00D10FAD">
              <w:rPr>
                <w:sz w:val="22"/>
                <w:szCs w:val="22"/>
              </w:rPr>
              <w:t>Releasing equity: Using equity release to access money that is tied up in a property.</w:t>
            </w:r>
          </w:p>
        </w:tc>
        <w:tc>
          <w:tcPr>
            <w:tcW w:w="3432" w:type="dxa"/>
            <w:shd w:val="clear" w:color="auto" w:fill="auto"/>
          </w:tcPr>
          <w:p w14:paraId="3E55FF68" w14:textId="77777777" w:rsidR="00022D29" w:rsidRPr="00D10FAD" w:rsidRDefault="002C663D" w:rsidP="00735376">
            <w:pPr>
              <w:tabs>
                <w:tab w:val="left" w:pos="7920"/>
              </w:tabs>
              <w:rPr>
                <w:sz w:val="22"/>
                <w:szCs w:val="22"/>
              </w:rPr>
            </w:pPr>
            <w:r w:rsidRPr="00D10FAD">
              <w:rPr>
                <w:sz w:val="22"/>
                <w:szCs w:val="22"/>
              </w:rPr>
              <w:t>Settlement offers: Offering creditors less than they are owed to clear the debts</w:t>
            </w:r>
          </w:p>
        </w:tc>
      </w:tr>
      <w:tr w:rsidR="00022D29" w:rsidRPr="00633593" w14:paraId="06330D56" w14:textId="77777777" w:rsidTr="00735376">
        <w:tc>
          <w:tcPr>
            <w:tcW w:w="3432" w:type="dxa"/>
            <w:shd w:val="clear" w:color="auto" w:fill="auto"/>
          </w:tcPr>
          <w:p w14:paraId="5B6ADE90" w14:textId="77777777" w:rsidR="00022D29" w:rsidRPr="00D10FAD" w:rsidRDefault="002C663D" w:rsidP="00735376">
            <w:pPr>
              <w:tabs>
                <w:tab w:val="left" w:pos="7920"/>
              </w:tabs>
              <w:rPr>
                <w:sz w:val="22"/>
                <w:szCs w:val="22"/>
              </w:rPr>
            </w:pPr>
            <w:r w:rsidRPr="00D10FAD">
              <w:rPr>
                <w:sz w:val="22"/>
                <w:szCs w:val="22"/>
              </w:rPr>
              <w:t xml:space="preserve">Token (or Temporary) repayment plan: When a small amount is offered to creditors to demonstrate willingness to repay </w:t>
            </w:r>
            <w:r w:rsidRPr="00D10FAD">
              <w:rPr>
                <w:sz w:val="22"/>
                <w:szCs w:val="22"/>
              </w:rPr>
              <w:lastRenderedPageBreak/>
              <w:t>but inability for the moment.</w:t>
            </w:r>
          </w:p>
        </w:tc>
        <w:tc>
          <w:tcPr>
            <w:tcW w:w="3432" w:type="dxa"/>
            <w:shd w:val="clear" w:color="auto" w:fill="auto"/>
          </w:tcPr>
          <w:p w14:paraId="2DE92982" w14:textId="77777777" w:rsidR="00022D29" w:rsidRPr="00D10FAD" w:rsidRDefault="00022D29" w:rsidP="00735376">
            <w:pPr>
              <w:tabs>
                <w:tab w:val="left" w:pos="7920"/>
              </w:tabs>
              <w:rPr>
                <w:sz w:val="22"/>
                <w:szCs w:val="22"/>
              </w:rPr>
            </w:pPr>
          </w:p>
        </w:tc>
        <w:tc>
          <w:tcPr>
            <w:tcW w:w="3432" w:type="dxa"/>
            <w:shd w:val="clear" w:color="auto" w:fill="auto"/>
          </w:tcPr>
          <w:p w14:paraId="64EA28FB" w14:textId="77777777" w:rsidR="00022D29" w:rsidRPr="00D10FAD" w:rsidRDefault="00022D29" w:rsidP="00735376">
            <w:pPr>
              <w:tabs>
                <w:tab w:val="left" w:pos="7920"/>
              </w:tabs>
              <w:rPr>
                <w:sz w:val="22"/>
                <w:szCs w:val="22"/>
              </w:rPr>
            </w:pPr>
          </w:p>
        </w:tc>
      </w:tr>
    </w:tbl>
    <w:p w14:paraId="4E7B1C23" w14:textId="77777777" w:rsidR="00186418" w:rsidRDefault="00186418" w:rsidP="00D10FAD">
      <w:pPr>
        <w:tabs>
          <w:tab w:val="left" w:pos="7920"/>
        </w:tabs>
        <w:spacing w:after="120"/>
        <w:rPr>
          <w:sz w:val="22"/>
          <w:szCs w:val="22"/>
        </w:rPr>
      </w:pPr>
    </w:p>
    <w:p w14:paraId="3C4ABD72" w14:textId="04FBF6E3" w:rsidR="00022D29" w:rsidRPr="00D10FAD" w:rsidRDefault="00186418" w:rsidP="00D10FAD">
      <w:pPr>
        <w:tabs>
          <w:tab w:val="left" w:pos="7920"/>
        </w:tabs>
        <w:spacing w:after="120"/>
        <w:rPr>
          <w:sz w:val="22"/>
          <w:szCs w:val="22"/>
        </w:rPr>
      </w:pPr>
      <w:r>
        <w:rPr>
          <w:sz w:val="22"/>
          <w:szCs w:val="22"/>
        </w:rPr>
        <w:t>3</w:t>
      </w:r>
      <w:r w:rsidR="007D6B4B" w:rsidRPr="00D10FAD">
        <w:rPr>
          <w:sz w:val="22"/>
          <w:szCs w:val="22"/>
        </w:rPr>
        <w:t xml:space="preserve">. DROs were introduced in Northern Ireland in 2011 and were aimed at providing debt relief to individuals in financial difficulty with low levels of debt, </w:t>
      </w:r>
      <w:proofErr w:type="gramStart"/>
      <w:r w:rsidR="007D6B4B" w:rsidRPr="00D10FAD">
        <w:rPr>
          <w:sz w:val="22"/>
          <w:szCs w:val="22"/>
        </w:rPr>
        <w:t>assets</w:t>
      </w:r>
      <w:proofErr w:type="gramEnd"/>
      <w:r w:rsidR="007D6B4B" w:rsidRPr="00D10FAD">
        <w:rPr>
          <w:sz w:val="22"/>
          <w:szCs w:val="22"/>
        </w:rPr>
        <w:t xml:space="preserve"> and surplus income. For this group, which has no prospect of being able to make any returns to creditors, bankruptcy,</w:t>
      </w:r>
      <w:r w:rsidR="008C2F2F" w:rsidRPr="00D10FAD">
        <w:rPr>
          <w:sz w:val="22"/>
          <w:szCs w:val="22"/>
        </w:rPr>
        <w:t xml:space="preserve"> </w:t>
      </w:r>
      <w:r w:rsidR="007D6B4B" w:rsidRPr="00D10FAD">
        <w:rPr>
          <w:sz w:val="22"/>
          <w:szCs w:val="22"/>
        </w:rPr>
        <w:t>would be a disproportionate response. The monetary eligibility criteria to obtain a DRO were set in 2011</w:t>
      </w:r>
      <w:r w:rsidR="00347D5B" w:rsidRPr="00D10FAD">
        <w:rPr>
          <w:sz w:val="22"/>
          <w:szCs w:val="22"/>
        </w:rPr>
        <w:t xml:space="preserve"> as</w:t>
      </w:r>
      <w:r w:rsidR="007D6B4B" w:rsidRPr="00D10FAD">
        <w:rPr>
          <w:sz w:val="22"/>
          <w:szCs w:val="22"/>
        </w:rPr>
        <w:t>: debts needed to be under £15,000, assets needed to be under £300, with no/</w:t>
      </w:r>
      <w:proofErr w:type="spellStart"/>
      <w:r w:rsidR="007D6B4B" w:rsidRPr="00D10FAD">
        <w:rPr>
          <w:sz w:val="22"/>
          <w:szCs w:val="22"/>
        </w:rPr>
        <w:t>to</w:t>
      </w:r>
      <w:proofErr w:type="spellEnd"/>
      <w:r w:rsidR="007D6B4B" w:rsidRPr="00D10FAD">
        <w:rPr>
          <w:sz w:val="22"/>
          <w:szCs w:val="22"/>
        </w:rPr>
        <w:t xml:space="preserve"> little surplus income, which needed to be under £50 and the value of a single domestic vehicle was excluded if it was worth less than £1,000. </w:t>
      </w:r>
      <w:r w:rsidR="00347D5B" w:rsidRPr="00D10FAD">
        <w:rPr>
          <w:sz w:val="22"/>
          <w:szCs w:val="22"/>
        </w:rPr>
        <w:t xml:space="preserve"> In 2016</w:t>
      </w:r>
      <w:r w:rsidR="00FB254B" w:rsidRPr="00D10FAD">
        <w:rPr>
          <w:rStyle w:val="FootnoteReference"/>
          <w:b/>
          <w:sz w:val="22"/>
          <w:szCs w:val="22"/>
        </w:rPr>
        <w:footnoteReference w:id="1"/>
      </w:r>
      <w:r w:rsidR="006D5F15" w:rsidRPr="00D10FAD">
        <w:rPr>
          <w:sz w:val="22"/>
          <w:szCs w:val="22"/>
        </w:rPr>
        <w:t xml:space="preserve"> </w:t>
      </w:r>
      <w:r w:rsidR="00347D5B" w:rsidRPr="00D10FAD">
        <w:rPr>
          <w:sz w:val="22"/>
          <w:szCs w:val="22"/>
        </w:rPr>
        <w:t xml:space="preserve">the </w:t>
      </w:r>
      <w:r w:rsidR="00762937" w:rsidRPr="00D10FAD">
        <w:rPr>
          <w:sz w:val="22"/>
          <w:szCs w:val="22"/>
        </w:rPr>
        <w:t>limit</w:t>
      </w:r>
      <w:r w:rsidR="00347D5B" w:rsidRPr="00D10FAD">
        <w:rPr>
          <w:sz w:val="22"/>
          <w:szCs w:val="22"/>
        </w:rPr>
        <w:t xml:space="preserve"> on debt was increased to £20,000 and the limit on assets to </w:t>
      </w:r>
      <w:r w:rsidR="007D6B4B" w:rsidRPr="00D10FAD">
        <w:rPr>
          <w:sz w:val="22"/>
          <w:szCs w:val="22"/>
        </w:rPr>
        <w:t xml:space="preserve">£1,000. </w:t>
      </w:r>
    </w:p>
    <w:p w14:paraId="7D550CAF" w14:textId="4D5CD3DC" w:rsidR="00022D29" w:rsidRPr="00D10FAD" w:rsidRDefault="00186418" w:rsidP="00D10FAD">
      <w:pPr>
        <w:tabs>
          <w:tab w:val="left" w:pos="7920"/>
        </w:tabs>
        <w:spacing w:after="120"/>
        <w:rPr>
          <w:sz w:val="22"/>
          <w:szCs w:val="22"/>
        </w:rPr>
      </w:pPr>
      <w:r>
        <w:rPr>
          <w:sz w:val="22"/>
          <w:szCs w:val="22"/>
        </w:rPr>
        <w:t>4</w:t>
      </w:r>
      <w:r w:rsidR="00FF62EE" w:rsidRPr="00D10FAD">
        <w:rPr>
          <w:sz w:val="22"/>
          <w:szCs w:val="22"/>
        </w:rPr>
        <w:t>. The DRO process starts with an application processed by an “authorised intermediary</w:t>
      </w:r>
      <w:r w:rsidR="00FB254B" w:rsidRPr="00D10FAD">
        <w:rPr>
          <w:rStyle w:val="FootnoteReference"/>
          <w:sz w:val="22"/>
          <w:szCs w:val="22"/>
        </w:rPr>
        <w:footnoteReference w:id="2"/>
      </w:r>
      <w:r w:rsidR="00FF62EE" w:rsidRPr="00D10FAD">
        <w:rPr>
          <w:sz w:val="22"/>
          <w:szCs w:val="22"/>
        </w:rPr>
        <w:t>” working for one of the competent authorities</w:t>
      </w:r>
      <w:r w:rsidR="00FB254B" w:rsidRPr="00D10FAD">
        <w:rPr>
          <w:rStyle w:val="FootnoteReference"/>
          <w:sz w:val="22"/>
          <w:szCs w:val="22"/>
        </w:rPr>
        <w:footnoteReference w:id="3"/>
      </w:r>
      <w:r w:rsidR="00FF62EE" w:rsidRPr="00D10FAD">
        <w:rPr>
          <w:sz w:val="22"/>
          <w:szCs w:val="22"/>
        </w:rPr>
        <w:t xml:space="preserve"> </w:t>
      </w:r>
      <w:r w:rsidR="005D4136" w:rsidRPr="00D10FAD">
        <w:rPr>
          <w:sz w:val="22"/>
          <w:szCs w:val="22"/>
        </w:rPr>
        <w:t xml:space="preserve">designated </w:t>
      </w:r>
      <w:r w:rsidR="00FF62EE" w:rsidRPr="00D10FAD">
        <w:rPr>
          <w:sz w:val="22"/>
          <w:szCs w:val="22"/>
        </w:rPr>
        <w:t xml:space="preserve">by the Department for the Economy. Once </w:t>
      </w:r>
      <w:r w:rsidR="00514AB5">
        <w:rPr>
          <w:sz w:val="22"/>
          <w:szCs w:val="22"/>
        </w:rPr>
        <w:t xml:space="preserve">the DRO has been </w:t>
      </w:r>
      <w:r w:rsidR="00FF62EE" w:rsidRPr="00D10FAD">
        <w:rPr>
          <w:sz w:val="22"/>
          <w:szCs w:val="22"/>
        </w:rPr>
        <w:t>approved</w:t>
      </w:r>
      <w:r w:rsidR="004F13FD">
        <w:rPr>
          <w:sz w:val="22"/>
          <w:szCs w:val="22"/>
        </w:rPr>
        <w:t xml:space="preserve"> a</w:t>
      </w:r>
      <w:r w:rsidR="00FF62EE" w:rsidRPr="00D10FAD">
        <w:rPr>
          <w:sz w:val="22"/>
          <w:szCs w:val="22"/>
        </w:rPr>
        <w:t xml:space="preserve"> </w:t>
      </w:r>
      <w:r w:rsidR="00BA0251">
        <w:rPr>
          <w:sz w:val="22"/>
          <w:szCs w:val="22"/>
        </w:rPr>
        <w:t xml:space="preserve">12 month </w:t>
      </w:r>
      <w:r w:rsidR="00FF62EE" w:rsidRPr="00D10FAD">
        <w:rPr>
          <w:sz w:val="22"/>
          <w:szCs w:val="22"/>
        </w:rPr>
        <w:t>“</w:t>
      </w:r>
      <w:r w:rsidR="005D4136" w:rsidRPr="00D10FAD">
        <w:rPr>
          <w:sz w:val="22"/>
          <w:szCs w:val="22"/>
        </w:rPr>
        <w:t>m</w:t>
      </w:r>
      <w:r w:rsidR="00FF62EE" w:rsidRPr="00D10FAD">
        <w:rPr>
          <w:sz w:val="22"/>
          <w:szCs w:val="22"/>
        </w:rPr>
        <w:t>oratorium period”</w:t>
      </w:r>
      <w:r w:rsidR="00BA0251">
        <w:rPr>
          <w:sz w:val="22"/>
          <w:szCs w:val="22"/>
        </w:rPr>
        <w:t xml:space="preserve"> b</w:t>
      </w:r>
      <w:r w:rsidR="004F13FD">
        <w:rPr>
          <w:sz w:val="22"/>
          <w:szCs w:val="22"/>
        </w:rPr>
        <w:t>egins</w:t>
      </w:r>
      <w:r w:rsidR="00BA0251">
        <w:rPr>
          <w:sz w:val="22"/>
          <w:szCs w:val="22"/>
        </w:rPr>
        <w:t>, d</w:t>
      </w:r>
      <w:r w:rsidR="004F13FD">
        <w:rPr>
          <w:sz w:val="22"/>
          <w:szCs w:val="22"/>
        </w:rPr>
        <w:t xml:space="preserve">uring </w:t>
      </w:r>
      <w:r w:rsidR="00BA0251">
        <w:rPr>
          <w:sz w:val="22"/>
          <w:szCs w:val="22"/>
        </w:rPr>
        <w:t xml:space="preserve">which </w:t>
      </w:r>
      <w:r w:rsidR="004F13FD">
        <w:rPr>
          <w:sz w:val="22"/>
          <w:szCs w:val="22"/>
        </w:rPr>
        <w:t>c</w:t>
      </w:r>
      <w:r w:rsidR="00FF62EE" w:rsidRPr="00D10FAD">
        <w:rPr>
          <w:sz w:val="22"/>
          <w:szCs w:val="22"/>
        </w:rPr>
        <w:t>reditors cannot take enforcement action</w:t>
      </w:r>
      <w:r w:rsidR="004F13FD">
        <w:rPr>
          <w:sz w:val="22"/>
          <w:szCs w:val="22"/>
        </w:rPr>
        <w:t xml:space="preserve"> </w:t>
      </w:r>
      <w:r w:rsidR="00BA0251">
        <w:rPr>
          <w:sz w:val="22"/>
          <w:szCs w:val="22"/>
        </w:rPr>
        <w:t xml:space="preserve">against the debtor. At the end of this period, </w:t>
      </w:r>
      <w:r w:rsidR="00FF62EE" w:rsidRPr="00D10FAD">
        <w:rPr>
          <w:sz w:val="22"/>
          <w:szCs w:val="22"/>
        </w:rPr>
        <w:t>if the individual’s financial position has not improved</w:t>
      </w:r>
      <w:r w:rsidR="00144938">
        <w:rPr>
          <w:sz w:val="22"/>
          <w:szCs w:val="22"/>
        </w:rPr>
        <w:t xml:space="preserve"> (and the DRO remains in force)</w:t>
      </w:r>
      <w:r w:rsidR="005A37B6">
        <w:rPr>
          <w:sz w:val="22"/>
          <w:szCs w:val="22"/>
        </w:rPr>
        <w:t>,</w:t>
      </w:r>
      <w:r w:rsidR="00144938">
        <w:rPr>
          <w:sz w:val="22"/>
          <w:szCs w:val="22"/>
        </w:rPr>
        <w:t xml:space="preserve"> </w:t>
      </w:r>
      <w:r w:rsidR="00FF62EE" w:rsidRPr="00D10FAD">
        <w:rPr>
          <w:sz w:val="22"/>
          <w:szCs w:val="22"/>
        </w:rPr>
        <w:t>the debts in the DRO are written off.</w:t>
      </w:r>
    </w:p>
    <w:p w14:paraId="6F7A50EF" w14:textId="3B0E004B" w:rsidR="00022D29" w:rsidRPr="00D10FAD" w:rsidRDefault="00186418" w:rsidP="00D10FAD">
      <w:pPr>
        <w:tabs>
          <w:tab w:val="left" w:pos="7920"/>
        </w:tabs>
        <w:spacing w:after="120"/>
        <w:rPr>
          <w:sz w:val="22"/>
          <w:szCs w:val="22"/>
        </w:rPr>
      </w:pPr>
      <w:r>
        <w:rPr>
          <w:sz w:val="22"/>
          <w:szCs w:val="22"/>
        </w:rPr>
        <w:t>5</w:t>
      </w:r>
      <w:r w:rsidR="005D4136" w:rsidRPr="00D10FAD">
        <w:rPr>
          <w:sz w:val="22"/>
          <w:szCs w:val="22"/>
        </w:rPr>
        <w:t>. The debt relief provided by DROs has wider social and economic impacts and these are explored in the cost benefit analysis section. Academics and the debt advice sector have identified associations between financial distress and stress and anxiety (and other mental health issues), relationship problems, and consequential detrimental impact on the family. These additional social costs of indebtedness can be ameliorated by Government intervention.</w:t>
      </w:r>
    </w:p>
    <w:p w14:paraId="3F3637E0" w14:textId="61B52B85" w:rsidR="00347D5B" w:rsidRPr="00D10FAD" w:rsidRDefault="00186418" w:rsidP="00D10FAD">
      <w:pPr>
        <w:tabs>
          <w:tab w:val="left" w:pos="7920"/>
        </w:tabs>
        <w:spacing w:after="120"/>
        <w:rPr>
          <w:sz w:val="22"/>
          <w:szCs w:val="22"/>
        </w:rPr>
      </w:pPr>
      <w:r>
        <w:rPr>
          <w:sz w:val="22"/>
          <w:szCs w:val="22"/>
        </w:rPr>
        <w:t>6</w:t>
      </w:r>
      <w:r w:rsidR="00AB04A4" w:rsidRPr="00D10FAD">
        <w:rPr>
          <w:sz w:val="22"/>
          <w:szCs w:val="22"/>
        </w:rPr>
        <w:t xml:space="preserve">. Debt Relief Orders </w:t>
      </w:r>
      <w:r w:rsidR="00144938">
        <w:rPr>
          <w:sz w:val="22"/>
          <w:szCs w:val="22"/>
        </w:rPr>
        <w:t xml:space="preserve">are </w:t>
      </w:r>
      <w:r w:rsidR="00AB04A4" w:rsidRPr="00D10FAD">
        <w:rPr>
          <w:sz w:val="22"/>
          <w:szCs w:val="22"/>
        </w:rPr>
        <w:t xml:space="preserve">for individuals with relatively straightforward affairs </w:t>
      </w:r>
      <w:r w:rsidR="00144938">
        <w:rPr>
          <w:sz w:val="22"/>
          <w:szCs w:val="22"/>
        </w:rPr>
        <w:t xml:space="preserve">and offer a more proportionate way to write off debt </w:t>
      </w:r>
      <w:r w:rsidR="00144938" w:rsidRPr="00D10FAD">
        <w:rPr>
          <w:sz w:val="22"/>
          <w:szCs w:val="22"/>
        </w:rPr>
        <w:t xml:space="preserve">in low asset, </w:t>
      </w:r>
      <w:proofErr w:type="gramStart"/>
      <w:r w:rsidR="00144938" w:rsidRPr="00D10FAD">
        <w:rPr>
          <w:sz w:val="22"/>
          <w:szCs w:val="22"/>
        </w:rPr>
        <w:t>debt</w:t>
      </w:r>
      <w:proofErr w:type="gramEnd"/>
      <w:r w:rsidR="00144938" w:rsidRPr="00D10FAD">
        <w:rPr>
          <w:sz w:val="22"/>
          <w:szCs w:val="22"/>
        </w:rPr>
        <w:t xml:space="preserve"> and surplus income cases </w:t>
      </w:r>
      <w:r w:rsidR="00144938">
        <w:rPr>
          <w:sz w:val="22"/>
          <w:szCs w:val="22"/>
        </w:rPr>
        <w:t xml:space="preserve">than </w:t>
      </w:r>
      <w:r w:rsidR="00AB04A4" w:rsidRPr="00D10FAD">
        <w:rPr>
          <w:sz w:val="22"/>
          <w:szCs w:val="22"/>
        </w:rPr>
        <w:t>other forms of debt relief, such as debtor bankruptcy</w:t>
      </w:r>
      <w:r w:rsidR="00144938">
        <w:rPr>
          <w:sz w:val="22"/>
          <w:szCs w:val="22"/>
        </w:rPr>
        <w:t xml:space="preserve">, </w:t>
      </w:r>
      <w:r w:rsidR="004F13FD">
        <w:rPr>
          <w:sz w:val="22"/>
          <w:szCs w:val="22"/>
        </w:rPr>
        <w:t xml:space="preserve">thus enabling </w:t>
      </w:r>
      <w:r w:rsidR="00AB04A4" w:rsidRPr="00D10FAD">
        <w:rPr>
          <w:sz w:val="22"/>
          <w:szCs w:val="22"/>
        </w:rPr>
        <w:t>individuals to make a fresh start at a lower cost.</w:t>
      </w:r>
    </w:p>
    <w:p w14:paraId="0CD861FF" w14:textId="381555AE" w:rsidR="00347D5B" w:rsidRPr="00D10FAD" w:rsidRDefault="00186418" w:rsidP="00D10FAD">
      <w:pPr>
        <w:tabs>
          <w:tab w:val="left" w:pos="7920"/>
        </w:tabs>
        <w:spacing w:after="120"/>
        <w:rPr>
          <w:sz w:val="22"/>
          <w:szCs w:val="22"/>
        </w:rPr>
      </w:pPr>
      <w:r>
        <w:rPr>
          <w:sz w:val="22"/>
          <w:szCs w:val="22"/>
        </w:rPr>
        <w:t>7</w:t>
      </w:r>
      <w:r w:rsidR="004F09B4" w:rsidRPr="00D10FAD">
        <w:rPr>
          <w:sz w:val="22"/>
          <w:szCs w:val="22"/>
        </w:rPr>
        <w:t xml:space="preserve">. </w:t>
      </w:r>
      <w:r w:rsidR="004F13FD">
        <w:rPr>
          <w:sz w:val="22"/>
          <w:szCs w:val="22"/>
        </w:rPr>
        <w:t xml:space="preserve">As regards creditors, other </w:t>
      </w:r>
      <w:r w:rsidR="004F09B4" w:rsidRPr="00D10FAD">
        <w:rPr>
          <w:sz w:val="22"/>
          <w:szCs w:val="22"/>
        </w:rPr>
        <w:t>debt relief solutions can be a costly way to recover low level debts. Some will involve a judicial process, and in cases taken on by insolvency practitioners (where there are sufficient assets to realise) their fees.</w:t>
      </w:r>
    </w:p>
    <w:p w14:paraId="40CD29B3" w14:textId="2272CF8E" w:rsidR="00347D5B" w:rsidRPr="00D10FAD" w:rsidRDefault="00186418" w:rsidP="00D10FAD">
      <w:pPr>
        <w:tabs>
          <w:tab w:val="left" w:pos="7920"/>
        </w:tabs>
        <w:spacing w:after="120"/>
        <w:rPr>
          <w:sz w:val="22"/>
          <w:szCs w:val="22"/>
        </w:rPr>
      </w:pPr>
      <w:r>
        <w:rPr>
          <w:sz w:val="22"/>
          <w:szCs w:val="22"/>
        </w:rPr>
        <w:t>8</w:t>
      </w:r>
      <w:r w:rsidR="004F09B4" w:rsidRPr="00D10FAD">
        <w:rPr>
          <w:sz w:val="22"/>
          <w:szCs w:val="22"/>
        </w:rPr>
        <w:t xml:space="preserve">. Creditors should only be incurring recovery costs if the value of debt to be recovered exceeds the costs of collection. However, in low asset, </w:t>
      </w:r>
      <w:proofErr w:type="gramStart"/>
      <w:r w:rsidR="004F09B4" w:rsidRPr="00D10FAD">
        <w:rPr>
          <w:sz w:val="22"/>
          <w:szCs w:val="22"/>
        </w:rPr>
        <w:t>debt</w:t>
      </w:r>
      <w:proofErr w:type="gramEnd"/>
      <w:r w:rsidR="004F09B4" w:rsidRPr="00D10FAD">
        <w:rPr>
          <w:sz w:val="22"/>
          <w:szCs w:val="22"/>
        </w:rPr>
        <w:t xml:space="preserve"> and surplus income cases the actual debt recovered is likely to be very small and may </w:t>
      </w:r>
      <w:r w:rsidR="00A13893">
        <w:rPr>
          <w:sz w:val="22"/>
          <w:szCs w:val="22"/>
        </w:rPr>
        <w:t xml:space="preserve">be </w:t>
      </w:r>
      <w:r w:rsidR="004F09B4" w:rsidRPr="00D10FAD">
        <w:rPr>
          <w:sz w:val="22"/>
          <w:szCs w:val="22"/>
        </w:rPr>
        <w:t>exceed</w:t>
      </w:r>
      <w:r w:rsidR="00A13893">
        <w:rPr>
          <w:sz w:val="22"/>
          <w:szCs w:val="22"/>
        </w:rPr>
        <w:t>ed by</w:t>
      </w:r>
      <w:r w:rsidR="004F09B4" w:rsidRPr="00D10FAD">
        <w:rPr>
          <w:sz w:val="22"/>
          <w:szCs w:val="22"/>
        </w:rPr>
        <w:t xml:space="preserve"> the cost of recovery. Therefore, as a tool for returning money to creditors, in low asset, debt and surplus income cases alternative debt relief solutions are largely ineffective</w:t>
      </w:r>
      <w:r w:rsidR="00A13893">
        <w:rPr>
          <w:sz w:val="22"/>
          <w:szCs w:val="22"/>
        </w:rPr>
        <w:t xml:space="preserve"> for creditors</w:t>
      </w:r>
      <w:r w:rsidR="004F09B4" w:rsidRPr="00D10FAD">
        <w:rPr>
          <w:sz w:val="22"/>
          <w:szCs w:val="22"/>
        </w:rPr>
        <w:t>.</w:t>
      </w:r>
    </w:p>
    <w:p w14:paraId="62AFC836" w14:textId="5F8435F8" w:rsidR="00347D5B" w:rsidRPr="00D10FAD" w:rsidRDefault="00186418" w:rsidP="00D10FAD">
      <w:pPr>
        <w:tabs>
          <w:tab w:val="left" w:pos="7920"/>
        </w:tabs>
        <w:spacing w:after="120"/>
        <w:rPr>
          <w:sz w:val="22"/>
          <w:szCs w:val="22"/>
        </w:rPr>
      </w:pPr>
      <w:r>
        <w:rPr>
          <w:sz w:val="22"/>
          <w:szCs w:val="22"/>
        </w:rPr>
        <w:t>9</w:t>
      </w:r>
      <w:r w:rsidR="004F09B4" w:rsidRPr="00D10FAD">
        <w:rPr>
          <w:sz w:val="22"/>
          <w:szCs w:val="22"/>
        </w:rPr>
        <w:t>. There is a gap in the market: a group of debtors who cannot repay their debts (because they have too few assets or too little surplus income) or access a proportionate debt relief solution. Creditors have little or no incentive to bring bankruptcy proceedings as there are few assets. Raising the DRO limits through Government intervention will address this gap and help this group of debtors.</w:t>
      </w:r>
    </w:p>
    <w:p w14:paraId="0838B9AC" w14:textId="07BB2DEB" w:rsidR="00347D5B" w:rsidRPr="00D10FAD" w:rsidRDefault="004F09B4" w:rsidP="00E809B4">
      <w:pPr>
        <w:tabs>
          <w:tab w:val="left" w:pos="7920"/>
        </w:tabs>
        <w:spacing w:after="120"/>
        <w:rPr>
          <w:sz w:val="22"/>
          <w:szCs w:val="22"/>
        </w:rPr>
      </w:pPr>
      <w:r w:rsidRPr="00D10FAD">
        <w:rPr>
          <w:sz w:val="22"/>
          <w:szCs w:val="22"/>
        </w:rPr>
        <w:t>1</w:t>
      </w:r>
      <w:r w:rsidR="00186418">
        <w:rPr>
          <w:sz w:val="22"/>
          <w:szCs w:val="22"/>
        </w:rPr>
        <w:t>0</w:t>
      </w:r>
      <w:r w:rsidRPr="00D10FAD">
        <w:rPr>
          <w:sz w:val="22"/>
          <w:szCs w:val="22"/>
        </w:rPr>
        <w:t>. A total of 51</w:t>
      </w:r>
      <w:r w:rsidR="00A356E8" w:rsidRPr="00D10FAD">
        <w:rPr>
          <w:sz w:val="22"/>
          <w:szCs w:val="22"/>
        </w:rPr>
        <w:t>6</w:t>
      </w:r>
      <w:r w:rsidRPr="00D10FAD">
        <w:rPr>
          <w:sz w:val="22"/>
          <w:szCs w:val="22"/>
        </w:rPr>
        <w:t xml:space="preserve"> debt relief orders were made in Northern Ireland during 2019</w:t>
      </w:r>
      <w:r w:rsidR="00FB254B" w:rsidRPr="00D10FAD">
        <w:rPr>
          <w:rStyle w:val="FootnoteReference"/>
          <w:sz w:val="22"/>
          <w:szCs w:val="22"/>
        </w:rPr>
        <w:footnoteReference w:id="4"/>
      </w:r>
      <w:r w:rsidRPr="00D10FAD">
        <w:rPr>
          <w:sz w:val="22"/>
          <w:szCs w:val="22"/>
        </w:rPr>
        <w:t xml:space="preserve">. </w:t>
      </w:r>
      <w:r w:rsidR="00E809B4">
        <w:rPr>
          <w:sz w:val="22"/>
          <w:szCs w:val="22"/>
        </w:rPr>
        <w:t xml:space="preserve">Since </w:t>
      </w:r>
      <w:proofErr w:type="gramStart"/>
      <w:r w:rsidR="00E809B4">
        <w:rPr>
          <w:sz w:val="22"/>
          <w:szCs w:val="22"/>
        </w:rPr>
        <w:t>then</w:t>
      </w:r>
      <w:proofErr w:type="gramEnd"/>
      <w:r w:rsidR="00E809B4">
        <w:rPr>
          <w:sz w:val="22"/>
          <w:szCs w:val="22"/>
        </w:rPr>
        <w:t xml:space="preserve"> the number has shown a steady decline, with</w:t>
      </w:r>
      <w:r w:rsidR="005A37B6">
        <w:rPr>
          <w:sz w:val="22"/>
          <w:szCs w:val="22"/>
        </w:rPr>
        <w:t xml:space="preserve"> </w:t>
      </w:r>
      <w:r w:rsidR="00E809B4">
        <w:rPr>
          <w:sz w:val="22"/>
          <w:szCs w:val="22"/>
        </w:rPr>
        <w:t xml:space="preserve">287 </w:t>
      </w:r>
      <w:r w:rsidR="00B06F4A">
        <w:rPr>
          <w:sz w:val="22"/>
          <w:szCs w:val="22"/>
        </w:rPr>
        <w:t xml:space="preserve">orders made </w:t>
      </w:r>
      <w:r w:rsidRPr="00D10FAD">
        <w:rPr>
          <w:sz w:val="22"/>
          <w:szCs w:val="22"/>
        </w:rPr>
        <w:t xml:space="preserve">in 2020, </w:t>
      </w:r>
      <w:r w:rsidR="00E809B4">
        <w:rPr>
          <w:sz w:val="22"/>
          <w:szCs w:val="22"/>
        </w:rPr>
        <w:t xml:space="preserve">211 in 2021, 170 in 2022 and 152 in 2023. </w:t>
      </w:r>
    </w:p>
    <w:p w14:paraId="0C39CE48" w14:textId="68CDEF66" w:rsidR="00A356E8" w:rsidRPr="00D10FAD" w:rsidRDefault="00403163" w:rsidP="00D10FAD">
      <w:pPr>
        <w:tabs>
          <w:tab w:val="left" w:pos="7920"/>
        </w:tabs>
        <w:spacing w:after="120"/>
        <w:rPr>
          <w:sz w:val="22"/>
          <w:szCs w:val="22"/>
        </w:rPr>
      </w:pPr>
      <w:r w:rsidRPr="00D10FAD">
        <w:rPr>
          <w:sz w:val="22"/>
          <w:szCs w:val="22"/>
        </w:rPr>
        <w:t>1</w:t>
      </w:r>
      <w:r w:rsidR="00186418">
        <w:rPr>
          <w:sz w:val="22"/>
          <w:szCs w:val="22"/>
        </w:rPr>
        <w:t>1</w:t>
      </w:r>
      <w:r w:rsidRPr="00D10FAD">
        <w:rPr>
          <w:sz w:val="22"/>
          <w:szCs w:val="22"/>
        </w:rPr>
        <w:t>. Overall, considering the gap in the market and the current economic environment, changes to DRO eligibility criteria are a timely response to ensure more people in financial distress have access to a proportionate debt solution.</w:t>
      </w:r>
    </w:p>
    <w:p w14:paraId="714231A7" w14:textId="77777777" w:rsidR="003C028C" w:rsidRPr="00D10FAD" w:rsidRDefault="003C028C" w:rsidP="003C028C">
      <w:pPr>
        <w:tabs>
          <w:tab w:val="left" w:pos="7920"/>
        </w:tabs>
        <w:rPr>
          <w:b/>
          <w:sz w:val="22"/>
          <w:szCs w:val="22"/>
        </w:rPr>
      </w:pPr>
      <w:r w:rsidRPr="00D10FAD">
        <w:rPr>
          <w:b/>
          <w:sz w:val="22"/>
          <w:szCs w:val="22"/>
        </w:rPr>
        <w:t xml:space="preserve">Policy objective </w:t>
      </w:r>
    </w:p>
    <w:p w14:paraId="72D4D420" w14:textId="4A376E95" w:rsidR="003C028C" w:rsidRPr="00D10FAD" w:rsidRDefault="003C028C" w:rsidP="00D10FAD">
      <w:pPr>
        <w:tabs>
          <w:tab w:val="left" w:pos="7920"/>
        </w:tabs>
        <w:spacing w:after="120"/>
        <w:rPr>
          <w:sz w:val="22"/>
          <w:szCs w:val="22"/>
        </w:rPr>
      </w:pPr>
      <w:r w:rsidRPr="00D10FAD">
        <w:rPr>
          <w:sz w:val="22"/>
          <w:szCs w:val="22"/>
        </w:rPr>
        <w:t>1</w:t>
      </w:r>
      <w:r w:rsidR="00186418">
        <w:rPr>
          <w:sz w:val="22"/>
          <w:szCs w:val="22"/>
        </w:rPr>
        <w:t>2</w:t>
      </w:r>
      <w:r w:rsidRPr="00D10FAD">
        <w:rPr>
          <w:sz w:val="22"/>
          <w:szCs w:val="22"/>
        </w:rPr>
        <w:t>. The aim of this policy is to give more people with low-level assets, low surplus income and low levels of debt, who are experiencing financial distress, access to a suitable option for debt relief.</w:t>
      </w:r>
    </w:p>
    <w:p w14:paraId="06A0D504" w14:textId="3A8E738A" w:rsidR="003C028C" w:rsidRPr="00D10FAD" w:rsidRDefault="003C028C" w:rsidP="00D10FAD">
      <w:pPr>
        <w:tabs>
          <w:tab w:val="left" w:pos="7920"/>
        </w:tabs>
        <w:spacing w:after="120"/>
        <w:rPr>
          <w:sz w:val="22"/>
          <w:szCs w:val="22"/>
        </w:rPr>
      </w:pPr>
      <w:r w:rsidRPr="00D10FAD">
        <w:rPr>
          <w:sz w:val="22"/>
          <w:szCs w:val="22"/>
        </w:rPr>
        <w:t>1</w:t>
      </w:r>
      <w:r w:rsidR="00186418">
        <w:rPr>
          <w:sz w:val="22"/>
          <w:szCs w:val="22"/>
        </w:rPr>
        <w:t>3</w:t>
      </w:r>
      <w:r w:rsidRPr="00D10FAD">
        <w:rPr>
          <w:sz w:val="22"/>
          <w:szCs w:val="22"/>
        </w:rPr>
        <w:t xml:space="preserve">. This will be achieved by using subordinate legislation to </w:t>
      </w:r>
      <w:r w:rsidR="00330AE4">
        <w:rPr>
          <w:sz w:val="22"/>
          <w:szCs w:val="22"/>
        </w:rPr>
        <w:t xml:space="preserve">increase </w:t>
      </w:r>
      <w:r w:rsidRPr="00D10FAD">
        <w:rPr>
          <w:sz w:val="22"/>
          <w:szCs w:val="22"/>
        </w:rPr>
        <w:t>the DRO</w:t>
      </w:r>
      <w:r w:rsidR="008C2F2F" w:rsidRPr="00D10FAD">
        <w:rPr>
          <w:sz w:val="22"/>
          <w:szCs w:val="22"/>
        </w:rPr>
        <w:t xml:space="preserve"> </w:t>
      </w:r>
      <w:r w:rsidRPr="00D10FAD">
        <w:rPr>
          <w:sz w:val="22"/>
          <w:szCs w:val="22"/>
        </w:rPr>
        <w:t>monetary eligibility c</w:t>
      </w:r>
      <w:r w:rsidR="002202CE">
        <w:rPr>
          <w:sz w:val="22"/>
          <w:szCs w:val="22"/>
        </w:rPr>
        <w:t xml:space="preserve">eilings found in the </w:t>
      </w:r>
      <w:r w:rsidR="00330AE4">
        <w:rPr>
          <w:sz w:val="22"/>
          <w:szCs w:val="22"/>
        </w:rPr>
        <w:t>Insolvency (Monetary Limits) Order 1986 and the Insolvency Rules (Northern Ireland) 1991</w:t>
      </w:r>
      <w:r w:rsidRPr="00D10FAD">
        <w:rPr>
          <w:sz w:val="22"/>
          <w:szCs w:val="22"/>
        </w:rPr>
        <w:t>. A logic model for the policy intervention can be seen below:</w:t>
      </w:r>
    </w:p>
    <w:p w14:paraId="45B12B4D" w14:textId="77777777" w:rsidR="00B86D55" w:rsidRDefault="00B86D55" w:rsidP="00D10FAD">
      <w:pPr>
        <w:tabs>
          <w:tab w:val="left" w:pos="7920"/>
        </w:tabs>
        <w:spacing w:after="120"/>
        <w:rPr>
          <w:sz w:val="22"/>
          <w:szCs w:val="22"/>
        </w:rPr>
      </w:pPr>
    </w:p>
    <w:p w14:paraId="2E5F7709" w14:textId="77777777" w:rsidR="00B86D55" w:rsidRDefault="00B86D55" w:rsidP="00D10FAD">
      <w:pPr>
        <w:tabs>
          <w:tab w:val="left" w:pos="7920"/>
        </w:tabs>
        <w:spacing w:after="120"/>
        <w:rPr>
          <w:sz w:val="22"/>
          <w:szCs w:val="22"/>
        </w:rPr>
      </w:pPr>
    </w:p>
    <w:p w14:paraId="333CCC27" w14:textId="77777777" w:rsidR="00B86D55" w:rsidRDefault="00B86D55" w:rsidP="00D10FAD">
      <w:pPr>
        <w:tabs>
          <w:tab w:val="left" w:pos="7920"/>
        </w:tabs>
        <w:spacing w:after="120"/>
        <w:rPr>
          <w:sz w:val="22"/>
          <w:szCs w:val="22"/>
        </w:rPr>
      </w:pPr>
    </w:p>
    <w:p w14:paraId="2D9C722A" w14:textId="1F6650F7" w:rsidR="005857C2" w:rsidRPr="00D10FAD" w:rsidRDefault="005857C2" w:rsidP="00D10FAD">
      <w:pPr>
        <w:tabs>
          <w:tab w:val="left" w:pos="7920"/>
        </w:tabs>
        <w:spacing w:after="120"/>
        <w:rPr>
          <w:sz w:val="22"/>
          <w:szCs w:val="22"/>
        </w:rPr>
      </w:pPr>
      <w:r w:rsidRPr="00D10FAD">
        <w:rPr>
          <w:sz w:val="22"/>
          <w:szCs w:val="22"/>
        </w:rPr>
        <w:lastRenderedPageBreak/>
        <w:t>Figure 2: Logic model of the policy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83"/>
        <w:gridCol w:w="2059"/>
        <w:gridCol w:w="2059"/>
        <w:gridCol w:w="2060"/>
      </w:tblGrid>
      <w:tr w:rsidR="00735376" w:rsidRPr="00633593" w14:paraId="50012FB5" w14:textId="77777777" w:rsidTr="00D10FAD">
        <w:tc>
          <w:tcPr>
            <w:tcW w:w="2235" w:type="dxa"/>
            <w:shd w:val="clear" w:color="auto" w:fill="auto"/>
          </w:tcPr>
          <w:p w14:paraId="240A2035" w14:textId="77777777" w:rsidR="005857C2" w:rsidRPr="00D10FAD" w:rsidRDefault="005857C2" w:rsidP="00735376">
            <w:pPr>
              <w:tabs>
                <w:tab w:val="left" w:pos="7920"/>
              </w:tabs>
              <w:rPr>
                <w:b/>
                <w:sz w:val="22"/>
                <w:szCs w:val="22"/>
              </w:rPr>
            </w:pPr>
            <w:r w:rsidRPr="00D10FAD">
              <w:rPr>
                <w:b/>
                <w:sz w:val="22"/>
                <w:szCs w:val="22"/>
              </w:rPr>
              <w:t>Context</w:t>
            </w:r>
          </w:p>
        </w:tc>
        <w:tc>
          <w:tcPr>
            <w:tcW w:w="1883" w:type="dxa"/>
            <w:shd w:val="clear" w:color="auto" w:fill="auto"/>
          </w:tcPr>
          <w:p w14:paraId="33825C8F" w14:textId="77777777" w:rsidR="005857C2" w:rsidRPr="00D10FAD" w:rsidRDefault="005857C2" w:rsidP="00735376">
            <w:pPr>
              <w:tabs>
                <w:tab w:val="left" w:pos="7920"/>
              </w:tabs>
              <w:rPr>
                <w:b/>
                <w:sz w:val="22"/>
                <w:szCs w:val="22"/>
              </w:rPr>
            </w:pPr>
            <w:r w:rsidRPr="00D10FAD">
              <w:rPr>
                <w:b/>
                <w:sz w:val="22"/>
                <w:szCs w:val="22"/>
              </w:rPr>
              <w:t>Inputs</w:t>
            </w:r>
          </w:p>
        </w:tc>
        <w:tc>
          <w:tcPr>
            <w:tcW w:w="2059" w:type="dxa"/>
            <w:shd w:val="clear" w:color="auto" w:fill="auto"/>
          </w:tcPr>
          <w:p w14:paraId="2B25A27B" w14:textId="77777777" w:rsidR="005857C2" w:rsidRPr="00D10FAD" w:rsidRDefault="005857C2" w:rsidP="00735376">
            <w:pPr>
              <w:tabs>
                <w:tab w:val="left" w:pos="7920"/>
              </w:tabs>
              <w:rPr>
                <w:b/>
                <w:sz w:val="22"/>
                <w:szCs w:val="22"/>
              </w:rPr>
            </w:pPr>
            <w:r w:rsidRPr="00D10FAD">
              <w:rPr>
                <w:b/>
                <w:sz w:val="22"/>
                <w:szCs w:val="22"/>
              </w:rPr>
              <w:t>Outputs</w:t>
            </w:r>
          </w:p>
        </w:tc>
        <w:tc>
          <w:tcPr>
            <w:tcW w:w="2059" w:type="dxa"/>
            <w:shd w:val="clear" w:color="auto" w:fill="auto"/>
          </w:tcPr>
          <w:p w14:paraId="5DD71BED" w14:textId="77777777" w:rsidR="005857C2" w:rsidRPr="00D10FAD" w:rsidRDefault="005857C2" w:rsidP="00735376">
            <w:pPr>
              <w:tabs>
                <w:tab w:val="left" w:pos="7920"/>
              </w:tabs>
              <w:rPr>
                <w:b/>
                <w:sz w:val="22"/>
                <w:szCs w:val="22"/>
              </w:rPr>
            </w:pPr>
            <w:r w:rsidRPr="00D10FAD">
              <w:rPr>
                <w:b/>
                <w:sz w:val="22"/>
                <w:szCs w:val="22"/>
              </w:rPr>
              <w:t>Outcomes</w:t>
            </w:r>
          </w:p>
        </w:tc>
        <w:tc>
          <w:tcPr>
            <w:tcW w:w="2060" w:type="dxa"/>
            <w:shd w:val="clear" w:color="auto" w:fill="auto"/>
          </w:tcPr>
          <w:p w14:paraId="20574BBC" w14:textId="77777777" w:rsidR="005857C2" w:rsidRPr="00D10FAD" w:rsidRDefault="005857C2" w:rsidP="00735376">
            <w:pPr>
              <w:tabs>
                <w:tab w:val="left" w:pos="7920"/>
              </w:tabs>
              <w:rPr>
                <w:b/>
                <w:sz w:val="22"/>
                <w:szCs w:val="22"/>
              </w:rPr>
            </w:pPr>
            <w:r w:rsidRPr="00D10FAD">
              <w:rPr>
                <w:b/>
                <w:sz w:val="22"/>
                <w:szCs w:val="22"/>
              </w:rPr>
              <w:t>Impacts</w:t>
            </w:r>
          </w:p>
        </w:tc>
      </w:tr>
      <w:tr w:rsidR="00735376" w:rsidRPr="00633593" w14:paraId="5846E1AB" w14:textId="77777777" w:rsidTr="00D10FAD">
        <w:tc>
          <w:tcPr>
            <w:tcW w:w="2235" w:type="dxa"/>
            <w:shd w:val="clear" w:color="auto" w:fill="auto"/>
          </w:tcPr>
          <w:p w14:paraId="5890065F" w14:textId="5832741E" w:rsidR="005857C2" w:rsidRPr="00D10FAD" w:rsidRDefault="005857C2" w:rsidP="00735376">
            <w:pPr>
              <w:tabs>
                <w:tab w:val="left" w:pos="7920"/>
              </w:tabs>
              <w:rPr>
                <w:sz w:val="22"/>
                <w:szCs w:val="22"/>
              </w:rPr>
            </w:pPr>
            <w:r w:rsidRPr="00D10FAD">
              <w:rPr>
                <w:sz w:val="22"/>
                <w:szCs w:val="22"/>
              </w:rPr>
              <w:t>DROs were introduced in 2011 as a form of personal debt relief. Changes to eligibility criteria were last made in 2016</w:t>
            </w:r>
            <w:r w:rsidR="004B496F">
              <w:rPr>
                <w:sz w:val="22"/>
                <w:szCs w:val="22"/>
              </w:rPr>
              <w:t xml:space="preserve"> (the limit on value at which a vehicle is disregarded as an asset was increased in 2024)</w:t>
            </w:r>
            <w:r w:rsidRPr="00D10FAD">
              <w:rPr>
                <w:sz w:val="22"/>
                <w:szCs w:val="22"/>
              </w:rPr>
              <w:t>.</w:t>
            </w:r>
          </w:p>
          <w:p w14:paraId="28515FA0" w14:textId="77777777" w:rsidR="005857C2" w:rsidRPr="00D10FAD" w:rsidRDefault="005857C2" w:rsidP="00735376">
            <w:pPr>
              <w:tabs>
                <w:tab w:val="left" w:pos="7920"/>
              </w:tabs>
              <w:rPr>
                <w:sz w:val="22"/>
                <w:szCs w:val="22"/>
              </w:rPr>
            </w:pPr>
          </w:p>
          <w:p w14:paraId="54CE534B" w14:textId="77777777" w:rsidR="005857C2" w:rsidRPr="00D10FAD" w:rsidRDefault="005857C2" w:rsidP="00735376">
            <w:pPr>
              <w:tabs>
                <w:tab w:val="left" w:pos="7920"/>
              </w:tabs>
              <w:rPr>
                <w:sz w:val="22"/>
                <w:szCs w:val="22"/>
              </w:rPr>
            </w:pPr>
            <w:r w:rsidRPr="00D10FAD">
              <w:rPr>
                <w:sz w:val="22"/>
                <w:szCs w:val="22"/>
              </w:rPr>
              <w:t>The aim of this policy is to give more people with low-level assets, low surplus income and low levels of debt, who are experiencing financial distress, access to a suitable option for debt relief.</w:t>
            </w:r>
          </w:p>
        </w:tc>
        <w:tc>
          <w:tcPr>
            <w:tcW w:w="1883" w:type="dxa"/>
            <w:shd w:val="clear" w:color="auto" w:fill="auto"/>
          </w:tcPr>
          <w:p w14:paraId="0A5E39BE" w14:textId="77777777" w:rsidR="005857C2" w:rsidRPr="00D10FAD" w:rsidRDefault="005857C2" w:rsidP="00735376">
            <w:pPr>
              <w:tabs>
                <w:tab w:val="left" w:pos="7920"/>
              </w:tabs>
              <w:rPr>
                <w:sz w:val="22"/>
                <w:szCs w:val="22"/>
              </w:rPr>
            </w:pPr>
            <w:r w:rsidRPr="00D10FAD">
              <w:rPr>
                <w:sz w:val="22"/>
                <w:szCs w:val="22"/>
              </w:rPr>
              <w:t xml:space="preserve">Changes to eligibility criteria made via </w:t>
            </w:r>
            <w:proofErr w:type="gramStart"/>
            <w:r w:rsidRPr="00D10FAD">
              <w:rPr>
                <w:sz w:val="22"/>
                <w:szCs w:val="22"/>
              </w:rPr>
              <w:t>subordinate  legislation</w:t>
            </w:r>
            <w:proofErr w:type="gramEnd"/>
          </w:p>
        </w:tc>
        <w:tc>
          <w:tcPr>
            <w:tcW w:w="2059" w:type="dxa"/>
            <w:shd w:val="clear" w:color="auto" w:fill="auto"/>
          </w:tcPr>
          <w:p w14:paraId="5BD9EB2A" w14:textId="77777777" w:rsidR="005857C2" w:rsidRPr="00D10FAD" w:rsidRDefault="005857C2" w:rsidP="00735376">
            <w:pPr>
              <w:tabs>
                <w:tab w:val="left" w:pos="7920"/>
              </w:tabs>
              <w:rPr>
                <w:sz w:val="22"/>
                <w:szCs w:val="22"/>
              </w:rPr>
            </w:pPr>
            <w:r w:rsidRPr="00D10FAD">
              <w:rPr>
                <w:sz w:val="22"/>
                <w:szCs w:val="22"/>
              </w:rPr>
              <w:t>More people can access DROs as a form of debt relief; both from debtor bankruptcy and (particularly) from people able to access a DRO for the first time through debt advice.</w:t>
            </w:r>
          </w:p>
        </w:tc>
        <w:tc>
          <w:tcPr>
            <w:tcW w:w="2059" w:type="dxa"/>
            <w:shd w:val="clear" w:color="auto" w:fill="auto"/>
          </w:tcPr>
          <w:p w14:paraId="521F8C7D" w14:textId="77777777" w:rsidR="005857C2" w:rsidRPr="00D10FAD" w:rsidRDefault="005857C2" w:rsidP="00735376">
            <w:pPr>
              <w:tabs>
                <w:tab w:val="left" w:pos="7920"/>
              </w:tabs>
              <w:rPr>
                <w:sz w:val="22"/>
                <w:szCs w:val="22"/>
              </w:rPr>
            </w:pPr>
            <w:r w:rsidRPr="00D10FAD">
              <w:rPr>
                <w:sz w:val="22"/>
                <w:szCs w:val="22"/>
              </w:rPr>
              <w:t>More people use DROs as a form of debt relief. Both from debtor bankruptcy and from people able to access a DRO for the first time through debt advice.</w:t>
            </w:r>
          </w:p>
        </w:tc>
        <w:tc>
          <w:tcPr>
            <w:tcW w:w="2060" w:type="dxa"/>
            <w:shd w:val="clear" w:color="auto" w:fill="auto"/>
          </w:tcPr>
          <w:p w14:paraId="1F5D7646" w14:textId="77777777" w:rsidR="005857C2" w:rsidRPr="00D10FAD" w:rsidRDefault="005857C2" w:rsidP="00735376">
            <w:pPr>
              <w:tabs>
                <w:tab w:val="left" w:pos="7920"/>
              </w:tabs>
              <w:rPr>
                <w:sz w:val="22"/>
                <w:szCs w:val="22"/>
              </w:rPr>
            </w:pPr>
            <w:r w:rsidRPr="00D10FAD">
              <w:rPr>
                <w:sz w:val="22"/>
                <w:szCs w:val="22"/>
              </w:rPr>
              <w:t>Provides debt relief and eliminates the gap in the market allowing more people to make a 'fresh start'. This would bring wider societal &amp; economic benefits.</w:t>
            </w:r>
          </w:p>
          <w:p w14:paraId="5F8F0D41" w14:textId="77777777" w:rsidR="005857C2" w:rsidRPr="00D10FAD" w:rsidRDefault="005857C2" w:rsidP="00735376">
            <w:pPr>
              <w:tabs>
                <w:tab w:val="left" w:pos="7920"/>
              </w:tabs>
              <w:rPr>
                <w:sz w:val="22"/>
                <w:szCs w:val="22"/>
              </w:rPr>
            </w:pPr>
          </w:p>
          <w:p w14:paraId="0DFC6ECD" w14:textId="3455FCDE" w:rsidR="005857C2" w:rsidRPr="00D10FAD" w:rsidRDefault="005857C2" w:rsidP="00735376">
            <w:pPr>
              <w:tabs>
                <w:tab w:val="left" w:pos="7920"/>
              </w:tabs>
              <w:rPr>
                <w:sz w:val="22"/>
                <w:szCs w:val="22"/>
              </w:rPr>
            </w:pPr>
            <w:r w:rsidRPr="00D10FAD">
              <w:rPr>
                <w:sz w:val="22"/>
                <w:szCs w:val="22"/>
              </w:rPr>
              <w:t>Some cost will be incurred by business through loss of creditor returns and the cost of administrating the new policy.</w:t>
            </w:r>
          </w:p>
          <w:p w14:paraId="28336F70" w14:textId="77777777" w:rsidR="005857C2" w:rsidRPr="00D10FAD" w:rsidRDefault="005857C2" w:rsidP="00735376">
            <w:pPr>
              <w:tabs>
                <w:tab w:val="left" w:pos="7920"/>
              </w:tabs>
              <w:rPr>
                <w:sz w:val="22"/>
                <w:szCs w:val="22"/>
              </w:rPr>
            </w:pPr>
          </w:p>
        </w:tc>
      </w:tr>
    </w:tbl>
    <w:p w14:paraId="34A561D8" w14:textId="77777777" w:rsidR="00EA7C3E" w:rsidRPr="00D10FAD" w:rsidRDefault="00EA7C3E" w:rsidP="00F447F1">
      <w:pPr>
        <w:tabs>
          <w:tab w:val="left" w:pos="7920"/>
        </w:tabs>
        <w:rPr>
          <w:sz w:val="22"/>
          <w:szCs w:val="22"/>
        </w:rPr>
      </w:pPr>
    </w:p>
    <w:p w14:paraId="47A77981" w14:textId="5F2FBA66" w:rsidR="00DD6E3F" w:rsidRPr="00D10FAD" w:rsidRDefault="00EA7C3E" w:rsidP="00D10FAD">
      <w:pPr>
        <w:tabs>
          <w:tab w:val="left" w:pos="7920"/>
        </w:tabs>
        <w:spacing w:after="120"/>
        <w:rPr>
          <w:sz w:val="22"/>
          <w:szCs w:val="22"/>
        </w:rPr>
      </w:pPr>
      <w:r w:rsidRPr="00D10FAD">
        <w:rPr>
          <w:sz w:val="22"/>
          <w:szCs w:val="22"/>
        </w:rPr>
        <w:t>1</w:t>
      </w:r>
      <w:r w:rsidR="00186418">
        <w:rPr>
          <w:sz w:val="22"/>
          <w:szCs w:val="22"/>
        </w:rPr>
        <w:t>4</w:t>
      </w:r>
      <w:r w:rsidRPr="00D10FAD">
        <w:rPr>
          <w:sz w:val="22"/>
          <w:szCs w:val="22"/>
        </w:rPr>
        <w:t xml:space="preserve">. The DRO procedure was introduced in 2011 to provide a low-cost form of debt relief, as an alternative to debtor bankruptcy. The government has a duty to make sure that the regime works as intended and to make any changes needed to ensure it is achieving its objectives. </w:t>
      </w:r>
    </w:p>
    <w:p w14:paraId="6A4324C7" w14:textId="62DC48BB" w:rsidR="00872B3F" w:rsidRPr="00D10FAD" w:rsidRDefault="00EA7C3E" w:rsidP="00D10FAD">
      <w:pPr>
        <w:tabs>
          <w:tab w:val="left" w:pos="7920"/>
        </w:tabs>
        <w:spacing w:after="120"/>
        <w:rPr>
          <w:sz w:val="22"/>
          <w:szCs w:val="22"/>
        </w:rPr>
      </w:pPr>
      <w:r w:rsidRPr="00D10FAD">
        <w:rPr>
          <w:sz w:val="22"/>
          <w:szCs w:val="22"/>
        </w:rPr>
        <w:t>1</w:t>
      </w:r>
      <w:r w:rsidR="00186418">
        <w:rPr>
          <w:sz w:val="22"/>
          <w:szCs w:val="22"/>
        </w:rPr>
        <w:t>5</w:t>
      </w:r>
      <w:r w:rsidRPr="00D10FAD">
        <w:rPr>
          <w:sz w:val="22"/>
          <w:szCs w:val="22"/>
        </w:rPr>
        <w:t xml:space="preserve">. </w:t>
      </w:r>
      <w:r w:rsidR="00330AE4">
        <w:rPr>
          <w:sz w:val="22"/>
          <w:szCs w:val="22"/>
        </w:rPr>
        <w:t xml:space="preserve">Raising the barriers to entry, will </w:t>
      </w:r>
      <w:r w:rsidRPr="00D10FAD">
        <w:rPr>
          <w:sz w:val="22"/>
          <w:szCs w:val="22"/>
        </w:rPr>
        <w:t xml:space="preserve">provide </w:t>
      </w:r>
      <w:r w:rsidR="00330AE4" w:rsidRPr="00D10FAD">
        <w:rPr>
          <w:sz w:val="22"/>
          <w:szCs w:val="22"/>
        </w:rPr>
        <w:t xml:space="preserve">more people with low assets, </w:t>
      </w:r>
      <w:proofErr w:type="gramStart"/>
      <w:r w:rsidR="00330AE4" w:rsidRPr="00D10FAD">
        <w:rPr>
          <w:sz w:val="22"/>
          <w:szCs w:val="22"/>
        </w:rPr>
        <w:t>debts</w:t>
      </w:r>
      <w:proofErr w:type="gramEnd"/>
      <w:r w:rsidR="00330AE4" w:rsidRPr="00D10FAD">
        <w:rPr>
          <w:sz w:val="22"/>
          <w:szCs w:val="22"/>
        </w:rPr>
        <w:t xml:space="preserve"> and surplus income </w:t>
      </w:r>
      <w:r w:rsidR="00330AE4">
        <w:rPr>
          <w:sz w:val="22"/>
          <w:szCs w:val="22"/>
        </w:rPr>
        <w:t xml:space="preserve">with </w:t>
      </w:r>
      <w:r w:rsidRPr="00D10FAD">
        <w:rPr>
          <w:sz w:val="22"/>
          <w:szCs w:val="22"/>
        </w:rPr>
        <w:t xml:space="preserve">a proportionate means of resolving debt problems. </w:t>
      </w:r>
      <w:r w:rsidR="003E5EAA">
        <w:rPr>
          <w:sz w:val="22"/>
          <w:szCs w:val="22"/>
        </w:rPr>
        <w:t xml:space="preserve">The new limits have been set at a level which will </w:t>
      </w:r>
      <w:r w:rsidRPr="00D10FAD">
        <w:rPr>
          <w:sz w:val="22"/>
          <w:szCs w:val="22"/>
        </w:rPr>
        <w:t xml:space="preserve">strike an appropriate balance </w:t>
      </w:r>
      <w:r w:rsidR="00872B3F" w:rsidRPr="00D10FAD">
        <w:rPr>
          <w:sz w:val="22"/>
          <w:szCs w:val="22"/>
        </w:rPr>
        <w:t>between the rights of creditors to</w:t>
      </w:r>
      <w:r w:rsidRPr="00D10FAD">
        <w:rPr>
          <w:sz w:val="22"/>
          <w:szCs w:val="22"/>
        </w:rPr>
        <w:t xml:space="preserve"> repayment and debtors to receive relief from debts, increasing the overall efficiency of the insolvency regime. </w:t>
      </w:r>
    </w:p>
    <w:p w14:paraId="2CCFD9BB" w14:textId="58941B8C" w:rsidR="00872B3F" w:rsidRPr="00D10FAD" w:rsidRDefault="00EA7C3E" w:rsidP="00D10FAD">
      <w:pPr>
        <w:tabs>
          <w:tab w:val="left" w:pos="7920"/>
        </w:tabs>
        <w:spacing w:after="120"/>
        <w:rPr>
          <w:sz w:val="22"/>
          <w:szCs w:val="22"/>
        </w:rPr>
      </w:pPr>
      <w:r w:rsidRPr="00D10FAD">
        <w:rPr>
          <w:sz w:val="22"/>
          <w:szCs w:val="22"/>
        </w:rPr>
        <w:t>1</w:t>
      </w:r>
      <w:r w:rsidR="00186418">
        <w:rPr>
          <w:sz w:val="22"/>
          <w:szCs w:val="22"/>
        </w:rPr>
        <w:t>6</w:t>
      </w:r>
      <w:r w:rsidRPr="00D10FAD">
        <w:rPr>
          <w:sz w:val="22"/>
          <w:szCs w:val="22"/>
        </w:rPr>
        <w:t xml:space="preserve">. The policy will be successful if the gap in the market is closed enabling people in financial distress to make a fresh start using the revised monetary eligibility criteria to obtain a DRO. Success will be measured by monitoring DRO volumes </w:t>
      </w:r>
      <w:r w:rsidR="004B496F">
        <w:rPr>
          <w:sz w:val="22"/>
          <w:szCs w:val="22"/>
        </w:rPr>
        <w:t>under</w:t>
      </w:r>
      <w:r w:rsidRPr="00D10FAD">
        <w:rPr>
          <w:sz w:val="22"/>
          <w:szCs w:val="22"/>
        </w:rPr>
        <w:t xml:space="preserve"> the widened eligibility criteria. </w:t>
      </w:r>
    </w:p>
    <w:p w14:paraId="105F05D1" w14:textId="77777777" w:rsidR="00EA7C3E" w:rsidRPr="00D10FAD" w:rsidRDefault="00EA7C3E" w:rsidP="00D10FAD">
      <w:pPr>
        <w:tabs>
          <w:tab w:val="left" w:pos="7920"/>
        </w:tabs>
        <w:spacing w:after="120"/>
        <w:rPr>
          <w:b/>
          <w:sz w:val="22"/>
          <w:szCs w:val="22"/>
        </w:rPr>
      </w:pPr>
      <w:r w:rsidRPr="00D10FAD">
        <w:rPr>
          <w:b/>
          <w:sz w:val="22"/>
          <w:szCs w:val="22"/>
        </w:rPr>
        <w:t xml:space="preserve">Description of options </w:t>
      </w:r>
      <w:proofErr w:type="gramStart"/>
      <w:r w:rsidRPr="00D10FAD">
        <w:rPr>
          <w:b/>
          <w:sz w:val="22"/>
          <w:szCs w:val="22"/>
        </w:rPr>
        <w:t>considere</w:t>
      </w:r>
      <w:r w:rsidR="00872B3F" w:rsidRPr="00D10FAD">
        <w:rPr>
          <w:b/>
          <w:sz w:val="22"/>
          <w:szCs w:val="22"/>
        </w:rPr>
        <w:t>d</w:t>
      </w:r>
      <w:proofErr w:type="gramEnd"/>
    </w:p>
    <w:p w14:paraId="3F85BAB1" w14:textId="77777777" w:rsidR="00872B3F" w:rsidRPr="00D10FAD" w:rsidRDefault="00872B3F" w:rsidP="00D10FAD">
      <w:pPr>
        <w:tabs>
          <w:tab w:val="left" w:pos="7920"/>
        </w:tabs>
        <w:spacing w:after="120"/>
        <w:rPr>
          <w:b/>
          <w:sz w:val="22"/>
          <w:szCs w:val="22"/>
        </w:rPr>
      </w:pPr>
      <w:r w:rsidRPr="00D10FAD">
        <w:rPr>
          <w:b/>
          <w:sz w:val="22"/>
          <w:szCs w:val="22"/>
        </w:rPr>
        <w:t xml:space="preserve">Do Nothing </w:t>
      </w:r>
    </w:p>
    <w:p w14:paraId="32DF8A82" w14:textId="168A7E37" w:rsidR="00872B3F" w:rsidRPr="00D10FAD" w:rsidRDefault="00872B3F" w:rsidP="00D10FAD">
      <w:pPr>
        <w:tabs>
          <w:tab w:val="left" w:pos="7920"/>
        </w:tabs>
        <w:spacing w:after="120"/>
        <w:rPr>
          <w:sz w:val="22"/>
          <w:szCs w:val="22"/>
        </w:rPr>
      </w:pPr>
      <w:r w:rsidRPr="00D10FAD">
        <w:rPr>
          <w:sz w:val="22"/>
          <w:szCs w:val="22"/>
        </w:rPr>
        <w:t>1</w:t>
      </w:r>
      <w:r w:rsidR="00186418">
        <w:rPr>
          <w:sz w:val="22"/>
          <w:szCs w:val="22"/>
        </w:rPr>
        <w:t>7</w:t>
      </w:r>
      <w:r w:rsidRPr="00D10FAD">
        <w:rPr>
          <w:sz w:val="22"/>
          <w:szCs w:val="22"/>
        </w:rPr>
        <w:t xml:space="preserve">. This would mean that some individuals would not have access to </w:t>
      </w:r>
      <w:proofErr w:type="gramStart"/>
      <w:r w:rsidRPr="00D10FAD">
        <w:rPr>
          <w:sz w:val="22"/>
          <w:szCs w:val="22"/>
        </w:rPr>
        <w:t>low cost</w:t>
      </w:r>
      <w:proofErr w:type="gramEnd"/>
      <w:r w:rsidRPr="00D10FAD">
        <w:rPr>
          <w:sz w:val="22"/>
          <w:szCs w:val="22"/>
        </w:rPr>
        <w:t xml:space="preserve"> debt relief when they have no prospect of repaying their debts. </w:t>
      </w:r>
    </w:p>
    <w:p w14:paraId="3002F92E" w14:textId="27DCE984" w:rsidR="00872B3F" w:rsidRPr="00D10FAD" w:rsidRDefault="00186418" w:rsidP="00D10FAD">
      <w:pPr>
        <w:tabs>
          <w:tab w:val="left" w:pos="7920"/>
        </w:tabs>
        <w:spacing w:after="120"/>
        <w:rPr>
          <w:sz w:val="22"/>
          <w:szCs w:val="22"/>
        </w:rPr>
      </w:pPr>
      <w:r>
        <w:rPr>
          <w:sz w:val="22"/>
          <w:szCs w:val="22"/>
        </w:rPr>
        <w:t>18</w:t>
      </w:r>
      <w:r w:rsidR="00872B3F" w:rsidRPr="00D10FAD">
        <w:rPr>
          <w:sz w:val="22"/>
          <w:szCs w:val="22"/>
        </w:rPr>
        <w:t>. This will not meet the policy objective of enabling more people in financial distress to access a proportionate debt solution to obtain debt relief.</w:t>
      </w:r>
    </w:p>
    <w:p w14:paraId="09C6843F" w14:textId="77777777" w:rsidR="00C72DC4" w:rsidRPr="00D10FAD" w:rsidRDefault="00C72DC4" w:rsidP="00D10FAD">
      <w:pPr>
        <w:tabs>
          <w:tab w:val="left" w:pos="7920"/>
        </w:tabs>
        <w:spacing w:after="120"/>
        <w:rPr>
          <w:b/>
          <w:sz w:val="22"/>
          <w:szCs w:val="22"/>
        </w:rPr>
      </w:pPr>
      <w:r w:rsidRPr="00D10FAD">
        <w:rPr>
          <w:b/>
          <w:sz w:val="22"/>
          <w:szCs w:val="22"/>
        </w:rPr>
        <w:t>Option 1: Non-regulatory option</w:t>
      </w:r>
    </w:p>
    <w:p w14:paraId="716E14DF" w14:textId="5D5AE536" w:rsidR="00C72DC4" w:rsidRPr="00D10FAD" w:rsidRDefault="00C72DC4" w:rsidP="00D10FAD">
      <w:pPr>
        <w:tabs>
          <w:tab w:val="left" w:pos="7920"/>
        </w:tabs>
        <w:spacing w:after="120"/>
        <w:rPr>
          <w:sz w:val="22"/>
          <w:szCs w:val="22"/>
        </w:rPr>
      </w:pPr>
      <w:r w:rsidRPr="00D10FAD">
        <w:rPr>
          <w:sz w:val="22"/>
          <w:szCs w:val="22"/>
        </w:rPr>
        <w:t>1</w:t>
      </w:r>
      <w:r w:rsidR="00186418">
        <w:rPr>
          <w:sz w:val="22"/>
          <w:szCs w:val="22"/>
        </w:rPr>
        <w:t>9</w:t>
      </w:r>
      <w:r w:rsidRPr="00D10FAD">
        <w:rPr>
          <w:sz w:val="22"/>
          <w:szCs w:val="22"/>
        </w:rPr>
        <w:t xml:space="preserve">. </w:t>
      </w:r>
      <w:r w:rsidR="00244721">
        <w:rPr>
          <w:sz w:val="22"/>
          <w:szCs w:val="22"/>
        </w:rPr>
        <w:t>A</w:t>
      </w:r>
      <w:r w:rsidRPr="00D10FAD">
        <w:rPr>
          <w:sz w:val="22"/>
          <w:szCs w:val="22"/>
        </w:rPr>
        <w:t xml:space="preserve">n alternative </w:t>
      </w:r>
      <w:r w:rsidR="00244721">
        <w:rPr>
          <w:sz w:val="22"/>
          <w:szCs w:val="22"/>
        </w:rPr>
        <w:t xml:space="preserve">to </w:t>
      </w:r>
      <w:r w:rsidR="00244721" w:rsidRPr="00D10FAD">
        <w:rPr>
          <w:sz w:val="22"/>
          <w:szCs w:val="22"/>
        </w:rPr>
        <w:t xml:space="preserve">regulation </w:t>
      </w:r>
      <w:r w:rsidR="00244721">
        <w:rPr>
          <w:sz w:val="22"/>
          <w:szCs w:val="22"/>
        </w:rPr>
        <w:t>w</w:t>
      </w:r>
      <w:r w:rsidRPr="00D10FAD">
        <w:rPr>
          <w:sz w:val="22"/>
          <w:szCs w:val="22"/>
        </w:rPr>
        <w:t xml:space="preserve">ould be to increase awareness and use of Debt Relief Orders </w:t>
      </w:r>
    </w:p>
    <w:p w14:paraId="1DA6F282" w14:textId="52ED8615" w:rsidR="00C72DC4" w:rsidRPr="00D10FAD" w:rsidRDefault="00C72DC4" w:rsidP="00D10FAD">
      <w:pPr>
        <w:tabs>
          <w:tab w:val="left" w:pos="7920"/>
        </w:tabs>
        <w:spacing w:after="120"/>
        <w:rPr>
          <w:sz w:val="22"/>
          <w:szCs w:val="22"/>
        </w:rPr>
      </w:pPr>
      <w:r w:rsidRPr="00D10FAD">
        <w:rPr>
          <w:sz w:val="22"/>
          <w:szCs w:val="22"/>
        </w:rPr>
        <w:t>2</w:t>
      </w:r>
      <w:r w:rsidR="00186418">
        <w:rPr>
          <w:sz w:val="22"/>
          <w:szCs w:val="22"/>
        </w:rPr>
        <w:t>0</w:t>
      </w:r>
      <w:r w:rsidRPr="00D10FAD">
        <w:rPr>
          <w:sz w:val="22"/>
          <w:szCs w:val="22"/>
        </w:rPr>
        <w:t xml:space="preserve">. </w:t>
      </w:r>
      <w:r w:rsidR="00244721">
        <w:rPr>
          <w:sz w:val="22"/>
          <w:szCs w:val="22"/>
        </w:rPr>
        <w:t xml:space="preserve">Before </w:t>
      </w:r>
      <w:r w:rsidRPr="00D10FAD">
        <w:rPr>
          <w:sz w:val="22"/>
          <w:szCs w:val="22"/>
        </w:rPr>
        <w:t xml:space="preserve">an individual </w:t>
      </w:r>
      <w:r w:rsidR="00244721">
        <w:rPr>
          <w:sz w:val="22"/>
          <w:szCs w:val="22"/>
        </w:rPr>
        <w:t xml:space="preserve">can </w:t>
      </w:r>
      <w:r w:rsidR="00A73BB3" w:rsidRPr="00D10FAD">
        <w:rPr>
          <w:sz w:val="22"/>
          <w:szCs w:val="22"/>
        </w:rPr>
        <w:t xml:space="preserve">apply for </w:t>
      </w:r>
      <w:r w:rsidRPr="00D10FAD">
        <w:rPr>
          <w:sz w:val="22"/>
          <w:szCs w:val="22"/>
        </w:rPr>
        <w:t xml:space="preserve">a DRO they must receive debt advice </w:t>
      </w:r>
      <w:r w:rsidR="00244721">
        <w:rPr>
          <w:sz w:val="22"/>
          <w:szCs w:val="22"/>
        </w:rPr>
        <w:t xml:space="preserve">from an </w:t>
      </w:r>
      <w:r w:rsidRPr="00D10FAD">
        <w:rPr>
          <w:sz w:val="22"/>
          <w:szCs w:val="22"/>
        </w:rPr>
        <w:t>intermediar</w:t>
      </w:r>
      <w:r w:rsidR="00244721">
        <w:rPr>
          <w:sz w:val="22"/>
          <w:szCs w:val="22"/>
        </w:rPr>
        <w:t>y</w:t>
      </w:r>
      <w:r w:rsidRPr="00D10FAD">
        <w:rPr>
          <w:sz w:val="22"/>
          <w:szCs w:val="22"/>
        </w:rPr>
        <w:t xml:space="preserve"> working for one of the competent authorities recognised by the Department for the Economy and authorised to process DRO applications. Increased provision of debt advice c</w:t>
      </w:r>
      <w:r w:rsidR="00244721">
        <w:rPr>
          <w:sz w:val="22"/>
          <w:szCs w:val="22"/>
        </w:rPr>
        <w:t xml:space="preserve">ould </w:t>
      </w:r>
      <w:r w:rsidRPr="00D10FAD">
        <w:rPr>
          <w:sz w:val="22"/>
          <w:szCs w:val="22"/>
        </w:rPr>
        <w:t xml:space="preserve">potentially support more individuals to access </w:t>
      </w:r>
      <w:proofErr w:type="gramStart"/>
      <w:r w:rsidRPr="00D10FAD">
        <w:rPr>
          <w:sz w:val="22"/>
          <w:szCs w:val="22"/>
        </w:rPr>
        <w:t>low cost</w:t>
      </w:r>
      <w:proofErr w:type="gramEnd"/>
      <w:r w:rsidRPr="00D10FAD">
        <w:rPr>
          <w:sz w:val="22"/>
          <w:szCs w:val="22"/>
        </w:rPr>
        <w:t xml:space="preserve"> debt relief through DROs.</w:t>
      </w:r>
    </w:p>
    <w:p w14:paraId="625883B4" w14:textId="202AF6EA" w:rsidR="002B253A" w:rsidRPr="00D10FAD" w:rsidRDefault="00FE4FF9" w:rsidP="00D10FAD">
      <w:pPr>
        <w:autoSpaceDE w:val="0"/>
        <w:autoSpaceDN w:val="0"/>
        <w:adjustRightInd w:val="0"/>
        <w:spacing w:after="120"/>
        <w:rPr>
          <w:sz w:val="22"/>
          <w:szCs w:val="22"/>
        </w:rPr>
      </w:pPr>
      <w:r w:rsidRPr="00D10FAD">
        <w:rPr>
          <w:sz w:val="22"/>
          <w:szCs w:val="22"/>
        </w:rPr>
        <w:t>2</w:t>
      </w:r>
      <w:r w:rsidR="00186418">
        <w:rPr>
          <w:sz w:val="22"/>
          <w:szCs w:val="22"/>
        </w:rPr>
        <w:t>1</w:t>
      </w:r>
      <w:r w:rsidRPr="00D10FAD">
        <w:rPr>
          <w:sz w:val="22"/>
          <w:szCs w:val="22"/>
        </w:rPr>
        <w:t>.</w:t>
      </w:r>
      <w:r w:rsidR="008270C2">
        <w:rPr>
          <w:sz w:val="22"/>
          <w:szCs w:val="22"/>
        </w:rPr>
        <w:t xml:space="preserve"> </w:t>
      </w:r>
      <w:r w:rsidR="00244721">
        <w:rPr>
          <w:sz w:val="22"/>
          <w:szCs w:val="22"/>
        </w:rPr>
        <w:t xml:space="preserve">However even if </w:t>
      </w:r>
      <w:r w:rsidR="00244721" w:rsidRPr="00D10FAD">
        <w:rPr>
          <w:sz w:val="22"/>
          <w:szCs w:val="22"/>
        </w:rPr>
        <w:t>increase</w:t>
      </w:r>
      <w:r w:rsidR="00244721">
        <w:rPr>
          <w:sz w:val="22"/>
          <w:szCs w:val="22"/>
        </w:rPr>
        <w:t xml:space="preserve">d awareness and increased provision of </w:t>
      </w:r>
      <w:r w:rsidR="00244721" w:rsidRPr="00D10FAD">
        <w:rPr>
          <w:sz w:val="22"/>
          <w:szCs w:val="22"/>
        </w:rPr>
        <w:t>debt advice</w:t>
      </w:r>
      <w:r w:rsidR="00244721">
        <w:rPr>
          <w:sz w:val="22"/>
          <w:szCs w:val="22"/>
        </w:rPr>
        <w:t xml:space="preserve"> were to</w:t>
      </w:r>
      <w:r w:rsidR="00244721" w:rsidRPr="00D10FAD">
        <w:rPr>
          <w:sz w:val="22"/>
          <w:szCs w:val="22"/>
        </w:rPr>
        <w:t xml:space="preserve"> lead to an increased number of DROs</w:t>
      </w:r>
      <w:r w:rsidR="00244721">
        <w:rPr>
          <w:sz w:val="22"/>
          <w:szCs w:val="22"/>
        </w:rPr>
        <w:t>, the additional demand would only come from those falling within the</w:t>
      </w:r>
      <w:r w:rsidR="00244721" w:rsidRPr="00D10FAD">
        <w:rPr>
          <w:sz w:val="22"/>
          <w:szCs w:val="22"/>
        </w:rPr>
        <w:t xml:space="preserve"> current eligibility l</w:t>
      </w:r>
      <w:r w:rsidR="00244721">
        <w:rPr>
          <w:sz w:val="22"/>
          <w:szCs w:val="22"/>
        </w:rPr>
        <w:t xml:space="preserve">imits </w:t>
      </w:r>
      <w:r w:rsidR="00244721" w:rsidRPr="00D10FAD">
        <w:rPr>
          <w:sz w:val="22"/>
          <w:szCs w:val="22"/>
        </w:rPr>
        <w:t>and</w:t>
      </w:r>
      <w:r w:rsidR="00244721">
        <w:rPr>
          <w:sz w:val="22"/>
          <w:szCs w:val="22"/>
        </w:rPr>
        <w:t xml:space="preserve"> </w:t>
      </w:r>
      <w:r w:rsidR="00244721" w:rsidRPr="00D10FAD">
        <w:rPr>
          <w:sz w:val="22"/>
          <w:szCs w:val="22"/>
        </w:rPr>
        <w:t xml:space="preserve">the needs of those above </w:t>
      </w:r>
      <w:r w:rsidR="00244721">
        <w:rPr>
          <w:sz w:val="22"/>
          <w:szCs w:val="22"/>
        </w:rPr>
        <w:t xml:space="preserve">those limits would not be </w:t>
      </w:r>
      <w:r w:rsidR="00244721" w:rsidRPr="00D10FAD">
        <w:rPr>
          <w:sz w:val="22"/>
          <w:szCs w:val="22"/>
        </w:rPr>
        <w:t>address</w:t>
      </w:r>
      <w:r w:rsidR="00244721">
        <w:rPr>
          <w:sz w:val="22"/>
          <w:szCs w:val="22"/>
        </w:rPr>
        <w:t xml:space="preserve">ed. </w:t>
      </w:r>
      <w:r w:rsidR="00244721" w:rsidRPr="00D10FAD">
        <w:rPr>
          <w:sz w:val="22"/>
          <w:szCs w:val="22"/>
        </w:rPr>
        <w:t xml:space="preserve">Consequently, it would not achieve the policy objective of giving more people access to suitable debt relief. </w:t>
      </w:r>
      <w:r w:rsidRPr="00D10FAD">
        <w:rPr>
          <w:sz w:val="22"/>
          <w:szCs w:val="22"/>
        </w:rPr>
        <w:t>Furthermore, those receiving advice</w:t>
      </w:r>
      <w:r w:rsidR="000511B7" w:rsidRPr="00D10FAD">
        <w:rPr>
          <w:sz w:val="22"/>
          <w:szCs w:val="22"/>
        </w:rPr>
        <w:t xml:space="preserve"> </w:t>
      </w:r>
      <w:r w:rsidRPr="00D10FAD">
        <w:rPr>
          <w:sz w:val="22"/>
          <w:szCs w:val="22"/>
        </w:rPr>
        <w:t>may not necessarily enter DROs. Therefore, an alternative regulatory option would</w:t>
      </w:r>
      <w:r w:rsidR="000511B7" w:rsidRPr="00D10FAD">
        <w:rPr>
          <w:sz w:val="22"/>
          <w:szCs w:val="22"/>
        </w:rPr>
        <w:t xml:space="preserve"> </w:t>
      </w:r>
      <w:r w:rsidRPr="00D10FAD">
        <w:rPr>
          <w:sz w:val="22"/>
          <w:szCs w:val="22"/>
        </w:rPr>
        <w:t>be more suitable to meet the desired policy objective.</w:t>
      </w:r>
    </w:p>
    <w:p w14:paraId="330EBD53" w14:textId="3F52A1AC" w:rsidR="000511B7" w:rsidRPr="00D10FAD" w:rsidRDefault="000511B7" w:rsidP="00D10FAD">
      <w:pPr>
        <w:autoSpaceDE w:val="0"/>
        <w:autoSpaceDN w:val="0"/>
        <w:adjustRightInd w:val="0"/>
        <w:spacing w:after="120"/>
        <w:rPr>
          <w:sz w:val="22"/>
          <w:szCs w:val="22"/>
        </w:rPr>
      </w:pPr>
      <w:r w:rsidRPr="00D10FAD">
        <w:rPr>
          <w:sz w:val="22"/>
          <w:szCs w:val="22"/>
        </w:rPr>
        <w:lastRenderedPageBreak/>
        <w:t>2</w:t>
      </w:r>
      <w:r w:rsidR="00186418">
        <w:rPr>
          <w:sz w:val="22"/>
          <w:szCs w:val="22"/>
        </w:rPr>
        <w:t>2</w:t>
      </w:r>
      <w:r w:rsidRPr="00D10FAD">
        <w:rPr>
          <w:sz w:val="22"/>
          <w:szCs w:val="22"/>
        </w:rPr>
        <w:t>. In addition, simply raising awareness will not necessarily lead to individuals entering the best solution for their circumstances.</w:t>
      </w:r>
    </w:p>
    <w:p w14:paraId="2F1A4E88" w14:textId="6F2241EA" w:rsidR="000511B7" w:rsidRPr="00D10FAD" w:rsidRDefault="000511B7" w:rsidP="00D10FAD">
      <w:pPr>
        <w:autoSpaceDE w:val="0"/>
        <w:autoSpaceDN w:val="0"/>
        <w:adjustRightInd w:val="0"/>
        <w:spacing w:after="120"/>
        <w:rPr>
          <w:sz w:val="22"/>
          <w:szCs w:val="22"/>
        </w:rPr>
      </w:pPr>
      <w:r w:rsidRPr="00D10FAD">
        <w:rPr>
          <w:sz w:val="22"/>
          <w:szCs w:val="22"/>
        </w:rPr>
        <w:t>2</w:t>
      </w:r>
      <w:r w:rsidR="008322F6">
        <w:rPr>
          <w:sz w:val="22"/>
          <w:szCs w:val="22"/>
        </w:rPr>
        <w:t>3</w:t>
      </w:r>
      <w:r w:rsidRPr="00D10FAD">
        <w:rPr>
          <w:sz w:val="22"/>
          <w:szCs w:val="22"/>
        </w:rPr>
        <w:t>.</w:t>
      </w:r>
      <w:r w:rsidR="008322F6">
        <w:rPr>
          <w:sz w:val="22"/>
          <w:szCs w:val="22"/>
        </w:rPr>
        <w:t xml:space="preserve"> In England and Wales the upper limit on personal debt was increased from £15,000 to £20,000 </w:t>
      </w:r>
      <w:r w:rsidR="00212D1D">
        <w:rPr>
          <w:sz w:val="22"/>
          <w:szCs w:val="22"/>
        </w:rPr>
        <w:t xml:space="preserve">and the limit on surplus monthly income from £300 to £1,000 </w:t>
      </w:r>
      <w:r w:rsidR="008322F6">
        <w:rPr>
          <w:sz w:val="22"/>
          <w:szCs w:val="22"/>
        </w:rPr>
        <w:t>during 2015</w:t>
      </w:r>
      <w:r w:rsidR="00212D1D">
        <w:rPr>
          <w:sz w:val="22"/>
          <w:szCs w:val="22"/>
        </w:rPr>
        <w:t>. T</w:t>
      </w:r>
      <w:r w:rsidR="008322F6">
        <w:rPr>
          <w:sz w:val="22"/>
          <w:szCs w:val="22"/>
        </w:rPr>
        <w:t xml:space="preserve">he </w:t>
      </w:r>
      <w:r w:rsidR="00A73BB3" w:rsidRPr="00D10FAD">
        <w:rPr>
          <w:sz w:val="22"/>
          <w:szCs w:val="22"/>
        </w:rPr>
        <w:t>E&amp;W</w:t>
      </w:r>
      <w:r w:rsidRPr="00D10FAD">
        <w:rPr>
          <w:sz w:val="22"/>
          <w:szCs w:val="22"/>
        </w:rPr>
        <w:t xml:space="preserve"> Insolvency Service</w:t>
      </w:r>
      <w:r w:rsidR="008322F6">
        <w:rPr>
          <w:sz w:val="22"/>
          <w:szCs w:val="22"/>
        </w:rPr>
        <w:t xml:space="preserve"> </w:t>
      </w:r>
      <w:r w:rsidRPr="00D10FAD">
        <w:rPr>
          <w:sz w:val="22"/>
          <w:szCs w:val="22"/>
        </w:rPr>
        <w:t>conducted an internal review of th</w:t>
      </w:r>
      <w:r w:rsidR="008322F6">
        <w:rPr>
          <w:sz w:val="22"/>
          <w:szCs w:val="22"/>
        </w:rPr>
        <w:t>ese</w:t>
      </w:r>
      <w:r w:rsidRPr="00D10FAD">
        <w:rPr>
          <w:sz w:val="22"/>
          <w:szCs w:val="22"/>
        </w:rPr>
        <w:t xml:space="preserve"> changes</w:t>
      </w:r>
      <w:r w:rsidR="008C2F2F" w:rsidRPr="00D10FAD">
        <w:rPr>
          <w:sz w:val="22"/>
          <w:szCs w:val="22"/>
        </w:rPr>
        <w:t xml:space="preserve"> </w:t>
      </w:r>
      <w:r w:rsidR="00186418">
        <w:rPr>
          <w:sz w:val="22"/>
          <w:szCs w:val="22"/>
        </w:rPr>
        <w:t xml:space="preserve">and </w:t>
      </w:r>
      <w:r w:rsidRPr="00D10FAD">
        <w:rPr>
          <w:sz w:val="22"/>
          <w:szCs w:val="22"/>
        </w:rPr>
        <w:t>concluded that the</w:t>
      </w:r>
      <w:r w:rsidR="008322F6">
        <w:rPr>
          <w:sz w:val="22"/>
          <w:szCs w:val="22"/>
        </w:rPr>
        <w:t xml:space="preserve">y met the </w:t>
      </w:r>
      <w:r w:rsidRPr="00D10FAD">
        <w:rPr>
          <w:sz w:val="22"/>
          <w:szCs w:val="22"/>
        </w:rPr>
        <w:t xml:space="preserve">desired policy objectives. However, following consultation it was concluded that the time was right for a further increase in the eligibility criteria. </w:t>
      </w:r>
    </w:p>
    <w:p w14:paraId="045F0EB0" w14:textId="2B442693" w:rsidR="000511B7" w:rsidRPr="00D10FAD" w:rsidRDefault="000511B7" w:rsidP="00D10FAD">
      <w:pPr>
        <w:autoSpaceDE w:val="0"/>
        <w:autoSpaceDN w:val="0"/>
        <w:adjustRightInd w:val="0"/>
        <w:spacing w:after="120"/>
        <w:rPr>
          <w:sz w:val="22"/>
          <w:szCs w:val="22"/>
        </w:rPr>
      </w:pPr>
      <w:r w:rsidRPr="00D10FAD">
        <w:rPr>
          <w:sz w:val="22"/>
          <w:szCs w:val="22"/>
        </w:rPr>
        <w:t>2</w:t>
      </w:r>
      <w:r w:rsidR="008322F6">
        <w:rPr>
          <w:sz w:val="22"/>
          <w:szCs w:val="22"/>
        </w:rPr>
        <w:t>4</w:t>
      </w:r>
      <w:r w:rsidRPr="00D10FAD">
        <w:rPr>
          <w:sz w:val="22"/>
          <w:szCs w:val="22"/>
        </w:rPr>
        <w:t>. The review analysed Insolvency Service Management Information on bankruptcies</w:t>
      </w:r>
      <w:r w:rsidR="00683D78">
        <w:rPr>
          <w:sz w:val="22"/>
          <w:szCs w:val="22"/>
        </w:rPr>
        <w:t xml:space="preserve"> </w:t>
      </w:r>
      <w:r w:rsidRPr="00D10FAD">
        <w:rPr>
          <w:sz w:val="22"/>
          <w:szCs w:val="22"/>
        </w:rPr>
        <w:t>for financial years 2016-19. This showed that following the changes to DRO eligibility</w:t>
      </w:r>
      <w:r w:rsidR="008C2F2F" w:rsidRPr="00D10FAD">
        <w:rPr>
          <w:sz w:val="22"/>
          <w:szCs w:val="22"/>
        </w:rPr>
        <w:t xml:space="preserve"> </w:t>
      </w:r>
      <w:r w:rsidRPr="00D10FAD">
        <w:rPr>
          <w:sz w:val="22"/>
          <w:szCs w:val="22"/>
        </w:rPr>
        <w:t xml:space="preserve">in 2015, 13% of debtor bankruptcy cases </w:t>
      </w:r>
      <w:r w:rsidR="00212D1D">
        <w:rPr>
          <w:sz w:val="22"/>
          <w:szCs w:val="22"/>
        </w:rPr>
        <w:t xml:space="preserve">who would have been </w:t>
      </w:r>
      <w:r w:rsidRPr="00D10FAD">
        <w:rPr>
          <w:sz w:val="22"/>
          <w:szCs w:val="22"/>
        </w:rPr>
        <w:t>eligible for a DRO entered debtor bankruptcy instead. The impact assessment had assumed these cases would enter a DRO rather than debtor bankruptcy. This shows that individuals do not necessarily enter the most appropriate solution given their circumstances.</w:t>
      </w:r>
    </w:p>
    <w:p w14:paraId="5FA265AB" w14:textId="189B9961" w:rsidR="005769D8" w:rsidRPr="00D10FAD" w:rsidRDefault="005769D8" w:rsidP="00D10FAD">
      <w:pPr>
        <w:autoSpaceDE w:val="0"/>
        <w:autoSpaceDN w:val="0"/>
        <w:adjustRightInd w:val="0"/>
        <w:spacing w:after="120"/>
        <w:rPr>
          <w:sz w:val="22"/>
          <w:szCs w:val="22"/>
        </w:rPr>
      </w:pPr>
      <w:r w:rsidRPr="00D10FAD">
        <w:rPr>
          <w:sz w:val="22"/>
          <w:szCs w:val="22"/>
        </w:rPr>
        <w:t>2</w:t>
      </w:r>
      <w:r w:rsidR="00401FB5">
        <w:rPr>
          <w:sz w:val="22"/>
          <w:szCs w:val="22"/>
        </w:rPr>
        <w:t>5</w:t>
      </w:r>
      <w:r w:rsidRPr="00D10FAD">
        <w:rPr>
          <w:sz w:val="22"/>
          <w:szCs w:val="22"/>
        </w:rPr>
        <w:t>. Behavioural change techniques</w:t>
      </w:r>
      <w:r w:rsidR="00A73BB3" w:rsidRPr="00D10FAD">
        <w:rPr>
          <w:rStyle w:val="FootnoteReference"/>
          <w:sz w:val="22"/>
          <w:szCs w:val="22"/>
        </w:rPr>
        <w:footnoteReference w:id="5"/>
      </w:r>
      <w:r w:rsidRPr="00D10FAD">
        <w:rPr>
          <w:sz w:val="22"/>
          <w:szCs w:val="22"/>
        </w:rPr>
        <w:t xml:space="preserve"> could be used to encourage individuals to use the</w:t>
      </w:r>
      <w:r w:rsidR="00186418">
        <w:rPr>
          <w:sz w:val="22"/>
          <w:szCs w:val="22"/>
        </w:rPr>
        <w:t xml:space="preserve"> </w:t>
      </w:r>
      <w:r w:rsidRPr="00D10FAD">
        <w:rPr>
          <w:sz w:val="22"/>
          <w:szCs w:val="22"/>
        </w:rPr>
        <w:t xml:space="preserve">best solution. One technique could be to use the COM-B model (figure 3) to identify the behaviour you seek to change and ascertain what will bring about the change through changes to the target group’s Capability, </w:t>
      </w:r>
      <w:proofErr w:type="gramStart"/>
      <w:r w:rsidRPr="00D10FAD">
        <w:rPr>
          <w:sz w:val="22"/>
          <w:szCs w:val="22"/>
        </w:rPr>
        <w:t>Opportunity</w:t>
      </w:r>
      <w:proofErr w:type="gramEnd"/>
      <w:r w:rsidRPr="00D10FAD">
        <w:rPr>
          <w:sz w:val="22"/>
          <w:szCs w:val="22"/>
        </w:rPr>
        <w:t xml:space="preserve"> and Motivation to engage in that behaviour.</w:t>
      </w:r>
    </w:p>
    <w:p w14:paraId="26BFB8B7" w14:textId="77777777" w:rsidR="00212D1D" w:rsidRDefault="00212D1D" w:rsidP="00D10FAD">
      <w:pPr>
        <w:tabs>
          <w:tab w:val="left" w:pos="7920"/>
        </w:tabs>
        <w:spacing w:after="120"/>
        <w:rPr>
          <w:b/>
          <w:sz w:val="22"/>
          <w:szCs w:val="22"/>
        </w:rPr>
      </w:pPr>
    </w:p>
    <w:p w14:paraId="22981029" w14:textId="10479F87" w:rsidR="005769D8" w:rsidRPr="00D10FAD" w:rsidRDefault="005769D8" w:rsidP="00D10FAD">
      <w:pPr>
        <w:tabs>
          <w:tab w:val="left" w:pos="7920"/>
        </w:tabs>
        <w:spacing w:after="120"/>
        <w:rPr>
          <w:b/>
          <w:sz w:val="22"/>
          <w:szCs w:val="22"/>
        </w:rPr>
      </w:pPr>
      <w:r w:rsidRPr="00D10FAD">
        <w:rPr>
          <w:b/>
          <w:sz w:val="22"/>
          <w:szCs w:val="22"/>
        </w:rPr>
        <w:t>Figure 3: COM-B model of behaviour</w:t>
      </w:r>
    </w:p>
    <w:p w14:paraId="4A780417" w14:textId="77777777" w:rsidR="00A73480" w:rsidRPr="00D10FAD" w:rsidRDefault="00E56F31" w:rsidP="00F447F1">
      <w:pPr>
        <w:tabs>
          <w:tab w:val="left" w:pos="7920"/>
        </w:tabs>
        <w:rPr>
          <w:sz w:val="22"/>
          <w:szCs w:val="22"/>
        </w:rPr>
      </w:pPr>
      <w:r>
        <w:rPr>
          <w:sz w:val="22"/>
          <w:szCs w:val="22"/>
        </w:rPr>
        <w:pict w14:anchorId="7DDC0BF6">
          <v:shape id="_x0000_i1025" type="#_x0000_t75" style="width:423pt;height:235.2pt">
            <v:imagedata r:id="rId10" o:title=""/>
          </v:shape>
        </w:pict>
      </w:r>
    </w:p>
    <w:p w14:paraId="2976C94A" w14:textId="593A5DF6" w:rsidR="00652817" w:rsidRPr="00D10FAD" w:rsidRDefault="00652817" w:rsidP="00D10FAD">
      <w:pPr>
        <w:autoSpaceDE w:val="0"/>
        <w:autoSpaceDN w:val="0"/>
        <w:adjustRightInd w:val="0"/>
        <w:spacing w:after="120"/>
        <w:rPr>
          <w:sz w:val="22"/>
          <w:szCs w:val="22"/>
        </w:rPr>
      </w:pPr>
      <w:r w:rsidRPr="00D10FAD">
        <w:rPr>
          <w:sz w:val="22"/>
          <w:szCs w:val="22"/>
        </w:rPr>
        <w:t>2</w:t>
      </w:r>
      <w:r w:rsidR="00401FB5">
        <w:rPr>
          <w:sz w:val="22"/>
          <w:szCs w:val="22"/>
        </w:rPr>
        <w:t>6</w:t>
      </w:r>
      <w:r w:rsidRPr="00D10FAD">
        <w:rPr>
          <w:sz w:val="22"/>
          <w:szCs w:val="22"/>
        </w:rPr>
        <w:t>. However, even if this approach is successful, only a small number of individuals</w:t>
      </w:r>
      <w:r w:rsidR="00DD5AC2" w:rsidRPr="00D10FAD">
        <w:rPr>
          <w:sz w:val="22"/>
          <w:szCs w:val="22"/>
        </w:rPr>
        <w:t xml:space="preserve"> </w:t>
      </w:r>
      <w:r w:rsidRPr="00D10FAD">
        <w:rPr>
          <w:sz w:val="22"/>
          <w:szCs w:val="22"/>
        </w:rPr>
        <w:t>would stand to benefit, meaning an alternative regulatory option would be more</w:t>
      </w:r>
      <w:r w:rsidR="00DD5AC2" w:rsidRPr="00D10FAD">
        <w:rPr>
          <w:sz w:val="22"/>
          <w:szCs w:val="22"/>
        </w:rPr>
        <w:t xml:space="preserve"> </w:t>
      </w:r>
      <w:r w:rsidRPr="00D10FAD">
        <w:rPr>
          <w:sz w:val="22"/>
          <w:szCs w:val="22"/>
        </w:rPr>
        <w:t xml:space="preserve">suitable to help those with low debts, </w:t>
      </w:r>
      <w:proofErr w:type="gramStart"/>
      <w:r w:rsidRPr="00D10FAD">
        <w:rPr>
          <w:sz w:val="22"/>
          <w:szCs w:val="22"/>
        </w:rPr>
        <w:t>assets</w:t>
      </w:r>
      <w:proofErr w:type="gramEnd"/>
      <w:r w:rsidRPr="00D10FAD">
        <w:rPr>
          <w:sz w:val="22"/>
          <w:szCs w:val="22"/>
        </w:rPr>
        <w:t xml:space="preserve"> and surplus income to make a fresh</w:t>
      </w:r>
      <w:r w:rsidR="00DD5AC2" w:rsidRPr="00D10FAD">
        <w:rPr>
          <w:sz w:val="22"/>
          <w:szCs w:val="22"/>
        </w:rPr>
        <w:t xml:space="preserve"> </w:t>
      </w:r>
      <w:r w:rsidRPr="00D10FAD">
        <w:rPr>
          <w:sz w:val="22"/>
          <w:szCs w:val="22"/>
        </w:rPr>
        <w:t>start.</w:t>
      </w:r>
    </w:p>
    <w:p w14:paraId="37C79005" w14:textId="56C0B2BA" w:rsidR="00652817" w:rsidRPr="00D10FAD" w:rsidRDefault="00401FB5" w:rsidP="00D10FAD">
      <w:pPr>
        <w:autoSpaceDE w:val="0"/>
        <w:autoSpaceDN w:val="0"/>
        <w:adjustRightInd w:val="0"/>
        <w:spacing w:after="120"/>
        <w:rPr>
          <w:sz w:val="22"/>
          <w:szCs w:val="22"/>
        </w:rPr>
      </w:pPr>
      <w:r>
        <w:rPr>
          <w:sz w:val="22"/>
          <w:szCs w:val="22"/>
        </w:rPr>
        <w:t>27</w:t>
      </w:r>
      <w:r w:rsidR="00652817" w:rsidRPr="00D10FAD">
        <w:rPr>
          <w:sz w:val="22"/>
          <w:szCs w:val="22"/>
        </w:rPr>
        <w:t>. Aside from raising awareness, the Government could work with creditors to</w:t>
      </w:r>
      <w:r w:rsidR="00DD5AC2" w:rsidRPr="00D10FAD">
        <w:rPr>
          <w:sz w:val="22"/>
          <w:szCs w:val="22"/>
        </w:rPr>
        <w:t xml:space="preserve"> </w:t>
      </w:r>
      <w:r w:rsidR="00652817" w:rsidRPr="00D10FAD">
        <w:rPr>
          <w:sz w:val="22"/>
          <w:szCs w:val="22"/>
        </w:rPr>
        <w:t>encourage increased use of forbearance. There is a regulatory requirement to</w:t>
      </w:r>
      <w:r w:rsidR="00DD5AC2" w:rsidRPr="00D10FAD">
        <w:rPr>
          <w:sz w:val="22"/>
          <w:szCs w:val="22"/>
        </w:rPr>
        <w:t xml:space="preserve"> </w:t>
      </w:r>
      <w:r w:rsidR="00652817" w:rsidRPr="00D10FAD">
        <w:rPr>
          <w:sz w:val="22"/>
          <w:szCs w:val="22"/>
        </w:rPr>
        <w:t>provide forbearance in personal finance agreements and this comes under the</w:t>
      </w:r>
      <w:r w:rsidR="00DD5AC2" w:rsidRPr="00D10FAD">
        <w:rPr>
          <w:sz w:val="22"/>
          <w:szCs w:val="22"/>
        </w:rPr>
        <w:t xml:space="preserve"> </w:t>
      </w:r>
      <w:r w:rsidR="00652817" w:rsidRPr="00D10FAD">
        <w:rPr>
          <w:sz w:val="22"/>
          <w:szCs w:val="22"/>
        </w:rPr>
        <w:t>purview of the Financial Conduct Authority (FCA)</w:t>
      </w:r>
      <w:r w:rsidR="00CC1421" w:rsidRPr="00D10FAD">
        <w:rPr>
          <w:rStyle w:val="FootnoteReference"/>
          <w:sz w:val="22"/>
          <w:szCs w:val="22"/>
        </w:rPr>
        <w:footnoteReference w:id="6"/>
      </w:r>
      <w:r w:rsidR="00652817" w:rsidRPr="00D10FAD">
        <w:rPr>
          <w:b/>
          <w:sz w:val="22"/>
          <w:szCs w:val="22"/>
        </w:rPr>
        <w:t xml:space="preserve">. </w:t>
      </w:r>
      <w:r w:rsidR="00652817" w:rsidRPr="00D10FAD">
        <w:rPr>
          <w:sz w:val="22"/>
          <w:szCs w:val="22"/>
        </w:rPr>
        <w:t>However,</w:t>
      </w:r>
      <w:r w:rsidR="00DD5AC2" w:rsidRPr="00D10FAD">
        <w:rPr>
          <w:sz w:val="22"/>
          <w:szCs w:val="22"/>
        </w:rPr>
        <w:t xml:space="preserve"> </w:t>
      </w:r>
      <w:r w:rsidR="00652817" w:rsidRPr="00D10FAD">
        <w:rPr>
          <w:sz w:val="22"/>
          <w:szCs w:val="22"/>
        </w:rPr>
        <w:t>forbearance is not a long-term solution and does not provide the desired debt relief to</w:t>
      </w:r>
      <w:r w:rsidR="00DD5AC2" w:rsidRPr="00D10FAD">
        <w:rPr>
          <w:sz w:val="22"/>
          <w:szCs w:val="22"/>
        </w:rPr>
        <w:t xml:space="preserve"> </w:t>
      </w:r>
      <w:r w:rsidR="00652817" w:rsidRPr="00D10FAD">
        <w:rPr>
          <w:sz w:val="22"/>
          <w:szCs w:val="22"/>
        </w:rPr>
        <w:t>those who need it. Therefore, a regulatory alternative is necessary to achieve the</w:t>
      </w:r>
      <w:r w:rsidR="00DD5AC2" w:rsidRPr="00D10FAD">
        <w:rPr>
          <w:sz w:val="22"/>
          <w:szCs w:val="22"/>
        </w:rPr>
        <w:t xml:space="preserve"> </w:t>
      </w:r>
      <w:r w:rsidR="00652817" w:rsidRPr="00D10FAD">
        <w:rPr>
          <w:sz w:val="22"/>
          <w:szCs w:val="22"/>
        </w:rPr>
        <w:t>policy objective.</w:t>
      </w:r>
    </w:p>
    <w:p w14:paraId="017F89BB" w14:textId="77777777" w:rsidR="00652817" w:rsidRPr="00D10FAD" w:rsidRDefault="00652817" w:rsidP="00D10FAD">
      <w:pPr>
        <w:tabs>
          <w:tab w:val="left" w:pos="7920"/>
        </w:tabs>
        <w:spacing w:after="120"/>
        <w:rPr>
          <w:b/>
          <w:bCs/>
          <w:sz w:val="22"/>
          <w:szCs w:val="22"/>
        </w:rPr>
      </w:pPr>
      <w:r w:rsidRPr="00D10FAD">
        <w:rPr>
          <w:b/>
          <w:bCs/>
          <w:sz w:val="22"/>
          <w:szCs w:val="22"/>
        </w:rPr>
        <w:t>Option 2: Regulatory option (preferred)</w:t>
      </w:r>
    </w:p>
    <w:p w14:paraId="0E2CF046" w14:textId="637AC1AA" w:rsidR="00814490" w:rsidRPr="00D10FAD" w:rsidRDefault="00401FB5" w:rsidP="00D10FAD">
      <w:pPr>
        <w:autoSpaceDE w:val="0"/>
        <w:autoSpaceDN w:val="0"/>
        <w:adjustRightInd w:val="0"/>
        <w:spacing w:after="120"/>
        <w:rPr>
          <w:sz w:val="22"/>
          <w:szCs w:val="22"/>
        </w:rPr>
      </w:pPr>
      <w:r>
        <w:rPr>
          <w:sz w:val="22"/>
          <w:szCs w:val="22"/>
        </w:rPr>
        <w:t>28</w:t>
      </w:r>
      <w:r w:rsidR="003C028C" w:rsidRPr="00D10FAD">
        <w:rPr>
          <w:sz w:val="22"/>
          <w:szCs w:val="22"/>
        </w:rPr>
        <w:t>. Considering the gap in the market, the current economic environment and the</w:t>
      </w:r>
      <w:r w:rsidR="00C440F5" w:rsidRPr="00D10FAD">
        <w:rPr>
          <w:sz w:val="22"/>
          <w:szCs w:val="22"/>
        </w:rPr>
        <w:t xml:space="preserve"> </w:t>
      </w:r>
      <w:r w:rsidR="003C028C" w:rsidRPr="00D10FAD">
        <w:rPr>
          <w:sz w:val="22"/>
          <w:szCs w:val="22"/>
        </w:rPr>
        <w:t xml:space="preserve">upcoming implementation of </w:t>
      </w:r>
      <w:r w:rsidR="00814490" w:rsidRPr="00D10FAD">
        <w:rPr>
          <w:sz w:val="22"/>
          <w:szCs w:val="22"/>
        </w:rPr>
        <w:t xml:space="preserve">a </w:t>
      </w:r>
      <w:r w:rsidR="003C028C" w:rsidRPr="00D10FAD">
        <w:rPr>
          <w:sz w:val="22"/>
          <w:szCs w:val="22"/>
        </w:rPr>
        <w:t>Breathing Space</w:t>
      </w:r>
      <w:r w:rsidR="00CC1421" w:rsidRPr="00D10FAD">
        <w:rPr>
          <w:sz w:val="22"/>
          <w:szCs w:val="22"/>
        </w:rPr>
        <w:t>,</w:t>
      </w:r>
      <w:r w:rsidR="003C028C" w:rsidRPr="00D10FAD">
        <w:rPr>
          <w:sz w:val="22"/>
          <w:szCs w:val="22"/>
        </w:rPr>
        <w:t xml:space="preserve"> the </w:t>
      </w:r>
      <w:r w:rsidR="00814490" w:rsidRPr="00D10FAD">
        <w:rPr>
          <w:sz w:val="22"/>
          <w:szCs w:val="22"/>
        </w:rPr>
        <w:t xml:space="preserve">UK </w:t>
      </w:r>
      <w:r w:rsidR="003C028C" w:rsidRPr="00D10FAD">
        <w:rPr>
          <w:sz w:val="22"/>
          <w:szCs w:val="22"/>
        </w:rPr>
        <w:t>Government concluded that</w:t>
      </w:r>
      <w:r w:rsidR="00C440F5" w:rsidRPr="00D10FAD">
        <w:rPr>
          <w:sz w:val="22"/>
          <w:szCs w:val="22"/>
        </w:rPr>
        <w:t xml:space="preserve"> </w:t>
      </w:r>
      <w:r w:rsidR="003C028C" w:rsidRPr="00D10FAD">
        <w:rPr>
          <w:sz w:val="22"/>
          <w:szCs w:val="22"/>
        </w:rPr>
        <w:t xml:space="preserve">the time </w:t>
      </w:r>
      <w:r w:rsidR="00814490" w:rsidRPr="00D10FAD">
        <w:rPr>
          <w:sz w:val="22"/>
          <w:szCs w:val="22"/>
        </w:rPr>
        <w:t>wa</w:t>
      </w:r>
      <w:r w:rsidR="003C028C" w:rsidRPr="00D10FAD">
        <w:rPr>
          <w:sz w:val="22"/>
          <w:szCs w:val="22"/>
        </w:rPr>
        <w:t>s right for a further increase in the eligibility criteria</w:t>
      </w:r>
      <w:r w:rsidR="00814490" w:rsidRPr="00D10FAD">
        <w:rPr>
          <w:sz w:val="22"/>
          <w:szCs w:val="22"/>
        </w:rPr>
        <w:t xml:space="preserve"> applying in England and Wales.</w:t>
      </w:r>
    </w:p>
    <w:p w14:paraId="41C00B31" w14:textId="2A39C85D" w:rsidR="00652817" w:rsidRPr="00D10FAD" w:rsidRDefault="00C50374" w:rsidP="00D10FAD">
      <w:pPr>
        <w:autoSpaceDE w:val="0"/>
        <w:autoSpaceDN w:val="0"/>
        <w:adjustRightInd w:val="0"/>
        <w:spacing w:after="120"/>
        <w:rPr>
          <w:b/>
          <w:bCs/>
          <w:sz w:val="22"/>
          <w:szCs w:val="22"/>
        </w:rPr>
      </w:pPr>
      <w:r w:rsidRPr="00D10FAD">
        <w:rPr>
          <w:sz w:val="22"/>
          <w:szCs w:val="22"/>
        </w:rPr>
        <w:t>2</w:t>
      </w:r>
      <w:r w:rsidR="00401FB5">
        <w:rPr>
          <w:sz w:val="22"/>
          <w:szCs w:val="22"/>
        </w:rPr>
        <w:t>9</w:t>
      </w:r>
      <w:r w:rsidR="003C028C" w:rsidRPr="00D10FAD">
        <w:rPr>
          <w:sz w:val="22"/>
          <w:szCs w:val="22"/>
        </w:rPr>
        <w:t>. Therefore, the second option</w:t>
      </w:r>
      <w:r w:rsidR="00814490" w:rsidRPr="00D10FAD">
        <w:rPr>
          <w:sz w:val="22"/>
          <w:szCs w:val="22"/>
        </w:rPr>
        <w:t xml:space="preserve"> which was </w:t>
      </w:r>
      <w:r w:rsidR="003C028C" w:rsidRPr="00D10FAD">
        <w:rPr>
          <w:sz w:val="22"/>
          <w:szCs w:val="22"/>
        </w:rPr>
        <w:t>to increase the monetary eligibility criteria to access</w:t>
      </w:r>
      <w:r w:rsidR="00814490" w:rsidRPr="00D10FAD">
        <w:rPr>
          <w:sz w:val="22"/>
          <w:szCs w:val="22"/>
        </w:rPr>
        <w:t xml:space="preserve"> </w:t>
      </w:r>
      <w:r w:rsidR="003C028C" w:rsidRPr="00D10FAD">
        <w:rPr>
          <w:sz w:val="22"/>
          <w:szCs w:val="22"/>
        </w:rPr>
        <w:t>a DRO via secondary legislation</w:t>
      </w:r>
      <w:r w:rsidR="00814490" w:rsidRPr="00D10FAD">
        <w:rPr>
          <w:sz w:val="22"/>
          <w:szCs w:val="22"/>
        </w:rPr>
        <w:t xml:space="preserve"> </w:t>
      </w:r>
      <w:r w:rsidR="00401FB5">
        <w:rPr>
          <w:sz w:val="22"/>
          <w:szCs w:val="22"/>
        </w:rPr>
        <w:t>w</w:t>
      </w:r>
      <w:r w:rsidR="00814490" w:rsidRPr="00D10FAD">
        <w:rPr>
          <w:sz w:val="22"/>
          <w:szCs w:val="22"/>
        </w:rPr>
        <w:t xml:space="preserve">as taken in England and Wales. </w:t>
      </w:r>
      <w:r w:rsidR="003C028C" w:rsidRPr="00D10FAD">
        <w:rPr>
          <w:sz w:val="22"/>
          <w:szCs w:val="22"/>
        </w:rPr>
        <w:t xml:space="preserve">This </w:t>
      </w:r>
      <w:r w:rsidR="00814490" w:rsidRPr="00D10FAD">
        <w:rPr>
          <w:sz w:val="22"/>
          <w:szCs w:val="22"/>
        </w:rPr>
        <w:t>wa</w:t>
      </w:r>
      <w:r w:rsidR="003C028C" w:rsidRPr="00D10FAD">
        <w:rPr>
          <w:sz w:val="22"/>
          <w:szCs w:val="22"/>
        </w:rPr>
        <w:t>s the preferred and only option to achieve the</w:t>
      </w:r>
      <w:r w:rsidR="00814490" w:rsidRPr="00D10FAD">
        <w:rPr>
          <w:sz w:val="22"/>
          <w:szCs w:val="22"/>
        </w:rPr>
        <w:t xml:space="preserve"> policy objective. </w:t>
      </w:r>
      <w:r w:rsidR="00401FB5">
        <w:rPr>
          <w:sz w:val="22"/>
          <w:szCs w:val="22"/>
        </w:rPr>
        <w:t>It enabled m</w:t>
      </w:r>
      <w:r w:rsidR="00814490" w:rsidRPr="00D10FAD">
        <w:rPr>
          <w:sz w:val="22"/>
          <w:szCs w:val="22"/>
        </w:rPr>
        <w:t xml:space="preserve">ore people in financial distress, with low surplus income, low </w:t>
      </w:r>
      <w:proofErr w:type="gramStart"/>
      <w:r w:rsidR="00814490" w:rsidRPr="00D10FAD">
        <w:rPr>
          <w:sz w:val="22"/>
          <w:szCs w:val="22"/>
        </w:rPr>
        <w:lastRenderedPageBreak/>
        <w:t>assets</w:t>
      </w:r>
      <w:proofErr w:type="gramEnd"/>
      <w:r w:rsidR="00814490" w:rsidRPr="00D10FAD">
        <w:rPr>
          <w:sz w:val="22"/>
          <w:szCs w:val="22"/>
        </w:rPr>
        <w:t xml:space="preserve"> and low debts</w:t>
      </w:r>
      <w:r w:rsidR="00401FB5">
        <w:rPr>
          <w:sz w:val="22"/>
          <w:szCs w:val="22"/>
        </w:rPr>
        <w:t xml:space="preserve"> to a</w:t>
      </w:r>
      <w:r w:rsidR="00814490" w:rsidRPr="00D10FAD">
        <w:rPr>
          <w:sz w:val="22"/>
          <w:szCs w:val="22"/>
        </w:rPr>
        <w:t>ccess a proportionate debt solution to obtain debt relief th</w:t>
      </w:r>
      <w:r w:rsidR="001451D1" w:rsidRPr="00D10FAD">
        <w:rPr>
          <w:sz w:val="22"/>
          <w:szCs w:val="22"/>
        </w:rPr>
        <w:t>u</w:t>
      </w:r>
      <w:r w:rsidR="00814490" w:rsidRPr="00D10FAD">
        <w:rPr>
          <w:sz w:val="22"/>
          <w:szCs w:val="22"/>
        </w:rPr>
        <w:t xml:space="preserve">s addressing the </w:t>
      </w:r>
      <w:r w:rsidR="00212D1D">
        <w:rPr>
          <w:sz w:val="22"/>
          <w:szCs w:val="22"/>
        </w:rPr>
        <w:t>i</w:t>
      </w:r>
      <w:r w:rsidR="00212D1D" w:rsidRPr="00D10FAD">
        <w:rPr>
          <w:sz w:val="22"/>
          <w:szCs w:val="22"/>
        </w:rPr>
        <w:t>dentified</w:t>
      </w:r>
      <w:r w:rsidR="00212D1D">
        <w:rPr>
          <w:sz w:val="22"/>
          <w:szCs w:val="22"/>
        </w:rPr>
        <w:t xml:space="preserve"> </w:t>
      </w:r>
      <w:r w:rsidR="00814490" w:rsidRPr="00D10FAD">
        <w:rPr>
          <w:sz w:val="22"/>
          <w:szCs w:val="22"/>
        </w:rPr>
        <w:t>gap in the market</w:t>
      </w:r>
      <w:r w:rsidR="00212D1D">
        <w:rPr>
          <w:sz w:val="22"/>
          <w:szCs w:val="22"/>
        </w:rPr>
        <w:t>.</w:t>
      </w:r>
    </w:p>
    <w:p w14:paraId="30966F15" w14:textId="7127A39F" w:rsidR="00401FB5" w:rsidRPr="00D10FAD" w:rsidRDefault="00814490" w:rsidP="00401FB5">
      <w:pPr>
        <w:tabs>
          <w:tab w:val="left" w:pos="7920"/>
        </w:tabs>
        <w:spacing w:after="120"/>
        <w:rPr>
          <w:bCs/>
          <w:sz w:val="22"/>
          <w:szCs w:val="22"/>
        </w:rPr>
      </w:pPr>
      <w:r w:rsidRPr="00D10FAD">
        <w:rPr>
          <w:bCs/>
          <w:sz w:val="22"/>
          <w:szCs w:val="22"/>
        </w:rPr>
        <w:t>3</w:t>
      </w:r>
      <w:r w:rsidR="00401FB5">
        <w:rPr>
          <w:bCs/>
          <w:sz w:val="22"/>
          <w:szCs w:val="22"/>
        </w:rPr>
        <w:t>0</w:t>
      </w:r>
      <w:r w:rsidRPr="00D10FAD">
        <w:rPr>
          <w:bCs/>
          <w:sz w:val="22"/>
          <w:szCs w:val="22"/>
        </w:rPr>
        <w:t xml:space="preserve">. </w:t>
      </w:r>
      <w:r w:rsidR="00401FB5" w:rsidRPr="00D10FAD">
        <w:rPr>
          <w:bCs/>
          <w:sz w:val="22"/>
          <w:szCs w:val="22"/>
        </w:rPr>
        <w:t xml:space="preserve">The changes to the monetary eligibility limits applying in England and Wales </w:t>
      </w:r>
      <w:r w:rsidR="00401FB5">
        <w:rPr>
          <w:bCs/>
          <w:sz w:val="22"/>
          <w:szCs w:val="22"/>
        </w:rPr>
        <w:t>were</w:t>
      </w:r>
      <w:r w:rsidR="00401FB5" w:rsidRPr="00D10FAD">
        <w:rPr>
          <w:bCs/>
          <w:sz w:val="22"/>
          <w:szCs w:val="22"/>
        </w:rPr>
        <w:t xml:space="preserve"> made by two statutory instruments which came into force on 29 June 2021. They </w:t>
      </w:r>
      <w:r w:rsidR="00401FB5">
        <w:rPr>
          <w:bCs/>
          <w:sz w:val="22"/>
          <w:szCs w:val="22"/>
        </w:rPr>
        <w:t>were</w:t>
      </w:r>
      <w:r w:rsidR="00401FB5" w:rsidRPr="00D10FAD">
        <w:rPr>
          <w:bCs/>
          <w:sz w:val="22"/>
          <w:szCs w:val="22"/>
        </w:rPr>
        <w:t xml:space="preserve"> the</w:t>
      </w:r>
    </w:p>
    <w:p w14:paraId="16304596" w14:textId="77777777" w:rsidR="00401FB5" w:rsidRPr="00D10FAD" w:rsidRDefault="00401FB5" w:rsidP="00401FB5">
      <w:pPr>
        <w:tabs>
          <w:tab w:val="left" w:pos="7920"/>
        </w:tabs>
        <w:spacing w:after="120"/>
        <w:rPr>
          <w:b/>
          <w:bCs/>
          <w:sz w:val="22"/>
          <w:szCs w:val="22"/>
        </w:rPr>
      </w:pPr>
      <w:r w:rsidRPr="00D10FAD">
        <w:rPr>
          <w:bCs/>
          <w:sz w:val="22"/>
          <w:szCs w:val="22"/>
        </w:rPr>
        <w:t>Insolvency Proceedings (Monetary Limits) (Amendment) Order 2021 and the Insolvency</w:t>
      </w:r>
    </w:p>
    <w:p w14:paraId="54EA3903" w14:textId="77777777" w:rsidR="00401FB5" w:rsidRPr="00D10FAD" w:rsidRDefault="00401FB5" w:rsidP="00401FB5">
      <w:pPr>
        <w:tabs>
          <w:tab w:val="left" w:pos="7920"/>
        </w:tabs>
        <w:spacing w:after="120"/>
        <w:rPr>
          <w:bCs/>
          <w:sz w:val="22"/>
          <w:szCs w:val="22"/>
        </w:rPr>
      </w:pPr>
      <w:r w:rsidRPr="00D10FAD">
        <w:rPr>
          <w:bCs/>
          <w:sz w:val="22"/>
          <w:szCs w:val="22"/>
        </w:rPr>
        <w:t xml:space="preserve">(England and Wales) (Amendment) Rules 2021. </w:t>
      </w:r>
    </w:p>
    <w:p w14:paraId="7215A2D3" w14:textId="77777777" w:rsidR="00212D1D" w:rsidRDefault="00212D1D" w:rsidP="00D10FAD">
      <w:pPr>
        <w:tabs>
          <w:tab w:val="left" w:pos="7920"/>
        </w:tabs>
        <w:spacing w:after="120"/>
        <w:rPr>
          <w:bCs/>
          <w:sz w:val="22"/>
          <w:szCs w:val="22"/>
        </w:rPr>
      </w:pPr>
    </w:p>
    <w:p w14:paraId="11D4F1FA" w14:textId="05C85947" w:rsidR="00C06B2E" w:rsidRPr="00D10FAD" w:rsidRDefault="00C06B2E" w:rsidP="00D10FAD">
      <w:pPr>
        <w:tabs>
          <w:tab w:val="left" w:pos="7920"/>
        </w:tabs>
        <w:spacing w:after="120"/>
        <w:rPr>
          <w:bCs/>
          <w:sz w:val="22"/>
          <w:szCs w:val="22"/>
        </w:rPr>
      </w:pPr>
      <w:r w:rsidRPr="00D10FAD">
        <w:rPr>
          <w:bCs/>
          <w:sz w:val="22"/>
          <w:szCs w:val="22"/>
        </w:rPr>
        <w:t>3</w:t>
      </w:r>
      <w:r w:rsidR="008C470F">
        <w:rPr>
          <w:bCs/>
          <w:sz w:val="22"/>
          <w:szCs w:val="22"/>
        </w:rPr>
        <w:t>1</w:t>
      </w:r>
      <w:r w:rsidRPr="00D10FAD">
        <w:rPr>
          <w:bCs/>
          <w:sz w:val="22"/>
          <w:szCs w:val="22"/>
        </w:rPr>
        <w:t xml:space="preserve">. The new limits set by the two statutory instruments are set out in Table 1 below. </w:t>
      </w:r>
    </w:p>
    <w:p w14:paraId="7F33D1AD" w14:textId="77777777" w:rsidR="00DD5D8C" w:rsidRPr="00D10FAD" w:rsidRDefault="00DD5D8C" w:rsidP="00C06B2E">
      <w:pPr>
        <w:autoSpaceDE w:val="0"/>
        <w:autoSpaceDN w:val="0"/>
        <w:adjustRightInd w:val="0"/>
        <w:rPr>
          <w:sz w:val="22"/>
          <w:szCs w:val="22"/>
        </w:rPr>
      </w:pPr>
    </w:p>
    <w:p w14:paraId="68AF540B" w14:textId="1AB87FCF" w:rsidR="00C06B2E" w:rsidRPr="00D10FAD" w:rsidRDefault="00C06B2E" w:rsidP="00C06B2E">
      <w:pPr>
        <w:autoSpaceDE w:val="0"/>
        <w:autoSpaceDN w:val="0"/>
        <w:adjustRightInd w:val="0"/>
        <w:rPr>
          <w:b/>
          <w:sz w:val="22"/>
          <w:szCs w:val="22"/>
        </w:rPr>
      </w:pPr>
      <w:r w:rsidRPr="00D10FAD">
        <w:rPr>
          <w:b/>
          <w:sz w:val="22"/>
          <w:szCs w:val="22"/>
        </w:rPr>
        <w:t xml:space="preserve">Table 1: Changes made to the Debt Relief Order eligibility criteria in England and Wales </w:t>
      </w:r>
      <w:r w:rsidR="008C470F">
        <w:rPr>
          <w:b/>
          <w:sz w:val="22"/>
          <w:szCs w:val="22"/>
        </w:rPr>
        <w:t>in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C06B2E" w:rsidRPr="00633593" w14:paraId="16796343" w14:textId="77777777" w:rsidTr="00735376">
        <w:tc>
          <w:tcPr>
            <w:tcW w:w="3432" w:type="dxa"/>
            <w:shd w:val="clear" w:color="auto" w:fill="auto"/>
          </w:tcPr>
          <w:p w14:paraId="69396966" w14:textId="77777777" w:rsidR="00C06B2E" w:rsidRPr="00D10FAD" w:rsidRDefault="00C06B2E" w:rsidP="00735376">
            <w:pPr>
              <w:autoSpaceDE w:val="0"/>
              <w:autoSpaceDN w:val="0"/>
              <w:adjustRightInd w:val="0"/>
              <w:rPr>
                <w:sz w:val="22"/>
                <w:szCs w:val="22"/>
              </w:rPr>
            </w:pPr>
          </w:p>
        </w:tc>
        <w:tc>
          <w:tcPr>
            <w:tcW w:w="3432" w:type="dxa"/>
            <w:shd w:val="clear" w:color="auto" w:fill="auto"/>
          </w:tcPr>
          <w:p w14:paraId="5A8D5275" w14:textId="77777777" w:rsidR="00C06B2E" w:rsidRPr="00D10FAD" w:rsidRDefault="00E343E1" w:rsidP="00735376">
            <w:pPr>
              <w:autoSpaceDE w:val="0"/>
              <w:autoSpaceDN w:val="0"/>
              <w:adjustRightInd w:val="0"/>
              <w:rPr>
                <w:b/>
                <w:sz w:val="22"/>
                <w:szCs w:val="22"/>
              </w:rPr>
            </w:pPr>
            <w:r w:rsidRPr="00D10FAD">
              <w:rPr>
                <w:b/>
                <w:sz w:val="22"/>
                <w:szCs w:val="22"/>
              </w:rPr>
              <w:t>Previous criteria</w:t>
            </w:r>
          </w:p>
        </w:tc>
        <w:tc>
          <w:tcPr>
            <w:tcW w:w="3432" w:type="dxa"/>
            <w:shd w:val="clear" w:color="auto" w:fill="auto"/>
          </w:tcPr>
          <w:p w14:paraId="7AA13BA0" w14:textId="77777777" w:rsidR="00C06B2E" w:rsidRPr="00D10FAD" w:rsidRDefault="00E343E1" w:rsidP="00735376">
            <w:pPr>
              <w:autoSpaceDE w:val="0"/>
              <w:autoSpaceDN w:val="0"/>
              <w:adjustRightInd w:val="0"/>
              <w:rPr>
                <w:b/>
                <w:sz w:val="22"/>
                <w:szCs w:val="22"/>
              </w:rPr>
            </w:pPr>
            <w:r w:rsidRPr="00D10FAD">
              <w:rPr>
                <w:b/>
                <w:sz w:val="22"/>
                <w:szCs w:val="22"/>
              </w:rPr>
              <w:t>New criteria from 29 June 2021</w:t>
            </w:r>
          </w:p>
        </w:tc>
      </w:tr>
      <w:tr w:rsidR="00C06B2E" w:rsidRPr="00633593" w14:paraId="750893DD" w14:textId="77777777" w:rsidTr="00735376">
        <w:tc>
          <w:tcPr>
            <w:tcW w:w="3432" w:type="dxa"/>
            <w:shd w:val="clear" w:color="auto" w:fill="auto"/>
          </w:tcPr>
          <w:p w14:paraId="49E1B7D0" w14:textId="77777777" w:rsidR="00C06B2E" w:rsidRPr="00D10FAD" w:rsidRDefault="00E343E1" w:rsidP="00735376">
            <w:pPr>
              <w:autoSpaceDE w:val="0"/>
              <w:autoSpaceDN w:val="0"/>
              <w:adjustRightInd w:val="0"/>
              <w:rPr>
                <w:sz w:val="22"/>
                <w:szCs w:val="22"/>
              </w:rPr>
            </w:pPr>
            <w:r w:rsidRPr="00D10FAD">
              <w:rPr>
                <w:sz w:val="22"/>
                <w:szCs w:val="22"/>
              </w:rPr>
              <w:t>Qualifying debt limit</w:t>
            </w:r>
          </w:p>
        </w:tc>
        <w:tc>
          <w:tcPr>
            <w:tcW w:w="3432" w:type="dxa"/>
            <w:shd w:val="clear" w:color="auto" w:fill="auto"/>
          </w:tcPr>
          <w:p w14:paraId="7355826C" w14:textId="77777777" w:rsidR="00C06B2E" w:rsidRPr="00D10FAD" w:rsidRDefault="00E343E1" w:rsidP="00735376">
            <w:pPr>
              <w:autoSpaceDE w:val="0"/>
              <w:autoSpaceDN w:val="0"/>
              <w:adjustRightInd w:val="0"/>
              <w:rPr>
                <w:sz w:val="22"/>
                <w:szCs w:val="22"/>
              </w:rPr>
            </w:pPr>
            <w:r w:rsidRPr="00D10FAD">
              <w:rPr>
                <w:sz w:val="22"/>
                <w:szCs w:val="22"/>
              </w:rPr>
              <w:t>£20,000</w:t>
            </w:r>
          </w:p>
        </w:tc>
        <w:tc>
          <w:tcPr>
            <w:tcW w:w="3432" w:type="dxa"/>
            <w:shd w:val="clear" w:color="auto" w:fill="auto"/>
          </w:tcPr>
          <w:p w14:paraId="32795D99" w14:textId="77777777" w:rsidR="00C06B2E" w:rsidRPr="00D10FAD" w:rsidRDefault="00E343E1" w:rsidP="00735376">
            <w:pPr>
              <w:autoSpaceDE w:val="0"/>
              <w:autoSpaceDN w:val="0"/>
              <w:adjustRightInd w:val="0"/>
              <w:rPr>
                <w:sz w:val="22"/>
                <w:szCs w:val="22"/>
              </w:rPr>
            </w:pPr>
            <w:r w:rsidRPr="00D10FAD">
              <w:rPr>
                <w:sz w:val="22"/>
                <w:szCs w:val="22"/>
              </w:rPr>
              <w:t>£30,000</w:t>
            </w:r>
          </w:p>
        </w:tc>
      </w:tr>
      <w:tr w:rsidR="00C06B2E" w:rsidRPr="00633593" w14:paraId="32D45DD8" w14:textId="77777777" w:rsidTr="00735376">
        <w:tc>
          <w:tcPr>
            <w:tcW w:w="3432" w:type="dxa"/>
            <w:shd w:val="clear" w:color="auto" w:fill="auto"/>
          </w:tcPr>
          <w:p w14:paraId="651D8AF5" w14:textId="77777777" w:rsidR="00C06B2E" w:rsidRPr="00D10FAD" w:rsidRDefault="00E343E1" w:rsidP="00735376">
            <w:pPr>
              <w:autoSpaceDE w:val="0"/>
              <w:autoSpaceDN w:val="0"/>
              <w:adjustRightInd w:val="0"/>
              <w:rPr>
                <w:sz w:val="22"/>
                <w:szCs w:val="22"/>
              </w:rPr>
            </w:pPr>
            <w:r w:rsidRPr="00D10FAD">
              <w:rPr>
                <w:sz w:val="22"/>
                <w:szCs w:val="22"/>
              </w:rPr>
              <w:t>Surplus income</w:t>
            </w:r>
          </w:p>
        </w:tc>
        <w:tc>
          <w:tcPr>
            <w:tcW w:w="3432" w:type="dxa"/>
            <w:shd w:val="clear" w:color="auto" w:fill="auto"/>
          </w:tcPr>
          <w:p w14:paraId="3968B4A4" w14:textId="77777777" w:rsidR="00C06B2E" w:rsidRPr="00D10FAD" w:rsidRDefault="00E343E1" w:rsidP="00735376">
            <w:pPr>
              <w:autoSpaceDE w:val="0"/>
              <w:autoSpaceDN w:val="0"/>
              <w:adjustRightInd w:val="0"/>
              <w:rPr>
                <w:sz w:val="22"/>
                <w:szCs w:val="22"/>
              </w:rPr>
            </w:pPr>
            <w:r w:rsidRPr="00D10FAD">
              <w:rPr>
                <w:sz w:val="22"/>
                <w:szCs w:val="22"/>
              </w:rPr>
              <w:t>£50</w:t>
            </w:r>
          </w:p>
        </w:tc>
        <w:tc>
          <w:tcPr>
            <w:tcW w:w="3432" w:type="dxa"/>
            <w:shd w:val="clear" w:color="auto" w:fill="auto"/>
          </w:tcPr>
          <w:p w14:paraId="00E6D70A" w14:textId="77777777" w:rsidR="00C06B2E" w:rsidRPr="00D10FAD" w:rsidRDefault="00E343E1" w:rsidP="00735376">
            <w:pPr>
              <w:autoSpaceDE w:val="0"/>
              <w:autoSpaceDN w:val="0"/>
              <w:adjustRightInd w:val="0"/>
              <w:rPr>
                <w:sz w:val="22"/>
                <w:szCs w:val="22"/>
              </w:rPr>
            </w:pPr>
            <w:r w:rsidRPr="00D10FAD">
              <w:rPr>
                <w:sz w:val="22"/>
                <w:szCs w:val="22"/>
              </w:rPr>
              <w:t>£75</w:t>
            </w:r>
          </w:p>
        </w:tc>
      </w:tr>
      <w:tr w:rsidR="00C06B2E" w:rsidRPr="00633593" w14:paraId="3FE4F79D" w14:textId="77777777" w:rsidTr="00735376">
        <w:tc>
          <w:tcPr>
            <w:tcW w:w="3432" w:type="dxa"/>
            <w:shd w:val="clear" w:color="auto" w:fill="auto"/>
          </w:tcPr>
          <w:p w14:paraId="1820FEB0" w14:textId="77777777" w:rsidR="00C06B2E" w:rsidRPr="00D10FAD" w:rsidRDefault="00E343E1" w:rsidP="00735376">
            <w:pPr>
              <w:autoSpaceDE w:val="0"/>
              <w:autoSpaceDN w:val="0"/>
              <w:adjustRightInd w:val="0"/>
              <w:rPr>
                <w:sz w:val="22"/>
                <w:szCs w:val="22"/>
              </w:rPr>
            </w:pPr>
            <w:r w:rsidRPr="00D10FAD">
              <w:rPr>
                <w:sz w:val="22"/>
                <w:szCs w:val="22"/>
              </w:rPr>
              <w:t>Asset limit</w:t>
            </w:r>
          </w:p>
        </w:tc>
        <w:tc>
          <w:tcPr>
            <w:tcW w:w="3432" w:type="dxa"/>
            <w:shd w:val="clear" w:color="auto" w:fill="auto"/>
          </w:tcPr>
          <w:p w14:paraId="44D77566" w14:textId="77777777" w:rsidR="00E343E1" w:rsidRPr="00D10FAD" w:rsidRDefault="00E343E1" w:rsidP="00735376">
            <w:pPr>
              <w:autoSpaceDE w:val="0"/>
              <w:autoSpaceDN w:val="0"/>
              <w:adjustRightInd w:val="0"/>
              <w:rPr>
                <w:sz w:val="22"/>
                <w:szCs w:val="22"/>
              </w:rPr>
            </w:pPr>
            <w:r w:rsidRPr="00D10FAD">
              <w:rPr>
                <w:sz w:val="22"/>
                <w:szCs w:val="22"/>
              </w:rPr>
              <w:t>£1,000</w:t>
            </w:r>
          </w:p>
          <w:p w14:paraId="18BFA8E1" w14:textId="350CA0FF" w:rsidR="00C06B2E" w:rsidRPr="00D10FAD" w:rsidRDefault="00E343E1" w:rsidP="00735376">
            <w:pPr>
              <w:autoSpaceDE w:val="0"/>
              <w:autoSpaceDN w:val="0"/>
              <w:adjustRightInd w:val="0"/>
              <w:rPr>
                <w:sz w:val="22"/>
                <w:szCs w:val="22"/>
              </w:rPr>
            </w:pPr>
            <w:r w:rsidRPr="00D10FAD">
              <w:rPr>
                <w:sz w:val="22"/>
                <w:szCs w:val="22"/>
              </w:rPr>
              <w:t>(Excludes certain items such as</w:t>
            </w:r>
            <w:r w:rsidR="00712BE3" w:rsidRPr="00D10FAD">
              <w:rPr>
                <w:sz w:val="22"/>
                <w:szCs w:val="22"/>
              </w:rPr>
              <w:t xml:space="preserve"> </w:t>
            </w:r>
            <w:r w:rsidRPr="00D10FAD">
              <w:rPr>
                <w:sz w:val="22"/>
                <w:szCs w:val="22"/>
              </w:rPr>
              <w:t xml:space="preserve">a motor vehicle </w:t>
            </w:r>
            <w:r w:rsidR="00A85533">
              <w:rPr>
                <w:sz w:val="22"/>
                <w:szCs w:val="22"/>
              </w:rPr>
              <w:t xml:space="preserve">worth up to a specified amount, </w:t>
            </w:r>
            <w:r w:rsidRPr="00D10FAD">
              <w:rPr>
                <w:sz w:val="22"/>
                <w:szCs w:val="22"/>
              </w:rPr>
              <w:t xml:space="preserve">approved </w:t>
            </w:r>
            <w:proofErr w:type="gramStart"/>
            <w:r w:rsidRPr="00D10FAD">
              <w:rPr>
                <w:sz w:val="22"/>
                <w:szCs w:val="22"/>
              </w:rPr>
              <w:t>pensions</w:t>
            </w:r>
            <w:proofErr w:type="gramEnd"/>
            <w:r w:rsidRPr="00D10FAD">
              <w:rPr>
                <w:sz w:val="22"/>
                <w:szCs w:val="22"/>
              </w:rPr>
              <w:t xml:space="preserve"> and basic</w:t>
            </w:r>
            <w:r w:rsidR="00712BE3" w:rsidRPr="00D10FAD">
              <w:rPr>
                <w:sz w:val="22"/>
                <w:szCs w:val="22"/>
              </w:rPr>
              <w:t xml:space="preserve"> </w:t>
            </w:r>
            <w:r w:rsidRPr="00D10FAD">
              <w:rPr>
                <w:sz w:val="22"/>
                <w:szCs w:val="22"/>
              </w:rPr>
              <w:t>belongings such as clothes,</w:t>
            </w:r>
            <w:r w:rsidR="00712BE3" w:rsidRPr="00D10FAD">
              <w:rPr>
                <w:sz w:val="22"/>
                <w:szCs w:val="22"/>
              </w:rPr>
              <w:t xml:space="preserve"> </w:t>
            </w:r>
            <w:r w:rsidRPr="00D10FAD">
              <w:rPr>
                <w:sz w:val="22"/>
                <w:szCs w:val="22"/>
              </w:rPr>
              <w:t xml:space="preserve">bedding and </w:t>
            </w:r>
            <w:r w:rsidR="00712BE3" w:rsidRPr="00D10FAD">
              <w:rPr>
                <w:sz w:val="22"/>
                <w:szCs w:val="22"/>
              </w:rPr>
              <w:t>f</w:t>
            </w:r>
            <w:r w:rsidRPr="00D10FAD">
              <w:rPr>
                <w:sz w:val="22"/>
                <w:szCs w:val="22"/>
              </w:rPr>
              <w:t>urniture)</w:t>
            </w:r>
          </w:p>
        </w:tc>
        <w:tc>
          <w:tcPr>
            <w:tcW w:w="3432" w:type="dxa"/>
            <w:shd w:val="clear" w:color="auto" w:fill="auto"/>
          </w:tcPr>
          <w:p w14:paraId="0BBE813B" w14:textId="77777777" w:rsidR="00E343E1" w:rsidRPr="00D10FAD" w:rsidRDefault="00E343E1" w:rsidP="00735376">
            <w:pPr>
              <w:autoSpaceDE w:val="0"/>
              <w:autoSpaceDN w:val="0"/>
              <w:adjustRightInd w:val="0"/>
              <w:rPr>
                <w:sz w:val="22"/>
                <w:szCs w:val="22"/>
              </w:rPr>
            </w:pPr>
            <w:r w:rsidRPr="00D10FAD">
              <w:rPr>
                <w:sz w:val="22"/>
                <w:szCs w:val="22"/>
              </w:rPr>
              <w:t>£2,000</w:t>
            </w:r>
          </w:p>
          <w:p w14:paraId="26705E78" w14:textId="438A58F7" w:rsidR="00C06B2E" w:rsidRPr="00D10FAD" w:rsidRDefault="00E343E1" w:rsidP="00735376">
            <w:pPr>
              <w:autoSpaceDE w:val="0"/>
              <w:autoSpaceDN w:val="0"/>
              <w:adjustRightInd w:val="0"/>
              <w:rPr>
                <w:sz w:val="22"/>
                <w:szCs w:val="22"/>
              </w:rPr>
            </w:pPr>
            <w:r w:rsidRPr="00D10FAD">
              <w:rPr>
                <w:sz w:val="22"/>
                <w:szCs w:val="22"/>
              </w:rPr>
              <w:t>(Excludes certain items such as</w:t>
            </w:r>
            <w:r w:rsidR="00712BE3" w:rsidRPr="00D10FAD">
              <w:rPr>
                <w:sz w:val="22"/>
                <w:szCs w:val="22"/>
              </w:rPr>
              <w:t xml:space="preserve"> </w:t>
            </w:r>
            <w:r w:rsidRPr="00D10FAD">
              <w:rPr>
                <w:sz w:val="22"/>
                <w:szCs w:val="22"/>
              </w:rPr>
              <w:t xml:space="preserve">a motor vehicle </w:t>
            </w:r>
            <w:r w:rsidR="00A85533">
              <w:rPr>
                <w:sz w:val="22"/>
                <w:szCs w:val="22"/>
              </w:rPr>
              <w:t>worth up to a specified amount</w:t>
            </w:r>
            <w:r w:rsidRPr="00D10FAD">
              <w:rPr>
                <w:sz w:val="22"/>
                <w:szCs w:val="22"/>
              </w:rPr>
              <w:t>,</w:t>
            </w:r>
            <w:r w:rsidR="00712BE3" w:rsidRPr="00D10FAD">
              <w:rPr>
                <w:sz w:val="22"/>
                <w:szCs w:val="22"/>
              </w:rPr>
              <w:t xml:space="preserve"> </w:t>
            </w:r>
            <w:r w:rsidRPr="00D10FAD">
              <w:rPr>
                <w:sz w:val="22"/>
                <w:szCs w:val="22"/>
              </w:rPr>
              <w:t xml:space="preserve">approved </w:t>
            </w:r>
            <w:proofErr w:type="gramStart"/>
            <w:r w:rsidRPr="00D10FAD">
              <w:rPr>
                <w:sz w:val="22"/>
                <w:szCs w:val="22"/>
              </w:rPr>
              <w:t>pensions</w:t>
            </w:r>
            <w:proofErr w:type="gramEnd"/>
            <w:r w:rsidRPr="00D10FAD">
              <w:rPr>
                <w:sz w:val="22"/>
                <w:szCs w:val="22"/>
              </w:rPr>
              <w:t xml:space="preserve"> and basic</w:t>
            </w:r>
            <w:r w:rsidR="00712BE3" w:rsidRPr="00D10FAD">
              <w:rPr>
                <w:sz w:val="22"/>
                <w:szCs w:val="22"/>
              </w:rPr>
              <w:t xml:space="preserve"> </w:t>
            </w:r>
            <w:r w:rsidRPr="00D10FAD">
              <w:rPr>
                <w:sz w:val="22"/>
                <w:szCs w:val="22"/>
              </w:rPr>
              <w:t>belongings such as clothes,</w:t>
            </w:r>
            <w:r w:rsidR="00712BE3" w:rsidRPr="00D10FAD">
              <w:rPr>
                <w:sz w:val="22"/>
                <w:szCs w:val="22"/>
              </w:rPr>
              <w:t xml:space="preserve"> </w:t>
            </w:r>
            <w:r w:rsidRPr="00D10FAD">
              <w:rPr>
                <w:sz w:val="22"/>
                <w:szCs w:val="22"/>
              </w:rPr>
              <w:t>bedding and furniture)</w:t>
            </w:r>
          </w:p>
        </w:tc>
      </w:tr>
      <w:tr w:rsidR="00A85533" w:rsidRPr="00633593" w14:paraId="2D51CBD3" w14:textId="77777777" w:rsidTr="00735376">
        <w:tc>
          <w:tcPr>
            <w:tcW w:w="3432" w:type="dxa"/>
            <w:shd w:val="clear" w:color="auto" w:fill="auto"/>
          </w:tcPr>
          <w:p w14:paraId="21AA2F66" w14:textId="7364649B" w:rsidR="00A85533" w:rsidRPr="00D10FAD" w:rsidRDefault="00A85533" w:rsidP="00735376">
            <w:pPr>
              <w:autoSpaceDE w:val="0"/>
              <w:autoSpaceDN w:val="0"/>
              <w:adjustRightInd w:val="0"/>
              <w:rPr>
                <w:sz w:val="22"/>
                <w:szCs w:val="22"/>
              </w:rPr>
            </w:pPr>
            <w:r>
              <w:rPr>
                <w:sz w:val="22"/>
                <w:szCs w:val="22"/>
              </w:rPr>
              <w:t>Value up to which a vehicle is exempt from being counted as an asset</w:t>
            </w:r>
          </w:p>
        </w:tc>
        <w:tc>
          <w:tcPr>
            <w:tcW w:w="3432" w:type="dxa"/>
            <w:shd w:val="clear" w:color="auto" w:fill="auto"/>
          </w:tcPr>
          <w:p w14:paraId="18E924AA" w14:textId="427DAE7D" w:rsidR="00A85533" w:rsidRPr="00D10FAD" w:rsidRDefault="00A85533" w:rsidP="00735376">
            <w:pPr>
              <w:autoSpaceDE w:val="0"/>
              <w:autoSpaceDN w:val="0"/>
              <w:adjustRightInd w:val="0"/>
              <w:rPr>
                <w:sz w:val="22"/>
                <w:szCs w:val="22"/>
              </w:rPr>
            </w:pPr>
            <w:r>
              <w:rPr>
                <w:sz w:val="22"/>
                <w:szCs w:val="22"/>
              </w:rPr>
              <w:t>£1,000</w:t>
            </w:r>
          </w:p>
        </w:tc>
        <w:tc>
          <w:tcPr>
            <w:tcW w:w="3432" w:type="dxa"/>
            <w:shd w:val="clear" w:color="auto" w:fill="auto"/>
          </w:tcPr>
          <w:p w14:paraId="4330419C" w14:textId="11077305" w:rsidR="00A85533" w:rsidRPr="00D10FAD" w:rsidRDefault="00A85533" w:rsidP="00735376">
            <w:pPr>
              <w:autoSpaceDE w:val="0"/>
              <w:autoSpaceDN w:val="0"/>
              <w:adjustRightInd w:val="0"/>
              <w:rPr>
                <w:sz w:val="22"/>
                <w:szCs w:val="22"/>
              </w:rPr>
            </w:pPr>
            <w:r>
              <w:rPr>
                <w:sz w:val="22"/>
                <w:szCs w:val="22"/>
              </w:rPr>
              <w:t>£2,000</w:t>
            </w:r>
          </w:p>
        </w:tc>
      </w:tr>
    </w:tbl>
    <w:p w14:paraId="307C4962" w14:textId="77777777" w:rsidR="00401FB5" w:rsidRDefault="00401FB5" w:rsidP="00D10FAD">
      <w:pPr>
        <w:autoSpaceDE w:val="0"/>
        <w:autoSpaceDN w:val="0"/>
        <w:adjustRightInd w:val="0"/>
        <w:spacing w:after="120"/>
        <w:rPr>
          <w:b/>
          <w:bCs/>
          <w:sz w:val="22"/>
          <w:szCs w:val="22"/>
        </w:rPr>
      </w:pPr>
    </w:p>
    <w:p w14:paraId="4896EA88" w14:textId="2A10F3C5" w:rsidR="008C470F" w:rsidRDefault="008C470F" w:rsidP="008C470F">
      <w:pPr>
        <w:autoSpaceDE w:val="0"/>
        <w:autoSpaceDN w:val="0"/>
        <w:adjustRightInd w:val="0"/>
        <w:spacing w:after="120"/>
        <w:rPr>
          <w:sz w:val="22"/>
          <w:szCs w:val="22"/>
        </w:rPr>
      </w:pPr>
      <w:r w:rsidRPr="00D10FAD">
        <w:rPr>
          <w:sz w:val="22"/>
          <w:szCs w:val="22"/>
        </w:rPr>
        <w:t>3</w:t>
      </w:r>
      <w:r>
        <w:rPr>
          <w:sz w:val="22"/>
          <w:szCs w:val="22"/>
        </w:rPr>
        <w:t>2</w:t>
      </w:r>
      <w:r w:rsidRPr="00D10FAD">
        <w:rPr>
          <w:sz w:val="22"/>
          <w:szCs w:val="22"/>
        </w:rPr>
        <w:t xml:space="preserve">. The </w:t>
      </w:r>
      <w:r>
        <w:rPr>
          <w:sz w:val="22"/>
          <w:szCs w:val="22"/>
        </w:rPr>
        <w:t xml:space="preserve">increased limits set by the </w:t>
      </w:r>
      <w:r w:rsidRPr="00D10FAD">
        <w:rPr>
          <w:sz w:val="22"/>
          <w:szCs w:val="22"/>
        </w:rPr>
        <w:t xml:space="preserve">preferred option will have delivered immediate outputs by enabling more people with low debts, </w:t>
      </w:r>
      <w:proofErr w:type="gramStart"/>
      <w:r w:rsidRPr="00D10FAD">
        <w:rPr>
          <w:sz w:val="22"/>
          <w:szCs w:val="22"/>
        </w:rPr>
        <w:t>assets</w:t>
      </w:r>
      <w:proofErr w:type="gramEnd"/>
      <w:r w:rsidRPr="00D10FAD">
        <w:rPr>
          <w:sz w:val="22"/>
          <w:szCs w:val="22"/>
        </w:rPr>
        <w:t xml:space="preserve"> and surplus income to access debt relief. Consequently, more debtors will benefit from debt relief which will come at the expense of creditors.</w:t>
      </w:r>
    </w:p>
    <w:p w14:paraId="19D266A8" w14:textId="6B9B39D5" w:rsidR="008C470F" w:rsidRDefault="008C470F" w:rsidP="008C470F">
      <w:pPr>
        <w:autoSpaceDE w:val="0"/>
        <w:autoSpaceDN w:val="0"/>
        <w:adjustRightInd w:val="0"/>
        <w:spacing w:after="120"/>
        <w:rPr>
          <w:sz w:val="22"/>
          <w:szCs w:val="22"/>
        </w:rPr>
      </w:pPr>
      <w:r>
        <w:rPr>
          <w:sz w:val="22"/>
          <w:szCs w:val="22"/>
        </w:rPr>
        <w:t xml:space="preserve">33. An internal </w:t>
      </w:r>
      <w:r w:rsidR="00212D1D">
        <w:rPr>
          <w:sz w:val="22"/>
          <w:szCs w:val="22"/>
        </w:rPr>
        <w:t xml:space="preserve">evaluation </w:t>
      </w:r>
      <w:r>
        <w:rPr>
          <w:sz w:val="22"/>
          <w:szCs w:val="22"/>
        </w:rPr>
        <w:t>of the 2021 changes suggest</w:t>
      </w:r>
      <w:r w:rsidR="00212D1D">
        <w:rPr>
          <w:sz w:val="22"/>
          <w:szCs w:val="22"/>
        </w:rPr>
        <w:t>ed</w:t>
      </w:r>
      <w:r>
        <w:rPr>
          <w:sz w:val="22"/>
          <w:szCs w:val="22"/>
        </w:rPr>
        <w:t xml:space="preserve"> that the policy change resulted in significantly more people obtaining a DRO. </w:t>
      </w:r>
    </w:p>
    <w:p w14:paraId="2E38C1F2" w14:textId="6AF4CFA9" w:rsidR="008C470F" w:rsidRDefault="008C470F" w:rsidP="008C470F">
      <w:pPr>
        <w:autoSpaceDE w:val="0"/>
        <w:autoSpaceDN w:val="0"/>
        <w:adjustRightInd w:val="0"/>
        <w:spacing w:after="120"/>
        <w:rPr>
          <w:sz w:val="22"/>
          <w:szCs w:val="22"/>
        </w:rPr>
      </w:pPr>
      <w:r>
        <w:rPr>
          <w:sz w:val="22"/>
          <w:szCs w:val="22"/>
        </w:rPr>
        <w:t>34</w:t>
      </w:r>
      <w:r w:rsidR="005C72FA">
        <w:rPr>
          <w:sz w:val="22"/>
          <w:szCs w:val="22"/>
        </w:rPr>
        <w:t>.</w:t>
      </w:r>
      <w:r>
        <w:rPr>
          <w:sz w:val="22"/>
          <w:szCs w:val="22"/>
        </w:rPr>
        <w:t xml:space="preserve"> As part of a call for evidence issued by the Insolvency Service in England and Wales during 2022, stakeholders were asked to provide feedback on DROs. </w:t>
      </w:r>
      <w:proofErr w:type="gramStart"/>
      <w:r>
        <w:rPr>
          <w:sz w:val="22"/>
          <w:szCs w:val="22"/>
        </w:rPr>
        <w:t>A number of</w:t>
      </w:r>
      <w:proofErr w:type="gramEnd"/>
      <w:r>
        <w:rPr>
          <w:sz w:val="22"/>
          <w:szCs w:val="22"/>
        </w:rPr>
        <w:t xml:space="preserve"> respondents argued that the debt limit of £30,000 still acted as a barrier for individuals who have little or no surplus income and no assets, and who are not well suited to other insolvency procedures. </w:t>
      </w:r>
      <w:r w:rsidR="00414A4B">
        <w:rPr>
          <w:sz w:val="22"/>
          <w:szCs w:val="22"/>
        </w:rPr>
        <w:t>Stakeholders also argued that the motor vehicle limit of £2,000 also acted as a barrier as it was “out of step” with recent increases in the price of second</w:t>
      </w:r>
      <w:r w:rsidR="0079570E">
        <w:rPr>
          <w:sz w:val="22"/>
          <w:szCs w:val="22"/>
        </w:rPr>
        <w:t>-</w:t>
      </w:r>
      <w:r w:rsidR="00414A4B">
        <w:rPr>
          <w:sz w:val="22"/>
          <w:szCs w:val="22"/>
        </w:rPr>
        <w:t xml:space="preserve">hand motor vehicles. </w:t>
      </w:r>
    </w:p>
    <w:p w14:paraId="07516346" w14:textId="7CA7D0E4" w:rsidR="00B86D55" w:rsidRDefault="00B86D55" w:rsidP="008C470F">
      <w:pPr>
        <w:autoSpaceDE w:val="0"/>
        <w:autoSpaceDN w:val="0"/>
        <w:adjustRightInd w:val="0"/>
        <w:spacing w:after="120"/>
        <w:rPr>
          <w:sz w:val="22"/>
          <w:szCs w:val="22"/>
        </w:rPr>
      </w:pPr>
      <w:r>
        <w:rPr>
          <w:sz w:val="22"/>
          <w:szCs w:val="22"/>
        </w:rPr>
        <w:t xml:space="preserve">35. The Chancellor has announced in his Spring budget that the qualifying </w:t>
      </w:r>
      <w:r w:rsidR="00A85533">
        <w:rPr>
          <w:sz w:val="22"/>
          <w:szCs w:val="22"/>
        </w:rPr>
        <w:t xml:space="preserve">debt limit is to be further increased to £50,000 and the value up to which a vehicle is exempt from being counted as an asset to £4,000. These changes will be brought into effect by statutory instrument on 28 June 2024. </w:t>
      </w:r>
    </w:p>
    <w:p w14:paraId="60B03B5F" w14:textId="11B78338" w:rsidR="008C470F" w:rsidRPr="00D10FAD" w:rsidRDefault="008C470F" w:rsidP="008C470F">
      <w:pPr>
        <w:autoSpaceDE w:val="0"/>
        <w:autoSpaceDN w:val="0"/>
        <w:adjustRightInd w:val="0"/>
        <w:spacing w:after="120"/>
        <w:rPr>
          <w:sz w:val="22"/>
          <w:szCs w:val="22"/>
        </w:rPr>
      </w:pPr>
      <w:r w:rsidRPr="00D10FAD">
        <w:rPr>
          <w:sz w:val="22"/>
          <w:szCs w:val="22"/>
        </w:rPr>
        <w:t>3</w:t>
      </w:r>
      <w:r w:rsidR="00A85533">
        <w:rPr>
          <w:sz w:val="22"/>
          <w:szCs w:val="22"/>
        </w:rPr>
        <w:t>6</w:t>
      </w:r>
      <w:r w:rsidRPr="00D10FAD">
        <w:rPr>
          <w:sz w:val="22"/>
          <w:szCs w:val="22"/>
        </w:rPr>
        <w:t>. The preferred option for Northern Ireland is to make the make the same changes to the monetary eligibility limits applying under the Northern Ireland Debt Relief scheme as have been</w:t>
      </w:r>
      <w:r w:rsidR="0079570E">
        <w:rPr>
          <w:sz w:val="22"/>
          <w:szCs w:val="22"/>
        </w:rPr>
        <w:t xml:space="preserve">, </w:t>
      </w:r>
      <w:r w:rsidR="001C2BC9">
        <w:rPr>
          <w:sz w:val="22"/>
          <w:szCs w:val="22"/>
        </w:rPr>
        <w:t xml:space="preserve">or are to be </w:t>
      </w:r>
      <w:r w:rsidRPr="00D10FAD">
        <w:rPr>
          <w:sz w:val="22"/>
          <w:szCs w:val="22"/>
        </w:rPr>
        <w:t>made</w:t>
      </w:r>
      <w:r w:rsidR="0079570E">
        <w:rPr>
          <w:sz w:val="22"/>
          <w:szCs w:val="22"/>
        </w:rPr>
        <w:t>,</w:t>
      </w:r>
      <w:r w:rsidR="001C2BC9">
        <w:rPr>
          <w:sz w:val="22"/>
          <w:szCs w:val="22"/>
        </w:rPr>
        <w:t xml:space="preserve"> </w:t>
      </w:r>
      <w:r w:rsidRPr="00D10FAD">
        <w:rPr>
          <w:sz w:val="22"/>
          <w:szCs w:val="22"/>
        </w:rPr>
        <w:t>to those applying under the scheme in England and Wales. Doing so will ensure that citizens in a similar financial plight in either of the two jurisdictions have equal access to debt relief.</w:t>
      </w:r>
    </w:p>
    <w:p w14:paraId="13452B55" w14:textId="70429337" w:rsidR="00401FB5" w:rsidRDefault="00A85533" w:rsidP="00A85533">
      <w:pPr>
        <w:tabs>
          <w:tab w:val="left" w:pos="7920"/>
        </w:tabs>
        <w:spacing w:after="120"/>
        <w:rPr>
          <w:bCs/>
          <w:sz w:val="22"/>
          <w:szCs w:val="22"/>
        </w:rPr>
      </w:pPr>
      <w:r>
        <w:rPr>
          <w:bCs/>
          <w:sz w:val="22"/>
          <w:szCs w:val="22"/>
        </w:rPr>
        <w:t xml:space="preserve">37. </w:t>
      </w:r>
      <w:r w:rsidR="00401FB5" w:rsidRPr="00D10FAD">
        <w:rPr>
          <w:bCs/>
          <w:sz w:val="22"/>
          <w:szCs w:val="22"/>
        </w:rPr>
        <w:t xml:space="preserve">It is presumed that a similar gap exists in the provision of debt relief solutions in Northern Ireland </w:t>
      </w:r>
      <w:r w:rsidR="0079570E">
        <w:rPr>
          <w:bCs/>
          <w:sz w:val="22"/>
          <w:szCs w:val="22"/>
        </w:rPr>
        <w:t xml:space="preserve">as existed in England and Wales </w:t>
      </w:r>
      <w:r w:rsidR="00401FB5" w:rsidRPr="00D10FAD">
        <w:rPr>
          <w:bCs/>
          <w:sz w:val="22"/>
          <w:szCs w:val="22"/>
        </w:rPr>
        <w:t>and the only way to eliminate that gap is to legislate to increase the monetary eligibility criteria applying in Northern Ireland.</w:t>
      </w:r>
    </w:p>
    <w:p w14:paraId="49905151" w14:textId="11E186D4" w:rsidR="00A85533" w:rsidRDefault="00A85533" w:rsidP="00A85533">
      <w:pPr>
        <w:tabs>
          <w:tab w:val="left" w:pos="7920"/>
        </w:tabs>
        <w:spacing w:after="120"/>
        <w:rPr>
          <w:bCs/>
          <w:sz w:val="22"/>
          <w:szCs w:val="22"/>
        </w:rPr>
      </w:pPr>
      <w:r>
        <w:rPr>
          <w:bCs/>
          <w:sz w:val="22"/>
          <w:szCs w:val="22"/>
        </w:rPr>
        <w:t xml:space="preserve">38. </w:t>
      </w:r>
      <w:r w:rsidR="001C2BC9">
        <w:rPr>
          <w:bCs/>
          <w:sz w:val="22"/>
          <w:szCs w:val="22"/>
        </w:rPr>
        <w:t xml:space="preserve">A full public consultation was carried out between 22 March and 28 April 2022 on proposals to raise the limits under the Northern Ireland scheme to what they were in England and Wales following the increases in which took effect on 29 June 2021. All respondents were either content with the proposed increases or wanted them to be higher. </w:t>
      </w:r>
    </w:p>
    <w:p w14:paraId="19E36CC1" w14:textId="24E73E53" w:rsidR="001C2BC9" w:rsidRDefault="001C2BC9" w:rsidP="00A85533">
      <w:pPr>
        <w:tabs>
          <w:tab w:val="left" w:pos="7920"/>
        </w:tabs>
        <w:spacing w:after="120"/>
        <w:rPr>
          <w:bCs/>
          <w:sz w:val="22"/>
          <w:szCs w:val="22"/>
        </w:rPr>
      </w:pPr>
      <w:r>
        <w:rPr>
          <w:bCs/>
          <w:sz w:val="22"/>
          <w:szCs w:val="22"/>
        </w:rPr>
        <w:t xml:space="preserve">39. Due to the absence of the Assembly the only increase which it has been possible to legislate for in Northern Ireland was to increase the value up to which a vehicle is exempt from being treated as an asset </w:t>
      </w:r>
      <w:r w:rsidR="0079570E">
        <w:rPr>
          <w:bCs/>
          <w:sz w:val="22"/>
          <w:szCs w:val="22"/>
        </w:rPr>
        <w:t xml:space="preserve">from £1,000 </w:t>
      </w:r>
      <w:r>
        <w:rPr>
          <w:bCs/>
          <w:sz w:val="22"/>
          <w:szCs w:val="22"/>
        </w:rPr>
        <w:t xml:space="preserve">to £2,000. </w:t>
      </w:r>
    </w:p>
    <w:p w14:paraId="15C91EDB" w14:textId="0F07F4B0" w:rsidR="001C2BC9" w:rsidRDefault="001C2BC9" w:rsidP="00A85533">
      <w:pPr>
        <w:tabs>
          <w:tab w:val="left" w:pos="7920"/>
        </w:tabs>
        <w:spacing w:after="120"/>
        <w:rPr>
          <w:bCs/>
          <w:sz w:val="22"/>
          <w:szCs w:val="22"/>
        </w:rPr>
      </w:pPr>
      <w:r>
        <w:rPr>
          <w:bCs/>
          <w:sz w:val="22"/>
          <w:szCs w:val="22"/>
        </w:rPr>
        <w:lastRenderedPageBreak/>
        <w:t xml:space="preserve">40. In view of the endorsement by respondents to the 2022 consultation of higher increases to the scheme limits it has been decided </w:t>
      </w:r>
      <w:r w:rsidR="0079570E">
        <w:rPr>
          <w:bCs/>
          <w:sz w:val="22"/>
          <w:szCs w:val="22"/>
        </w:rPr>
        <w:t xml:space="preserve">that </w:t>
      </w:r>
      <w:r>
        <w:rPr>
          <w:bCs/>
          <w:sz w:val="22"/>
          <w:szCs w:val="22"/>
        </w:rPr>
        <w:t>further consultation on increasing the limits in line with what they will be in England and Wales following the announcement in the Chancellor’s spring budget</w:t>
      </w:r>
      <w:r w:rsidR="0079570E">
        <w:rPr>
          <w:bCs/>
          <w:sz w:val="22"/>
          <w:szCs w:val="22"/>
        </w:rPr>
        <w:t xml:space="preserve"> is unnecessary</w:t>
      </w:r>
      <w:r>
        <w:rPr>
          <w:bCs/>
          <w:sz w:val="22"/>
          <w:szCs w:val="22"/>
        </w:rPr>
        <w:t xml:space="preserve">. </w:t>
      </w:r>
    </w:p>
    <w:p w14:paraId="3528AD00" w14:textId="77777777" w:rsidR="00CF5F01" w:rsidRDefault="001C2BC9" w:rsidP="00A85533">
      <w:pPr>
        <w:tabs>
          <w:tab w:val="left" w:pos="7920"/>
        </w:tabs>
        <w:spacing w:after="120"/>
        <w:rPr>
          <w:bCs/>
          <w:sz w:val="22"/>
          <w:szCs w:val="22"/>
        </w:rPr>
      </w:pPr>
      <w:r>
        <w:rPr>
          <w:bCs/>
          <w:sz w:val="22"/>
          <w:szCs w:val="22"/>
        </w:rPr>
        <w:t xml:space="preserve">41. The </w:t>
      </w:r>
      <w:r w:rsidR="00CF5F01">
        <w:rPr>
          <w:bCs/>
          <w:sz w:val="22"/>
          <w:szCs w:val="22"/>
        </w:rPr>
        <w:t>impacts considered in this assessment are of increases to the current limits for the Northern Ireland scheme as follows,</w:t>
      </w:r>
    </w:p>
    <w:p w14:paraId="2C8BECBD" w14:textId="7608BFA3" w:rsidR="00CF5F01" w:rsidRDefault="00CF5F01" w:rsidP="00CF5F01">
      <w:pPr>
        <w:autoSpaceDE w:val="0"/>
        <w:autoSpaceDN w:val="0"/>
        <w:adjustRightInd w:val="0"/>
        <w:rPr>
          <w:bCs/>
          <w:sz w:val="22"/>
          <w:szCs w:val="22"/>
        </w:rPr>
      </w:pPr>
      <w:r w:rsidRPr="00D10FAD">
        <w:rPr>
          <w:b/>
          <w:sz w:val="22"/>
          <w:szCs w:val="22"/>
        </w:rPr>
        <w:t xml:space="preserve">Table </w:t>
      </w:r>
      <w:r>
        <w:rPr>
          <w:b/>
          <w:sz w:val="22"/>
          <w:szCs w:val="22"/>
        </w:rPr>
        <w:t>2</w:t>
      </w:r>
      <w:r w:rsidRPr="00D10FAD">
        <w:rPr>
          <w:b/>
          <w:sz w:val="22"/>
          <w:szCs w:val="22"/>
        </w:rPr>
        <w:t xml:space="preserve">: Changes </w:t>
      </w:r>
      <w:r>
        <w:rPr>
          <w:b/>
          <w:sz w:val="22"/>
          <w:szCs w:val="22"/>
        </w:rPr>
        <w:t xml:space="preserve">to be </w:t>
      </w:r>
      <w:r w:rsidRPr="00D10FAD">
        <w:rPr>
          <w:b/>
          <w:sz w:val="22"/>
          <w:szCs w:val="22"/>
        </w:rPr>
        <w:t xml:space="preserve">made to the Debt Relief Order eligibility criteria </w:t>
      </w:r>
      <w:r>
        <w:rPr>
          <w:b/>
          <w:sz w:val="22"/>
          <w:szCs w:val="22"/>
        </w:rPr>
        <w:t xml:space="preserve">currently applying </w:t>
      </w:r>
      <w:r w:rsidRPr="00D10FAD">
        <w:rPr>
          <w:b/>
          <w:sz w:val="22"/>
          <w:szCs w:val="22"/>
        </w:rPr>
        <w:t xml:space="preserve">in </w:t>
      </w:r>
      <w:r>
        <w:rPr>
          <w:b/>
          <w:sz w:val="22"/>
          <w:szCs w:val="22"/>
        </w:rPr>
        <w:t>Northern Ireland</w:t>
      </w:r>
    </w:p>
    <w:tbl>
      <w:tblPr>
        <w:tblStyle w:val="TableGrid"/>
        <w:tblW w:w="0" w:type="auto"/>
        <w:tblLook w:val="04A0" w:firstRow="1" w:lastRow="0" w:firstColumn="1" w:lastColumn="0" w:noHBand="0" w:noVBand="1"/>
      </w:tblPr>
      <w:tblGrid>
        <w:gridCol w:w="3432"/>
        <w:gridCol w:w="3432"/>
        <w:gridCol w:w="3432"/>
      </w:tblGrid>
      <w:tr w:rsidR="00CF5F01" w14:paraId="03D36FAE" w14:textId="77777777" w:rsidTr="00CF5F01">
        <w:tc>
          <w:tcPr>
            <w:tcW w:w="3432" w:type="dxa"/>
          </w:tcPr>
          <w:p w14:paraId="317D7902" w14:textId="42CFA1BD" w:rsidR="00CF5F01" w:rsidRDefault="00CF5F01" w:rsidP="00A85533">
            <w:pPr>
              <w:tabs>
                <w:tab w:val="left" w:pos="7920"/>
              </w:tabs>
              <w:spacing w:after="120"/>
              <w:rPr>
                <w:bCs/>
                <w:sz w:val="22"/>
                <w:szCs w:val="22"/>
              </w:rPr>
            </w:pPr>
          </w:p>
        </w:tc>
        <w:tc>
          <w:tcPr>
            <w:tcW w:w="3432" w:type="dxa"/>
          </w:tcPr>
          <w:p w14:paraId="3598023E" w14:textId="31E60694" w:rsidR="00CF5F01" w:rsidRDefault="00CF5F01" w:rsidP="00A85533">
            <w:pPr>
              <w:tabs>
                <w:tab w:val="left" w:pos="7920"/>
              </w:tabs>
              <w:spacing w:after="120"/>
              <w:rPr>
                <w:bCs/>
                <w:sz w:val="22"/>
                <w:szCs w:val="22"/>
              </w:rPr>
            </w:pPr>
            <w:r>
              <w:rPr>
                <w:bCs/>
                <w:sz w:val="22"/>
                <w:szCs w:val="22"/>
              </w:rPr>
              <w:t xml:space="preserve">Current </w:t>
            </w:r>
          </w:p>
        </w:tc>
        <w:tc>
          <w:tcPr>
            <w:tcW w:w="3432" w:type="dxa"/>
          </w:tcPr>
          <w:p w14:paraId="239AC710" w14:textId="2C8B0840" w:rsidR="00CF5F01" w:rsidRDefault="00CF5F01" w:rsidP="00A85533">
            <w:pPr>
              <w:tabs>
                <w:tab w:val="left" w:pos="7920"/>
              </w:tabs>
              <w:spacing w:after="120"/>
              <w:rPr>
                <w:bCs/>
                <w:sz w:val="22"/>
                <w:szCs w:val="22"/>
              </w:rPr>
            </w:pPr>
            <w:r>
              <w:rPr>
                <w:bCs/>
                <w:sz w:val="22"/>
                <w:szCs w:val="22"/>
              </w:rPr>
              <w:t xml:space="preserve">Proposed </w:t>
            </w:r>
          </w:p>
        </w:tc>
      </w:tr>
      <w:tr w:rsidR="00CF5F01" w14:paraId="5B02D533" w14:textId="77777777" w:rsidTr="00CF5F01">
        <w:tc>
          <w:tcPr>
            <w:tcW w:w="3432" w:type="dxa"/>
          </w:tcPr>
          <w:p w14:paraId="617028E5" w14:textId="327C98CB" w:rsidR="00CF5F01" w:rsidRDefault="00CF5F01" w:rsidP="00A85533">
            <w:pPr>
              <w:tabs>
                <w:tab w:val="left" w:pos="7920"/>
              </w:tabs>
              <w:spacing w:after="120"/>
              <w:rPr>
                <w:bCs/>
                <w:sz w:val="22"/>
                <w:szCs w:val="22"/>
              </w:rPr>
            </w:pPr>
            <w:r w:rsidRPr="00D10FAD">
              <w:rPr>
                <w:sz w:val="22"/>
                <w:szCs w:val="22"/>
              </w:rPr>
              <w:t>Qualifying debt limit</w:t>
            </w:r>
          </w:p>
        </w:tc>
        <w:tc>
          <w:tcPr>
            <w:tcW w:w="3432" w:type="dxa"/>
          </w:tcPr>
          <w:p w14:paraId="26DDCC5C" w14:textId="302FD76A" w:rsidR="00CF5F01" w:rsidRDefault="00CF5F01" w:rsidP="00A85533">
            <w:pPr>
              <w:tabs>
                <w:tab w:val="left" w:pos="7920"/>
              </w:tabs>
              <w:spacing w:after="120"/>
              <w:rPr>
                <w:bCs/>
                <w:sz w:val="22"/>
                <w:szCs w:val="22"/>
              </w:rPr>
            </w:pPr>
            <w:r>
              <w:rPr>
                <w:bCs/>
                <w:sz w:val="22"/>
                <w:szCs w:val="22"/>
              </w:rPr>
              <w:t>£20,000</w:t>
            </w:r>
          </w:p>
        </w:tc>
        <w:tc>
          <w:tcPr>
            <w:tcW w:w="3432" w:type="dxa"/>
          </w:tcPr>
          <w:p w14:paraId="25F59FDE" w14:textId="166C1892" w:rsidR="00CF5F01" w:rsidRDefault="00CF5F01" w:rsidP="00A85533">
            <w:pPr>
              <w:tabs>
                <w:tab w:val="left" w:pos="7920"/>
              </w:tabs>
              <w:spacing w:after="120"/>
              <w:rPr>
                <w:bCs/>
                <w:sz w:val="22"/>
                <w:szCs w:val="22"/>
              </w:rPr>
            </w:pPr>
            <w:r>
              <w:rPr>
                <w:bCs/>
                <w:sz w:val="22"/>
                <w:szCs w:val="22"/>
              </w:rPr>
              <w:t>£50,000</w:t>
            </w:r>
          </w:p>
        </w:tc>
      </w:tr>
      <w:tr w:rsidR="00CF5F01" w14:paraId="7D7DB83B" w14:textId="77777777" w:rsidTr="00CF5F01">
        <w:tc>
          <w:tcPr>
            <w:tcW w:w="3432" w:type="dxa"/>
          </w:tcPr>
          <w:p w14:paraId="16B9DF4B" w14:textId="54B04065" w:rsidR="00CF5F01" w:rsidRDefault="00CF5F01" w:rsidP="00A85533">
            <w:pPr>
              <w:tabs>
                <w:tab w:val="left" w:pos="7920"/>
              </w:tabs>
              <w:spacing w:after="120"/>
              <w:rPr>
                <w:bCs/>
                <w:sz w:val="22"/>
                <w:szCs w:val="22"/>
              </w:rPr>
            </w:pPr>
            <w:r w:rsidRPr="00D10FAD">
              <w:rPr>
                <w:sz w:val="22"/>
                <w:szCs w:val="22"/>
              </w:rPr>
              <w:t xml:space="preserve">Surplus </w:t>
            </w:r>
            <w:r w:rsidR="005249FF">
              <w:rPr>
                <w:sz w:val="22"/>
                <w:szCs w:val="22"/>
              </w:rPr>
              <w:t xml:space="preserve">monthly </w:t>
            </w:r>
            <w:r w:rsidRPr="00D10FAD">
              <w:rPr>
                <w:sz w:val="22"/>
                <w:szCs w:val="22"/>
              </w:rPr>
              <w:t>income</w:t>
            </w:r>
          </w:p>
        </w:tc>
        <w:tc>
          <w:tcPr>
            <w:tcW w:w="3432" w:type="dxa"/>
          </w:tcPr>
          <w:p w14:paraId="73B80AF2" w14:textId="4F76A71A" w:rsidR="00CF5F01" w:rsidRDefault="00CF5F01" w:rsidP="00A85533">
            <w:pPr>
              <w:tabs>
                <w:tab w:val="left" w:pos="7920"/>
              </w:tabs>
              <w:spacing w:after="120"/>
              <w:rPr>
                <w:bCs/>
                <w:sz w:val="22"/>
                <w:szCs w:val="22"/>
              </w:rPr>
            </w:pPr>
            <w:r>
              <w:rPr>
                <w:bCs/>
                <w:sz w:val="22"/>
                <w:szCs w:val="22"/>
              </w:rPr>
              <w:t>£50</w:t>
            </w:r>
          </w:p>
        </w:tc>
        <w:tc>
          <w:tcPr>
            <w:tcW w:w="3432" w:type="dxa"/>
          </w:tcPr>
          <w:p w14:paraId="7688E9C9" w14:textId="50FECC66" w:rsidR="00CF5F01" w:rsidRDefault="00CF5F01" w:rsidP="00A85533">
            <w:pPr>
              <w:tabs>
                <w:tab w:val="left" w:pos="7920"/>
              </w:tabs>
              <w:spacing w:after="120"/>
              <w:rPr>
                <w:bCs/>
                <w:sz w:val="22"/>
                <w:szCs w:val="22"/>
              </w:rPr>
            </w:pPr>
            <w:r>
              <w:rPr>
                <w:bCs/>
                <w:sz w:val="22"/>
                <w:szCs w:val="22"/>
              </w:rPr>
              <w:t>£75</w:t>
            </w:r>
          </w:p>
        </w:tc>
      </w:tr>
      <w:tr w:rsidR="00CF5F01" w14:paraId="76A08F49" w14:textId="77777777" w:rsidTr="00CF5F01">
        <w:tc>
          <w:tcPr>
            <w:tcW w:w="3432" w:type="dxa"/>
          </w:tcPr>
          <w:p w14:paraId="5B11A525" w14:textId="49AEA5A6" w:rsidR="00CF5F01" w:rsidRDefault="00CF5F01" w:rsidP="00A85533">
            <w:pPr>
              <w:tabs>
                <w:tab w:val="left" w:pos="7920"/>
              </w:tabs>
              <w:spacing w:after="120"/>
              <w:rPr>
                <w:bCs/>
                <w:sz w:val="22"/>
                <w:szCs w:val="22"/>
              </w:rPr>
            </w:pPr>
            <w:r w:rsidRPr="00D10FAD">
              <w:rPr>
                <w:sz w:val="22"/>
                <w:szCs w:val="22"/>
              </w:rPr>
              <w:t>Asset limit</w:t>
            </w:r>
          </w:p>
        </w:tc>
        <w:tc>
          <w:tcPr>
            <w:tcW w:w="3432" w:type="dxa"/>
          </w:tcPr>
          <w:p w14:paraId="583F884D" w14:textId="77777777" w:rsidR="00CF5F01" w:rsidRPr="00D10FAD" w:rsidRDefault="00CF5F01" w:rsidP="00CF5F01">
            <w:pPr>
              <w:autoSpaceDE w:val="0"/>
              <w:autoSpaceDN w:val="0"/>
              <w:adjustRightInd w:val="0"/>
              <w:rPr>
                <w:sz w:val="22"/>
                <w:szCs w:val="22"/>
              </w:rPr>
            </w:pPr>
            <w:r w:rsidRPr="00D10FAD">
              <w:rPr>
                <w:sz w:val="22"/>
                <w:szCs w:val="22"/>
              </w:rPr>
              <w:t>£1,000</w:t>
            </w:r>
          </w:p>
          <w:p w14:paraId="4EF96411" w14:textId="185CE91D" w:rsidR="00CF5F01" w:rsidRDefault="00CF5F01" w:rsidP="00CF5F01">
            <w:pPr>
              <w:tabs>
                <w:tab w:val="left" w:pos="7920"/>
              </w:tabs>
              <w:spacing w:after="120"/>
              <w:rPr>
                <w:bCs/>
                <w:sz w:val="22"/>
                <w:szCs w:val="22"/>
              </w:rPr>
            </w:pPr>
            <w:r w:rsidRPr="00D10FAD">
              <w:rPr>
                <w:sz w:val="22"/>
                <w:szCs w:val="22"/>
              </w:rPr>
              <w:t xml:space="preserve">(Excludes certain items such as a motor vehicle </w:t>
            </w:r>
            <w:r>
              <w:rPr>
                <w:sz w:val="22"/>
                <w:szCs w:val="22"/>
              </w:rPr>
              <w:t xml:space="preserve">worth up to a specified amount, </w:t>
            </w:r>
            <w:r w:rsidRPr="00D10FAD">
              <w:rPr>
                <w:sz w:val="22"/>
                <w:szCs w:val="22"/>
              </w:rPr>
              <w:t xml:space="preserve">approved </w:t>
            </w:r>
            <w:proofErr w:type="gramStart"/>
            <w:r w:rsidRPr="00D10FAD">
              <w:rPr>
                <w:sz w:val="22"/>
                <w:szCs w:val="22"/>
              </w:rPr>
              <w:t>pensions</w:t>
            </w:r>
            <w:proofErr w:type="gramEnd"/>
            <w:r w:rsidRPr="00D10FAD">
              <w:rPr>
                <w:sz w:val="22"/>
                <w:szCs w:val="22"/>
              </w:rPr>
              <w:t xml:space="preserve"> and basic belongings such as clothes, bedding and furniture)</w:t>
            </w:r>
          </w:p>
        </w:tc>
        <w:tc>
          <w:tcPr>
            <w:tcW w:w="3432" w:type="dxa"/>
          </w:tcPr>
          <w:p w14:paraId="5BC054C9" w14:textId="5F16A71F" w:rsidR="00CF5F01" w:rsidRPr="00D10FAD" w:rsidRDefault="00CF5F01" w:rsidP="00CF5F01">
            <w:pPr>
              <w:autoSpaceDE w:val="0"/>
              <w:autoSpaceDN w:val="0"/>
              <w:adjustRightInd w:val="0"/>
              <w:rPr>
                <w:sz w:val="22"/>
                <w:szCs w:val="22"/>
              </w:rPr>
            </w:pPr>
            <w:r w:rsidRPr="00D10FAD">
              <w:rPr>
                <w:sz w:val="22"/>
                <w:szCs w:val="22"/>
              </w:rPr>
              <w:t>£</w:t>
            </w:r>
            <w:r>
              <w:rPr>
                <w:sz w:val="22"/>
                <w:szCs w:val="22"/>
              </w:rPr>
              <w:t>2,</w:t>
            </w:r>
            <w:r w:rsidRPr="00D10FAD">
              <w:rPr>
                <w:sz w:val="22"/>
                <w:szCs w:val="22"/>
              </w:rPr>
              <w:t>000</w:t>
            </w:r>
          </w:p>
          <w:p w14:paraId="5080C208" w14:textId="7C8194FB" w:rsidR="00CF5F01" w:rsidRDefault="00CF5F01" w:rsidP="00CF5F01">
            <w:pPr>
              <w:tabs>
                <w:tab w:val="left" w:pos="7920"/>
              </w:tabs>
              <w:spacing w:after="120"/>
              <w:rPr>
                <w:bCs/>
                <w:sz w:val="22"/>
                <w:szCs w:val="22"/>
              </w:rPr>
            </w:pPr>
            <w:r w:rsidRPr="00D10FAD">
              <w:rPr>
                <w:sz w:val="22"/>
                <w:szCs w:val="22"/>
              </w:rPr>
              <w:t xml:space="preserve">(Excludes certain items such as a motor vehicle </w:t>
            </w:r>
            <w:r>
              <w:rPr>
                <w:sz w:val="22"/>
                <w:szCs w:val="22"/>
              </w:rPr>
              <w:t xml:space="preserve">worth up to a specified amount, </w:t>
            </w:r>
            <w:r w:rsidRPr="00D10FAD">
              <w:rPr>
                <w:sz w:val="22"/>
                <w:szCs w:val="22"/>
              </w:rPr>
              <w:t xml:space="preserve">approved </w:t>
            </w:r>
            <w:proofErr w:type="gramStart"/>
            <w:r w:rsidRPr="00D10FAD">
              <w:rPr>
                <w:sz w:val="22"/>
                <w:szCs w:val="22"/>
              </w:rPr>
              <w:t>pensions</w:t>
            </w:r>
            <w:proofErr w:type="gramEnd"/>
            <w:r w:rsidRPr="00D10FAD">
              <w:rPr>
                <w:sz w:val="22"/>
                <w:szCs w:val="22"/>
              </w:rPr>
              <w:t xml:space="preserve"> and basic belongings such as clothes, bedding and furniture)</w:t>
            </w:r>
          </w:p>
        </w:tc>
      </w:tr>
      <w:tr w:rsidR="00CF5F01" w14:paraId="229911B3" w14:textId="77777777" w:rsidTr="00CF5F01">
        <w:tc>
          <w:tcPr>
            <w:tcW w:w="3432" w:type="dxa"/>
          </w:tcPr>
          <w:p w14:paraId="08A5D052" w14:textId="7540CD79" w:rsidR="00CF5F01" w:rsidRDefault="00CF5F01" w:rsidP="00A85533">
            <w:pPr>
              <w:tabs>
                <w:tab w:val="left" w:pos="7920"/>
              </w:tabs>
              <w:spacing w:after="120"/>
              <w:rPr>
                <w:bCs/>
                <w:sz w:val="22"/>
                <w:szCs w:val="22"/>
              </w:rPr>
            </w:pPr>
            <w:r>
              <w:rPr>
                <w:sz w:val="22"/>
                <w:szCs w:val="22"/>
              </w:rPr>
              <w:t>Value up to which a vehicle is exempt from being counted as an asset</w:t>
            </w:r>
          </w:p>
        </w:tc>
        <w:tc>
          <w:tcPr>
            <w:tcW w:w="3432" w:type="dxa"/>
          </w:tcPr>
          <w:p w14:paraId="5C35835F" w14:textId="3D22D43B" w:rsidR="00CF5F01" w:rsidRDefault="00CF5F01" w:rsidP="00A85533">
            <w:pPr>
              <w:tabs>
                <w:tab w:val="left" w:pos="7920"/>
              </w:tabs>
              <w:spacing w:after="120"/>
              <w:rPr>
                <w:bCs/>
                <w:sz w:val="22"/>
                <w:szCs w:val="22"/>
              </w:rPr>
            </w:pPr>
            <w:r>
              <w:rPr>
                <w:bCs/>
                <w:sz w:val="22"/>
                <w:szCs w:val="22"/>
              </w:rPr>
              <w:t>£2,000</w:t>
            </w:r>
          </w:p>
        </w:tc>
        <w:tc>
          <w:tcPr>
            <w:tcW w:w="3432" w:type="dxa"/>
          </w:tcPr>
          <w:p w14:paraId="0BFDCC73" w14:textId="64B689B1" w:rsidR="00CF5F01" w:rsidRDefault="00CF5F01" w:rsidP="00A85533">
            <w:pPr>
              <w:tabs>
                <w:tab w:val="left" w:pos="7920"/>
              </w:tabs>
              <w:spacing w:after="120"/>
              <w:rPr>
                <w:bCs/>
                <w:sz w:val="22"/>
                <w:szCs w:val="22"/>
              </w:rPr>
            </w:pPr>
            <w:r>
              <w:rPr>
                <w:bCs/>
                <w:sz w:val="22"/>
                <w:szCs w:val="22"/>
              </w:rPr>
              <w:t>£4,000</w:t>
            </w:r>
          </w:p>
        </w:tc>
      </w:tr>
    </w:tbl>
    <w:p w14:paraId="6084BED0" w14:textId="08A356E9" w:rsidR="00CF5F01" w:rsidRDefault="00CF5F01" w:rsidP="00A85533">
      <w:pPr>
        <w:tabs>
          <w:tab w:val="left" w:pos="7920"/>
        </w:tabs>
        <w:spacing w:after="120"/>
        <w:rPr>
          <w:bCs/>
          <w:sz w:val="22"/>
          <w:szCs w:val="22"/>
        </w:rPr>
      </w:pPr>
      <w:r>
        <w:rPr>
          <w:bCs/>
          <w:sz w:val="22"/>
          <w:szCs w:val="22"/>
        </w:rPr>
        <w:t xml:space="preserve"> </w:t>
      </w:r>
    </w:p>
    <w:p w14:paraId="425DE26D" w14:textId="5BCA63DF" w:rsidR="00202460" w:rsidRDefault="001C2BC9" w:rsidP="00CF5F01">
      <w:pPr>
        <w:tabs>
          <w:tab w:val="left" w:pos="7920"/>
        </w:tabs>
        <w:spacing w:after="120"/>
        <w:rPr>
          <w:b/>
          <w:bCs/>
          <w:sz w:val="22"/>
          <w:szCs w:val="22"/>
        </w:rPr>
      </w:pPr>
      <w:r>
        <w:rPr>
          <w:bCs/>
          <w:sz w:val="22"/>
          <w:szCs w:val="22"/>
        </w:rPr>
        <w:t xml:space="preserve"> </w:t>
      </w:r>
      <w:r w:rsidR="00202460" w:rsidRPr="00D10FAD">
        <w:rPr>
          <w:b/>
          <w:bCs/>
          <w:sz w:val="22"/>
          <w:szCs w:val="22"/>
        </w:rPr>
        <w:t>Sensitivity analysis</w:t>
      </w:r>
    </w:p>
    <w:p w14:paraId="05027E36" w14:textId="77777777" w:rsidR="00202460" w:rsidRPr="00D10FAD" w:rsidRDefault="00202460" w:rsidP="00D10FAD">
      <w:pPr>
        <w:autoSpaceDE w:val="0"/>
        <w:autoSpaceDN w:val="0"/>
        <w:adjustRightInd w:val="0"/>
        <w:spacing w:after="120"/>
        <w:rPr>
          <w:sz w:val="22"/>
          <w:szCs w:val="22"/>
        </w:rPr>
      </w:pPr>
      <w:r w:rsidRPr="00D10FAD">
        <w:rPr>
          <w:sz w:val="22"/>
          <w:szCs w:val="22"/>
        </w:rPr>
        <w:t>Asset limit</w:t>
      </w:r>
    </w:p>
    <w:p w14:paraId="497245A1" w14:textId="68359FAB" w:rsidR="00202460" w:rsidRPr="00D10FAD" w:rsidRDefault="005C72FA" w:rsidP="00D10FAD">
      <w:pPr>
        <w:autoSpaceDE w:val="0"/>
        <w:autoSpaceDN w:val="0"/>
        <w:adjustRightInd w:val="0"/>
        <w:spacing w:after="120"/>
        <w:rPr>
          <w:sz w:val="22"/>
          <w:szCs w:val="22"/>
        </w:rPr>
      </w:pPr>
      <w:r>
        <w:rPr>
          <w:sz w:val="22"/>
          <w:szCs w:val="22"/>
        </w:rPr>
        <w:t>4</w:t>
      </w:r>
      <w:r w:rsidR="00F17A98">
        <w:rPr>
          <w:sz w:val="22"/>
          <w:szCs w:val="22"/>
        </w:rPr>
        <w:t>2</w:t>
      </w:r>
      <w:r w:rsidR="00202460" w:rsidRPr="00D10FAD">
        <w:rPr>
          <w:sz w:val="22"/>
          <w:szCs w:val="22"/>
        </w:rPr>
        <w:t>. In low asset, debt and surplus income cases</w:t>
      </w:r>
      <w:r w:rsidR="00DD5D8C" w:rsidRPr="00D10FAD">
        <w:rPr>
          <w:sz w:val="22"/>
          <w:szCs w:val="22"/>
        </w:rPr>
        <w:t>,</w:t>
      </w:r>
      <w:r w:rsidR="00202460" w:rsidRPr="00D10FAD">
        <w:rPr>
          <w:sz w:val="22"/>
          <w:szCs w:val="22"/>
        </w:rPr>
        <w:t xml:space="preserve"> the actual debt recovered is likely to be</w:t>
      </w:r>
      <w:r w:rsidR="00A60D6A" w:rsidRPr="00D10FAD">
        <w:rPr>
          <w:sz w:val="22"/>
          <w:szCs w:val="22"/>
        </w:rPr>
        <w:t xml:space="preserve"> </w:t>
      </w:r>
      <w:r w:rsidR="00202460" w:rsidRPr="00D10FAD">
        <w:rPr>
          <w:sz w:val="22"/>
          <w:szCs w:val="22"/>
        </w:rPr>
        <w:t>very small, if a</w:t>
      </w:r>
      <w:r w:rsidR="002A4E78" w:rsidRPr="00D10FAD">
        <w:rPr>
          <w:sz w:val="22"/>
          <w:szCs w:val="22"/>
        </w:rPr>
        <w:t>ny.</w:t>
      </w:r>
      <w:r w:rsidR="00202460" w:rsidRPr="00D10FAD">
        <w:rPr>
          <w:sz w:val="22"/>
          <w:szCs w:val="22"/>
        </w:rPr>
        <w:t xml:space="preserve"> Some cases under these circumstances enter debtor bankruptcy.</w:t>
      </w:r>
      <w:r w:rsidR="001605F4">
        <w:rPr>
          <w:sz w:val="22"/>
          <w:szCs w:val="22"/>
        </w:rPr>
        <w:t xml:space="preserve">  </w:t>
      </w:r>
      <w:r w:rsidR="00202460" w:rsidRPr="00D10FAD">
        <w:rPr>
          <w:sz w:val="22"/>
          <w:szCs w:val="22"/>
        </w:rPr>
        <w:t xml:space="preserve">The </w:t>
      </w:r>
      <w:r w:rsidR="00591F9F" w:rsidRPr="00D10FAD">
        <w:rPr>
          <w:sz w:val="22"/>
          <w:szCs w:val="22"/>
        </w:rPr>
        <w:t xml:space="preserve">Official Receiver </w:t>
      </w:r>
      <w:r w:rsidR="00A06120" w:rsidRPr="00D10FAD">
        <w:rPr>
          <w:sz w:val="22"/>
          <w:szCs w:val="22"/>
        </w:rPr>
        <w:t xml:space="preserve">charges an </w:t>
      </w:r>
      <w:r w:rsidR="00591F9F" w:rsidRPr="00D10FAD">
        <w:rPr>
          <w:sz w:val="22"/>
          <w:szCs w:val="22"/>
        </w:rPr>
        <w:t>a</w:t>
      </w:r>
      <w:r w:rsidR="00202460" w:rsidRPr="00D10FAD">
        <w:rPr>
          <w:sz w:val="22"/>
          <w:szCs w:val="22"/>
        </w:rPr>
        <w:t xml:space="preserve">dministration fee </w:t>
      </w:r>
      <w:r w:rsidR="00A06120" w:rsidRPr="00D10FAD">
        <w:rPr>
          <w:sz w:val="22"/>
          <w:szCs w:val="22"/>
        </w:rPr>
        <w:t xml:space="preserve">of £1,050 </w:t>
      </w:r>
      <w:r w:rsidR="00202460" w:rsidRPr="00D10FAD">
        <w:rPr>
          <w:sz w:val="22"/>
          <w:szCs w:val="22"/>
        </w:rPr>
        <w:t>in a</w:t>
      </w:r>
      <w:r w:rsidR="00A06120" w:rsidRPr="00D10FAD">
        <w:rPr>
          <w:sz w:val="22"/>
          <w:szCs w:val="22"/>
        </w:rPr>
        <w:t xml:space="preserve">ll bankruptcies, </w:t>
      </w:r>
      <w:r w:rsidR="00202460" w:rsidRPr="00D10FAD">
        <w:rPr>
          <w:sz w:val="22"/>
          <w:szCs w:val="22"/>
        </w:rPr>
        <w:t>which is paid through an</w:t>
      </w:r>
      <w:r w:rsidR="00591F9F" w:rsidRPr="00D10FAD">
        <w:rPr>
          <w:sz w:val="22"/>
          <w:szCs w:val="22"/>
        </w:rPr>
        <w:t xml:space="preserve"> </w:t>
      </w:r>
      <w:r w:rsidR="00202460" w:rsidRPr="00D10FAD">
        <w:rPr>
          <w:sz w:val="22"/>
          <w:szCs w:val="22"/>
        </w:rPr>
        <w:t xml:space="preserve">initial deposit and </w:t>
      </w:r>
      <w:proofErr w:type="gramStart"/>
      <w:r w:rsidR="00202460" w:rsidRPr="00D10FAD">
        <w:rPr>
          <w:sz w:val="22"/>
          <w:szCs w:val="22"/>
        </w:rPr>
        <w:t>any  realisations</w:t>
      </w:r>
      <w:proofErr w:type="gramEnd"/>
      <w:r w:rsidR="00B20F6C" w:rsidRPr="00D10FAD">
        <w:rPr>
          <w:sz w:val="22"/>
          <w:szCs w:val="22"/>
        </w:rPr>
        <w:t>.</w:t>
      </w:r>
      <w:r w:rsidR="00202460" w:rsidRPr="00D10FAD">
        <w:rPr>
          <w:sz w:val="22"/>
          <w:szCs w:val="22"/>
        </w:rPr>
        <w:t xml:space="preserve"> </w:t>
      </w:r>
      <w:r w:rsidR="00BA453F" w:rsidRPr="00D10FAD">
        <w:rPr>
          <w:sz w:val="22"/>
          <w:szCs w:val="22"/>
        </w:rPr>
        <w:t>Th</w:t>
      </w:r>
      <w:r w:rsidR="00B565EA" w:rsidRPr="00D10FAD">
        <w:rPr>
          <w:sz w:val="22"/>
          <w:szCs w:val="22"/>
        </w:rPr>
        <w:t>e</w:t>
      </w:r>
      <w:r w:rsidR="00BA453F" w:rsidRPr="00D10FAD">
        <w:rPr>
          <w:sz w:val="22"/>
          <w:szCs w:val="22"/>
        </w:rPr>
        <w:t xml:space="preserve"> </w:t>
      </w:r>
      <w:r w:rsidR="00B20F6C" w:rsidRPr="00D10FAD">
        <w:rPr>
          <w:sz w:val="22"/>
          <w:szCs w:val="22"/>
        </w:rPr>
        <w:t xml:space="preserve">deposit </w:t>
      </w:r>
      <w:proofErr w:type="gramStart"/>
      <w:r w:rsidR="00B20F6C" w:rsidRPr="00D10FAD">
        <w:rPr>
          <w:sz w:val="22"/>
          <w:szCs w:val="22"/>
        </w:rPr>
        <w:t>has to</w:t>
      </w:r>
      <w:proofErr w:type="gramEnd"/>
      <w:r w:rsidR="00B20F6C" w:rsidRPr="00D10FAD">
        <w:rPr>
          <w:sz w:val="22"/>
          <w:szCs w:val="22"/>
        </w:rPr>
        <w:t xml:space="preserve"> be refunded</w:t>
      </w:r>
      <w:r w:rsidR="00A06120" w:rsidRPr="00D10FAD">
        <w:rPr>
          <w:sz w:val="22"/>
          <w:szCs w:val="22"/>
        </w:rPr>
        <w:t xml:space="preserve">, </w:t>
      </w:r>
      <w:r w:rsidR="00B20F6C" w:rsidRPr="00D10FAD">
        <w:rPr>
          <w:sz w:val="22"/>
          <w:szCs w:val="22"/>
        </w:rPr>
        <w:t xml:space="preserve">the </w:t>
      </w:r>
      <w:r w:rsidR="00DC333D" w:rsidRPr="00D10FAD">
        <w:rPr>
          <w:sz w:val="22"/>
          <w:szCs w:val="22"/>
        </w:rPr>
        <w:t xml:space="preserve">full administration fee </w:t>
      </w:r>
      <w:r w:rsidR="00B565EA" w:rsidRPr="00D10FAD">
        <w:rPr>
          <w:sz w:val="22"/>
          <w:szCs w:val="22"/>
        </w:rPr>
        <w:t xml:space="preserve">charged, the </w:t>
      </w:r>
      <w:r w:rsidR="00BA453F" w:rsidRPr="00D10FAD">
        <w:rPr>
          <w:sz w:val="22"/>
          <w:szCs w:val="22"/>
        </w:rPr>
        <w:t xml:space="preserve">petitioner’s costs, averaging £1,700 paid </w:t>
      </w:r>
      <w:r w:rsidR="00B565EA" w:rsidRPr="00D10FAD">
        <w:rPr>
          <w:sz w:val="22"/>
          <w:szCs w:val="22"/>
        </w:rPr>
        <w:t>and an advertisement cost</w:t>
      </w:r>
      <w:r w:rsidR="00A06120" w:rsidRPr="00D10FAD">
        <w:rPr>
          <w:sz w:val="22"/>
          <w:szCs w:val="22"/>
        </w:rPr>
        <w:t xml:space="preserve">ing </w:t>
      </w:r>
      <w:r w:rsidR="00B565EA" w:rsidRPr="00D10FAD">
        <w:rPr>
          <w:sz w:val="22"/>
          <w:szCs w:val="22"/>
        </w:rPr>
        <w:t xml:space="preserve">£225 paid for </w:t>
      </w:r>
      <w:r w:rsidR="00BA453F" w:rsidRPr="00D10FAD">
        <w:rPr>
          <w:sz w:val="22"/>
          <w:szCs w:val="22"/>
        </w:rPr>
        <w:t xml:space="preserve">before any distribution can be made to creditors. </w:t>
      </w:r>
      <w:r w:rsidR="00A06120" w:rsidRPr="00D10FAD">
        <w:rPr>
          <w:sz w:val="22"/>
          <w:szCs w:val="22"/>
        </w:rPr>
        <w:t>There</w:t>
      </w:r>
      <w:r w:rsidR="00B20F6C" w:rsidRPr="00D10FAD">
        <w:rPr>
          <w:sz w:val="22"/>
          <w:szCs w:val="22"/>
        </w:rPr>
        <w:t xml:space="preserve"> </w:t>
      </w:r>
      <w:r w:rsidR="00A06120" w:rsidRPr="00D10FAD">
        <w:rPr>
          <w:sz w:val="22"/>
          <w:szCs w:val="22"/>
        </w:rPr>
        <w:t xml:space="preserve">is also a charge </w:t>
      </w:r>
      <w:r w:rsidR="00B20F6C" w:rsidRPr="00D10FAD">
        <w:rPr>
          <w:sz w:val="22"/>
          <w:szCs w:val="22"/>
        </w:rPr>
        <w:t>for the time spent by the Official Rece</w:t>
      </w:r>
      <w:r w:rsidR="00A06120" w:rsidRPr="00D10FAD">
        <w:rPr>
          <w:sz w:val="22"/>
          <w:szCs w:val="22"/>
        </w:rPr>
        <w:t>iver’s staff</w:t>
      </w:r>
      <w:r w:rsidR="00E10127" w:rsidRPr="00D10FAD">
        <w:rPr>
          <w:sz w:val="22"/>
          <w:szCs w:val="22"/>
        </w:rPr>
        <w:t xml:space="preserve"> </w:t>
      </w:r>
      <w:r w:rsidR="00A06120" w:rsidRPr="00D10FAD">
        <w:rPr>
          <w:sz w:val="22"/>
          <w:szCs w:val="22"/>
        </w:rPr>
        <w:t xml:space="preserve">in making the distribution. </w:t>
      </w:r>
      <w:r w:rsidR="00202460" w:rsidRPr="00D10FAD">
        <w:rPr>
          <w:sz w:val="22"/>
          <w:szCs w:val="22"/>
        </w:rPr>
        <w:t xml:space="preserve">Therefore, </w:t>
      </w:r>
      <w:r w:rsidR="00A06120" w:rsidRPr="00D10FAD">
        <w:rPr>
          <w:sz w:val="22"/>
          <w:szCs w:val="22"/>
        </w:rPr>
        <w:t xml:space="preserve">no distributions </w:t>
      </w:r>
      <w:r w:rsidR="00E10127" w:rsidRPr="00D10FAD">
        <w:rPr>
          <w:sz w:val="22"/>
          <w:szCs w:val="22"/>
        </w:rPr>
        <w:t xml:space="preserve">can be made </w:t>
      </w:r>
      <w:r w:rsidR="00A06120" w:rsidRPr="00D10FAD">
        <w:rPr>
          <w:sz w:val="22"/>
          <w:szCs w:val="22"/>
        </w:rPr>
        <w:t xml:space="preserve">to creditors in </w:t>
      </w:r>
      <w:r w:rsidR="00202460" w:rsidRPr="00D10FAD">
        <w:rPr>
          <w:sz w:val="22"/>
          <w:szCs w:val="22"/>
        </w:rPr>
        <w:t>cases with</w:t>
      </w:r>
      <w:r w:rsidR="00E10127" w:rsidRPr="00D10FAD">
        <w:rPr>
          <w:sz w:val="22"/>
          <w:szCs w:val="22"/>
        </w:rPr>
        <w:t xml:space="preserve"> </w:t>
      </w:r>
      <w:r w:rsidR="00202460" w:rsidRPr="00D10FAD">
        <w:rPr>
          <w:sz w:val="22"/>
          <w:szCs w:val="22"/>
        </w:rPr>
        <w:t>assets under £2,000. Consequently, increasing</w:t>
      </w:r>
      <w:r w:rsidR="00A06120" w:rsidRPr="00D10FAD">
        <w:rPr>
          <w:sz w:val="22"/>
          <w:szCs w:val="22"/>
        </w:rPr>
        <w:t xml:space="preserve"> </w:t>
      </w:r>
      <w:r w:rsidR="00202460" w:rsidRPr="00D10FAD">
        <w:rPr>
          <w:sz w:val="22"/>
          <w:szCs w:val="22"/>
        </w:rPr>
        <w:t>the DRO asset limit to £2,000 will have no impact on creditor returns as the debt will</w:t>
      </w:r>
      <w:r w:rsidR="00A06120" w:rsidRPr="00D10FAD">
        <w:rPr>
          <w:sz w:val="22"/>
          <w:szCs w:val="22"/>
        </w:rPr>
        <w:t xml:space="preserve"> </w:t>
      </w:r>
      <w:r w:rsidR="00202460" w:rsidRPr="00D10FAD">
        <w:rPr>
          <w:sz w:val="22"/>
          <w:szCs w:val="22"/>
        </w:rPr>
        <w:t>be written off in a DRO resulting in no return, as in a bankruptcy. However, the</w:t>
      </w:r>
      <w:r w:rsidR="00A06120" w:rsidRPr="00D10FAD">
        <w:rPr>
          <w:sz w:val="22"/>
          <w:szCs w:val="22"/>
        </w:rPr>
        <w:t xml:space="preserve"> </w:t>
      </w:r>
      <w:r w:rsidR="00202460" w:rsidRPr="00D10FAD">
        <w:rPr>
          <w:sz w:val="22"/>
          <w:szCs w:val="22"/>
        </w:rPr>
        <w:t>changes could result in creditor losses where the individual would have otherwise</w:t>
      </w:r>
      <w:r w:rsidR="00A06120" w:rsidRPr="00D10FAD">
        <w:rPr>
          <w:sz w:val="22"/>
          <w:szCs w:val="22"/>
        </w:rPr>
        <w:t xml:space="preserve"> </w:t>
      </w:r>
      <w:r w:rsidR="00202460" w:rsidRPr="00D10FAD">
        <w:rPr>
          <w:sz w:val="22"/>
          <w:szCs w:val="22"/>
        </w:rPr>
        <w:t>entered an alternative debt solution with a return to creditors (e.g. an Individual</w:t>
      </w:r>
      <w:r w:rsidR="00E10127" w:rsidRPr="00D10FAD">
        <w:rPr>
          <w:sz w:val="22"/>
          <w:szCs w:val="22"/>
        </w:rPr>
        <w:t xml:space="preserve"> </w:t>
      </w:r>
      <w:r w:rsidR="00202460" w:rsidRPr="00D10FAD">
        <w:rPr>
          <w:sz w:val="22"/>
          <w:szCs w:val="22"/>
        </w:rPr>
        <w:t>Voluntary Arrangement (IVA)) but we expect this to occur rarely and have analysed</w:t>
      </w:r>
      <w:r w:rsidR="00E10127" w:rsidRPr="00D10FAD">
        <w:rPr>
          <w:sz w:val="22"/>
          <w:szCs w:val="22"/>
        </w:rPr>
        <w:t xml:space="preserve"> </w:t>
      </w:r>
      <w:r w:rsidR="00202460" w:rsidRPr="00D10FAD">
        <w:rPr>
          <w:sz w:val="22"/>
          <w:szCs w:val="22"/>
        </w:rPr>
        <w:t>the impacts in the cost benefit analysis.</w:t>
      </w:r>
    </w:p>
    <w:p w14:paraId="7DEE249D" w14:textId="77777777" w:rsidR="00E10127" w:rsidRPr="00D10FAD" w:rsidRDefault="00E10127" w:rsidP="00D10FAD">
      <w:pPr>
        <w:autoSpaceDE w:val="0"/>
        <w:autoSpaceDN w:val="0"/>
        <w:adjustRightInd w:val="0"/>
        <w:spacing w:after="120"/>
        <w:rPr>
          <w:sz w:val="22"/>
          <w:szCs w:val="22"/>
        </w:rPr>
      </w:pPr>
      <w:r w:rsidRPr="00D10FAD">
        <w:rPr>
          <w:sz w:val="22"/>
          <w:szCs w:val="22"/>
        </w:rPr>
        <w:t>Surplus income</w:t>
      </w:r>
    </w:p>
    <w:p w14:paraId="71B69086" w14:textId="3D5FA8B9" w:rsidR="00C06B2E" w:rsidRPr="00D10FAD" w:rsidRDefault="00E10127" w:rsidP="00D10FAD">
      <w:pPr>
        <w:autoSpaceDE w:val="0"/>
        <w:autoSpaceDN w:val="0"/>
        <w:adjustRightInd w:val="0"/>
        <w:spacing w:after="120"/>
        <w:rPr>
          <w:sz w:val="22"/>
          <w:szCs w:val="22"/>
        </w:rPr>
      </w:pPr>
      <w:r w:rsidRPr="00D10FAD">
        <w:rPr>
          <w:sz w:val="22"/>
          <w:szCs w:val="22"/>
        </w:rPr>
        <w:t>4</w:t>
      </w:r>
      <w:r w:rsidR="00F17A98">
        <w:rPr>
          <w:sz w:val="22"/>
          <w:szCs w:val="22"/>
        </w:rPr>
        <w:t>3</w:t>
      </w:r>
      <w:r w:rsidRPr="00D10FAD">
        <w:rPr>
          <w:sz w:val="22"/>
          <w:szCs w:val="22"/>
        </w:rPr>
        <w:t xml:space="preserve">. </w:t>
      </w:r>
      <w:r w:rsidR="0027027E" w:rsidRPr="00D10FAD">
        <w:rPr>
          <w:sz w:val="22"/>
          <w:szCs w:val="22"/>
        </w:rPr>
        <w:t xml:space="preserve">It was proposed in the consultation carried out in England and Wales </w:t>
      </w:r>
      <w:r w:rsidR="00873E04">
        <w:rPr>
          <w:sz w:val="22"/>
          <w:szCs w:val="22"/>
        </w:rPr>
        <w:t xml:space="preserve">prior to the limits being increased in 2015 </w:t>
      </w:r>
      <w:r w:rsidR="0027027E" w:rsidRPr="00D10FAD">
        <w:rPr>
          <w:sz w:val="22"/>
          <w:szCs w:val="22"/>
        </w:rPr>
        <w:t xml:space="preserve">that </w:t>
      </w:r>
      <w:r w:rsidRPr="00D10FAD">
        <w:rPr>
          <w:sz w:val="22"/>
          <w:szCs w:val="22"/>
        </w:rPr>
        <w:t xml:space="preserve">the limit on surplus </w:t>
      </w:r>
      <w:r w:rsidR="0027027E" w:rsidRPr="00D10FAD">
        <w:rPr>
          <w:sz w:val="22"/>
          <w:szCs w:val="22"/>
        </w:rPr>
        <w:t xml:space="preserve">monthly </w:t>
      </w:r>
      <w:r w:rsidRPr="00D10FAD">
        <w:rPr>
          <w:sz w:val="22"/>
          <w:szCs w:val="22"/>
        </w:rPr>
        <w:t xml:space="preserve">income </w:t>
      </w:r>
      <w:r w:rsidR="0027027E" w:rsidRPr="00D10FAD">
        <w:rPr>
          <w:sz w:val="22"/>
          <w:szCs w:val="22"/>
        </w:rPr>
        <w:t>should be increased to £100.</w:t>
      </w:r>
      <w:r w:rsidR="00C97B8A" w:rsidRPr="00D10FAD">
        <w:rPr>
          <w:sz w:val="22"/>
          <w:szCs w:val="22"/>
        </w:rPr>
        <w:t xml:space="preserve"> </w:t>
      </w:r>
      <w:proofErr w:type="gramStart"/>
      <w:r w:rsidR="00C97B8A" w:rsidRPr="00D10FAD">
        <w:rPr>
          <w:sz w:val="22"/>
          <w:szCs w:val="22"/>
        </w:rPr>
        <w:t>However</w:t>
      </w:r>
      <w:proofErr w:type="gramEnd"/>
      <w:r w:rsidR="00C97B8A" w:rsidRPr="00D10FAD">
        <w:rPr>
          <w:sz w:val="22"/>
          <w:szCs w:val="22"/>
        </w:rPr>
        <w:t xml:space="preserve"> respondent’</w:t>
      </w:r>
      <w:r w:rsidR="002A68B6" w:rsidRPr="00D10FAD">
        <w:rPr>
          <w:sz w:val="22"/>
          <w:szCs w:val="22"/>
        </w:rPr>
        <w:t>s</w:t>
      </w:r>
      <w:r w:rsidR="00C97B8A" w:rsidRPr="00D10FAD">
        <w:rPr>
          <w:sz w:val="22"/>
          <w:szCs w:val="22"/>
        </w:rPr>
        <w:t xml:space="preserve"> views were mixed, </w:t>
      </w:r>
      <w:r w:rsidRPr="00D10FAD">
        <w:rPr>
          <w:sz w:val="22"/>
          <w:szCs w:val="22"/>
        </w:rPr>
        <w:t>with the debt advice sector all in favour of</w:t>
      </w:r>
      <w:r w:rsidR="00C97B8A" w:rsidRPr="00D10FAD">
        <w:rPr>
          <w:sz w:val="22"/>
          <w:szCs w:val="22"/>
        </w:rPr>
        <w:t xml:space="preserve"> a</w:t>
      </w:r>
      <w:r w:rsidRPr="00D10FAD">
        <w:rPr>
          <w:sz w:val="22"/>
          <w:szCs w:val="22"/>
        </w:rPr>
        <w:t xml:space="preserve"> £100 limit whereas creditors were against.</w:t>
      </w:r>
    </w:p>
    <w:p w14:paraId="60871BC6" w14:textId="24DAF761" w:rsidR="007441DE" w:rsidRPr="00D10FAD" w:rsidRDefault="00C97B8A" w:rsidP="00D10FAD">
      <w:pPr>
        <w:autoSpaceDE w:val="0"/>
        <w:autoSpaceDN w:val="0"/>
        <w:adjustRightInd w:val="0"/>
        <w:spacing w:after="120"/>
        <w:rPr>
          <w:sz w:val="22"/>
          <w:szCs w:val="22"/>
        </w:rPr>
      </w:pPr>
      <w:r w:rsidRPr="00D10FAD">
        <w:rPr>
          <w:sz w:val="22"/>
          <w:szCs w:val="22"/>
        </w:rPr>
        <w:t>4</w:t>
      </w:r>
      <w:r w:rsidR="00F17A98">
        <w:rPr>
          <w:sz w:val="22"/>
          <w:szCs w:val="22"/>
        </w:rPr>
        <w:t>4</w:t>
      </w:r>
      <w:r w:rsidRPr="00D10FAD">
        <w:rPr>
          <w:sz w:val="22"/>
          <w:szCs w:val="22"/>
        </w:rPr>
        <w:t>. The evidence from the consultation was that a £</w:t>
      </w:r>
      <w:r w:rsidRPr="0080567C">
        <w:rPr>
          <w:sz w:val="22"/>
          <w:szCs w:val="22"/>
          <w:highlight w:val="yellow"/>
        </w:rPr>
        <w:t>100</w:t>
      </w:r>
      <w:r w:rsidRPr="00D10FAD">
        <w:rPr>
          <w:sz w:val="22"/>
          <w:szCs w:val="22"/>
        </w:rPr>
        <w:t xml:space="preserve"> surplus limit w</w:t>
      </w:r>
      <w:r w:rsidR="0089371A" w:rsidRPr="00D10FAD">
        <w:rPr>
          <w:sz w:val="22"/>
          <w:szCs w:val="22"/>
        </w:rPr>
        <w:t xml:space="preserve">ould be </w:t>
      </w:r>
      <w:r w:rsidRPr="00D10FAD">
        <w:rPr>
          <w:sz w:val="22"/>
          <w:szCs w:val="22"/>
        </w:rPr>
        <w:t xml:space="preserve">too high </w:t>
      </w:r>
      <w:r w:rsidR="0089371A" w:rsidRPr="00D10FAD">
        <w:rPr>
          <w:sz w:val="22"/>
          <w:szCs w:val="22"/>
        </w:rPr>
        <w:t xml:space="preserve">and would </w:t>
      </w:r>
      <w:r w:rsidRPr="00D10FAD">
        <w:rPr>
          <w:sz w:val="22"/>
          <w:szCs w:val="22"/>
        </w:rPr>
        <w:t xml:space="preserve">result in significant impacts on potential returns to creditors, with resultant adverse impacts on the accessibility and cost of credit as creditors would be forced to write off more debt. </w:t>
      </w:r>
    </w:p>
    <w:p w14:paraId="7AB95491" w14:textId="6394929D" w:rsidR="007441DE" w:rsidRPr="00D10FAD" w:rsidRDefault="007441DE" w:rsidP="00D10FAD">
      <w:pPr>
        <w:autoSpaceDE w:val="0"/>
        <w:autoSpaceDN w:val="0"/>
        <w:adjustRightInd w:val="0"/>
        <w:spacing w:after="120"/>
        <w:rPr>
          <w:sz w:val="22"/>
          <w:szCs w:val="22"/>
        </w:rPr>
      </w:pPr>
      <w:r w:rsidRPr="00D10FAD">
        <w:rPr>
          <w:sz w:val="22"/>
          <w:szCs w:val="22"/>
        </w:rPr>
        <w:t>4</w:t>
      </w:r>
      <w:r w:rsidR="00F17A98">
        <w:rPr>
          <w:sz w:val="22"/>
          <w:szCs w:val="22"/>
        </w:rPr>
        <w:t>5</w:t>
      </w:r>
      <w:r w:rsidRPr="00D10FAD">
        <w:rPr>
          <w:sz w:val="22"/>
          <w:szCs w:val="22"/>
        </w:rPr>
        <w:t xml:space="preserve">. </w:t>
      </w:r>
      <w:r w:rsidRPr="0080567C">
        <w:rPr>
          <w:sz w:val="22"/>
          <w:szCs w:val="22"/>
          <w:highlight w:val="yellow"/>
        </w:rPr>
        <w:t>The maximum surplus income, £50, was set when DROs were initially introduced in 2009 (in Northern Ireland in 2011) and ha</w:t>
      </w:r>
      <w:r w:rsidR="004D349E" w:rsidRPr="0080567C">
        <w:rPr>
          <w:sz w:val="22"/>
          <w:szCs w:val="22"/>
          <w:highlight w:val="yellow"/>
        </w:rPr>
        <w:t>d</w:t>
      </w:r>
      <w:r w:rsidRPr="0080567C">
        <w:rPr>
          <w:sz w:val="22"/>
          <w:szCs w:val="22"/>
          <w:highlight w:val="yellow"/>
        </w:rPr>
        <w:t xml:space="preserve"> not been increased to reflect inflation. Uprating the surplus income from 2009 to 202</w:t>
      </w:r>
      <w:r w:rsidR="005C72FA" w:rsidRPr="0080567C">
        <w:rPr>
          <w:sz w:val="22"/>
          <w:szCs w:val="22"/>
          <w:highlight w:val="yellow"/>
        </w:rPr>
        <w:t>3</w:t>
      </w:r>
      <w:r w:rsidRPr="0080567C">
        <w:rPr>
          <w:sz w:val="22"/>
          <w:szCs w:val="22"/>
          <w:highlight w:val="yellow"/>
        </w:rPr>
        <w:t xml:space="preserve"> </w:t>
      </w:r>
      <w:r w:rsidR="00873E04" w:rsidRPr="0080567C">
        <w:rPr>
          <w:sz w:val="22"/>
          <w:szCs w:val="22"/>
          <w:highlight w:val="yellow"/>
        </w:rPr>
        <w:t xml:space="preserve">would </w:t>
      </w:r>
      <w:r w:rsidRPr="0080567C">
        <w:rPr>
          <w:sz w:val="22"/>
          <w:szCs w:val="22"/>
          <w:highlight w:val="yellow"/>
        </w:rPr>
        <w:t>result in a 202</w:t>
      </w:r>
      <w:r w:rsidR="005C72FA" w:rsidRPr="0080567C">
        <w:rPr>
          <w:sz w:val="22"/>
          <w:szCs w:val="22"/>
          <w:highlight w:val="yellow"/>
        </w:rPr>
        <w:t>3</w:t>
      </w:r>
      <w:r w:rsidRPr="0080567C">
        <w:rPr>
          <w:sz w:val="22"/>
          <w:szCs w:val="22"/>
          <w:highlight w:val="yellow"/>
        </w:rPr>
        <w:t xml:space="preserve"> surplus of £</w:t>
      </w:r>
      <w:r w:rsidR="005C72FA" w:rsidRPr="0080567C">
        <w:rPr>
          <w:sz w:val="22"/>
          <w:szCs w:val="22"/>
          <w:highlight w:val="yellow"/>
        </w:rPr>
        <w:t>7</w:t>
      </w:r>
      <w:r w:rsidRPr="0080567C">
        <w:rPr>
          <w:sz w:val="22"/>
          <w:szCs w:val="22"/>
          <w:highlight w:val="yellow"/>
        </w:rPr>
        <w:t>0</w:t>
      </w:r>
      <w:r w:rsidR="002A68B6" w:rsidRPr="0080567C">
        <w:rPr>
          <w:rStyle w:val="FootnoteReference"/>
          <w:sz w:val="22"/>
          <w:szCs w:val="22"/>
          <w:highlight w:val="yellow"/>
        </w:rPr>
        <w:footnoteReference w:id="7"/>
      </w:r>
      <w:r w:rsidRPr="0080567C">
        <w:rPr>
          <w:b/>
          <w:sz w:val="22"/>
          <w:szCs w:val="22"/>
          <w:highlight w:val="yellow"/>
        </w:rPr>
        <w:t>.</w:t>
      </w:r>
      <w:r w:rsidRPr="0080567C">
        <w:rPr>
          <w:sz w:val="22"/>
          <w:szCs w:val="22"/>
          <w:highlight w:val="yellow"/>
        </w:rPr>
        <w:t xml:space="preserve"> Analysing debt advice data shows </w:t>
      </w:r>
      <w:r w:rsidR="004D349E" w:rsidRPr="0080567C">
        <w:rPr>
          <w:sz w:val="22"/>
          <w:szCs w:val="22"/>
          <w:highlight w:val="yellow"/>
        </w:rPr>
        <w:t xml:space="preserve">that </w:t>
      </w:r>
      <w:r w:rsidRPr="0080567C">
        <w:rPr>
          <w:sz w:val="22"/>
          <w:szCs w:val="22"/>
          <w:highlight w:val="yellow"/>
        </w:rPr>
        <w:t xml:space="preserve">increasing the surplus income from £50 </w:t>
      </w:r>
      <w:r w:rsidRPr="00062E04">
        <w:rPr>
          <w:sz w:val="22"/>
          <w:szCs w:val="22"/>
          <w:highlight w:val="yellow"/>
        </w:rPr>
        <w:t>to £</w:t>
      </w:r>
      <w:r w:rsidR="005C72FA" w:rsidRPr="00062E04">
        <w:rPr>
          <w:sz w:val="22"/>
          <w:szCs w:val="22"/>
          <w:highlight w:val="yellow"/>
        </w:rPr>
        <w:t>7</w:t>
      </w:r>
      <w:r w:rsidRPr="00062E04">
        <w:rPr>
          <w:sz w:val="22"/>
          <w:szCs w:val="22"/>
          <w:highlight w:val="yellow"/>
        </w:rPr>
        <w:t>0</w:t>
      </w:r>
      <w:r w:rsidRPr="0080567C">
        <w:rPr>
          <w:sz w:val="22"/>
          <w:szCs w:val="22"/>
          <w:highlight w:val="yellow"/>
        </w:rPr>
        <w:t xml:space="preserve"> </w:t>
      </w:r>
      <w:r w:rsidR="004D349E" w:rsidRPr="0080567C">
        <w:rPr>
          <w:sz w:val="22"/>
          <w:szCs w:val="22"/>
          <w:highlight w:val="yellow"/>
        </w:rPr>
        <w:t xml:space="preserve">would only </w:t>
      </w:r>
      <w:r w:rsidRPr="0080567C">
        <w:rPr>
          <w:sz w:val="22"/>
          <w:szCs w:val="22"/>
          <w:highlight w:val="yellow"/>
        </w:rPr>
        <w:t>ha</w:t>
      </w:r>
      <w:r w:rsidR="004D349E" w:rsidRPr="0080567C">
        <w:rPr>
          <w:sz w:val="22"/>
          <w:szCs w:val="22"/>
          <w:highlight w:val="yellow"/>
        </w:rPr>
        <w:t>ve</w:t>
      </w:r>
      <w:r w:rsidRPr="0080567C">
        <w:rPr>
          <w:sz w:val="22"/>
          <w:szCs w:val="22"/>
          <w:highlight w:val="yellow"/>
        </w:rPr>
        <w:t xml:space="preserve"> a marginal </w:t>
      </w:r>
      <w:r w:rsidR="009B182F" w:rsidRPr="0080567C">
        <w:rPr>
          <w:sz w:val="22"/>
          <w:szCs w:val="22"/>
          <w:highlight w:val="yellow"/>
        </w:rPr>
        <w:t>e</w:t>
      </w:r>
      <w:r w:rsidRPr="0080567C">
        <w:rPr>
          <w:sz w:val="22"/>
          <w:szCs w:val="22"/>
          <w:highlight w:val="yellow"/>
        </w:rPr>
        <w:t>ffect</w:t>
      </w:r>
      <w:r w:rsidR="00F451F9" w:rsidRPr="0080567C">
        <w:rPr>
          <w:sz w:val="22"/>
          <w:szCs w:val="22"/>
          <w:highlight w:val="yellow"/>
        </w:rPr>
        <w:t>,</w:t>
      </w:r>
      <w:r w:rsidRPr="0080567C">
        <w:rPr>
          <w:sz w:val="22"/>
          <w:szCs w:val="22"/>
          <w:highlight w:val="yellow"/>
        </w:rPr>
        <w:t xml:space="preserve"> increasing the percentages falling under the surplus criteria from 49% to 51%. For the intervention to be worthwhile and have the desired result of providing more people in financial distress </w:t>
      </w:r>
      <w:r w:rsidR="009B182F" w:rsidRPr="0080567C">
        <w:rPr>
          <w:sz w:val="22"/>
          <w:szCs w:val="22"/>
          <w:highlight w:val="yellow"/>
        </w:rPr>
        <w:t xml:space="preserve">with </w:t>
      </w:r>
      <w:r w:rsidRPr="0080567C">
        <w:rPr>
          <w:sz w:val="22"/>
          <w:szCs w:val="22"/>
          <w:highlight w:val="yellow"/>
        </w:rPr>
        <w:t>debt relief</w:t>
      </w:r>
      <w:r w:rsidR="002A68B6" w:rsidRPr="0080567C">
        <w:rPr>
          <w:sz w:val="22"/>
          <w:szCs w:val="22"/>
          <w:highlight w:val="yellow"/>
        </w:rPr>
        <w:t>,</w:t>
      </w:r>
      <w:r w:rsidRPr="0080567C">
        <w:rPr>
          <w:sz w:val="22"/>
          <w:szCs w:val="22"/>
          <w:highlight w:val="yellow"/>
        </w:rPr>
        <w:t xml:space="preserve"> we need to go further</w:t>
      </w:r>
      <w:r w:rsidR="002A68B6" w:rsidRPr="0080567C">
        <w:rPr>
          <w:sz w:val="22"/>
          <w:szCs w:val="22"/>
          <w:highlight w:val="yellow"/>
        </w:rPr>
        <w:t>. S</w:t>
      </w:r>
      <w:r w:rsidRPr="0080567C">
        <w:rPr>
          <w:sz w:val="22"/>
          <w:szCs w:val="22"/>
          <w:highlight w:val="yellow"/>
        </w:rPr>
        <w:t>o</w:t>
      </w:r>
      <w:r w:rsidR="00C851FE" w:rsidRPr="0080567C">
        <w:rPr>
          <w:sz w:val="22"/>
          <w:szCs w:val="22"/>
          <w:highlight w:val="yellow"/>
        </w:rPr>
        <w:t>,</w:t>
      </w:r>
      <w:r w:rsidRPr="0080567C">
        <w:rPr>
          <w:sz w:val="22"/>
          <w:szCs w:val="22"/>
          <w:highlight w:val="yellow"/>
        </w:rPr>
        <w:t xml:space="preserve"> drawing on the evidence from the consultation a new maximum surplus of £75 was set, which will increase the percentage to 53% and have a more meaningful effect.</w:t>
      </w:r>
    </w:p>
    <w:p w14:paraId="782E7812" w14:textId="2AF3669A" w:rsidR="007441DE" w:rsidRPr="00D10FAD" w:rsidRDefault="00C97B8A" w:rsidP="00D10FAD">
      <w:pPr>
        <w:autoSpaceDE w:val="0"/>
        <w:autoSpaceDN w:val="0"/>
        <w:adjustRightInd w:val="0"/>
        <w:spacing w:after="120"/>
        <w:rPr>
          <w:sz w:val="22"/>
          <w:szCs w:val="22"/>
        </w:rPr>
      </w:pPr>
      <w:r w:rsidRPr="00D10FAD">
        <w:rPr>
          <w:sz w:val="22"/>
          <w:szCs w:val="22"/>
        </w:rPr>
        <w:lastRenderedPageBreak/>
        <w:t>4</w:t>
      </w:r>
      <w:r w:rsidR="00F17A98">
        <w:rPr>
          <w:sz w:val="22"/>
          <w:szCs w:val="22"/>
        </w:rPr>
        <w:t>6</w:t>
      </w:r>
      <w:r w:rsidRPr="00D10FAD">
        <w:rPr>
          <w:sz w:val="22"/>
          <w:szCs w:val="22"/>
        </w:rPr>
        <w:t xml:space="preserve">. </w:t>
      </w:r>
      <w:r w:rsidR="007441DE" w:rsidRPr="00D10FAD">
        <w:rPr>
          <w:sz w:val="22"/>
          <w:szCs w:val="22"/>
        </w:rPr>
        <w:t xml:space="preserve">It is </w:t>
      </w:r>
      <w:r w:rsidRPr="00D10FAD">
        <w:rPr>
          <w:sz w:val="22"/>
          <w:szCs w:val="22"/>
        </w:rPr>
        <w:t>believe</w:t>
      </w:r>
      <w:r w:rsidR="007441DE" w:rsidRPr="00D10FAD">
        <w:rPr>
          <w:sz w:val="22"/>
          <w:szCs w:val="22"/>
        </w:rPr>
        <w:t>d</w:t>
      </w:r>
      <w:r w:rsidRPr="00D10FAD">
        <w:rPr>
          <w:sz w:val="22"/>
          <w:szCs w:val="22"/>
        </w:rPr>
        <w:t xml:space="preserve"> that £75 is the right amount to ensure that there are no significant impacts on creditors or any of the adverse impacts above. This </w:t>
      </w:r>
      <w:r w:rsidR="007441DE" w:rsidRPr="00D10FAD">
        <w:rPr>
          <w:sz w:val="22"/>
          <w:szCs w:val="22"/>
        </w:rPr>
        <w:t xml:space="preserve">amount </w:t>
      </w:r>
      <w:r w:rsidRPr="00D10FAD">
        <w:rPr>
          <w:sz w:val="22"/>
          <w:szCs w:val="22"/>
        </w:rPr>
        <w:t xml:space="preserve">mitigates the impact on creditors in both formal and informal insolvency solutions: </w:t>
      </w:r>
    </w:p>
    <w:p w14:paraId="786E408E" w14:textId="77777777" w:rsidR="007441DE" w:rsidRPr="00D10FAD" w:rsidRDefault="00C97B8A" w:rsidP="00D10FAD">
      <w:pPr>
        <w:numPr>
          <w:ilvl w:val="0"/>
          <w:numId w:val="3"/>
        </w:numPr>
        <w:autoSpaceDE w:val="0"/>
        <w:autoSpaceDN w:val="0"/>
        <w:adjustRightInd w:val="0"/>
        <w:spacing w:after="120"/>
        <w:rPr>
          <w:sz w:val="22"/>
          <w:szCs w:val="22"/>
        </w:rPr>
      </w:pPr>
      <w:r w:rsidRPr="00D10FAD">
        <w:rPr>
          <w:sz w:val="22"/>
          <w:szCs w:val="22"/>
        </w:rPr>
        <w:t xml:space="preserve">Individual voluntary arrangements (a formal insolvency tool to make agreed repayments to your creditors) do see monthly contributions by debtors at the lower end of around £80 per calendar month; the £75 limit will mitigate the impact of </w:t>
      </w:r>
      <w:r w:rsidR="0089760A" w:rsidRPr="00D10FAD">
        <w:rPr>
          <w:sz w:val="22"/>
          <w:szCs w:val="22"/>
        </w:rPr>
        <w:t>the proposed increased monetary limits</w:t>
      </w:r>
      <w:r w:rsidRPr="00D10FAD">
        <w:rPr>
          <w:sz w:val="22"/>
          <w:szCs w:val="22"/>
        </w:rPr>
        <w:t xml:space="preserve"> for DROs. </w:t>
      </w:r>
    </w:p>
    <w:p w14:paraId="41D0B881" w14:textId="77777777" w:rsidR="007441DE" w:rsidRPr="00D10FAD" w:rsidRDefault="00C97B8A" w:rsidP="00D10FAD">
      <w:pPr>
        <w:numPr>
          <w:ilvl w:val="0"/>
          <w:numId w:val="3"/>
        </w:numPr>
        <w:autoSpaceDE w:val="0"/>
        <w:autoSpaceDN w:val="0"/>
        <w:adjustRightInd w:val="0"/>
        <w:spacing w:after="120"/>
        <w:rPr>
          <w:sz w:val="22"/>
          <w:szCs w:val="22"/>
        </w:rPr>
      </w:pPr>
      <w:r w:rsidRPr="00D10FAD">
        <w:rPr>
          <w:sz w:val="22"/>
          <w:szCs w:val="22"/>
        </w:rPr>
        <w:t>There are informal agreements between a debtor and their creditors that may offer a lower contribution per month (known as debt management plans), but we are satisfied that these are used by people either expecting a change in their circumstances or while they are decidi</w:t>
      </w:r>
      <w:r w:rsidR="00A228A3" w:rsidRPr="00D10FAD">
        <w:rPr>
          <w:sz w:val="22"/>
          <w:szCs w:val="22"/>
        </w:rPr>
        <w:t>ng on the most appropriate long-</w:t>
      </w:r>
      <w:r w:rsidRPr="00D10FAD">
        <w:rPr>
          <w:sz w:val="22"/>
          <w:szCs w:val="22"/>
        </w:rPr>
        <w:t xml:space="preserve">term solution to their debt problems. </w:t>
      </w:r>
    </w:p>
    <w:p w14:paraId="4D3C29C4" w14:textId="77777777" w:rsidR="00A228A3" w:rsidRPr="00D10FAD" w:rsidRDefault="00A228A3" w:rsidP="00D10FAD">
      <w:pPr>
        <w:autoSpaceDE w:val="0"/>
        <w:autoSpaceDN w:val="0"/>
        <w:adjustRightInd w:val="0"/>
        <w:spacing w:after="120"/>
        <w:rPr>
          <w:sz w:val="22"/>
          <w:szCs w:val="22"/>
        </w:rPr>
      </w:pPr>
      <w:r w:rsidRPr="00D10FAD">
        <w:rPr>
          <w:sz w:val="22"/>
          <w:szCs w:val="22"/>
        </w:rPr>
        <w:t xml:space="preserve">Motor vehicle </w:t>
      </w:r>
    </w:p>
    <w:p w14:paraId="538723D8" w14:textId="4DA78F8B" w:rsidR="002A68B6" w:rsidRPr="00D10FAD" w:rsidRDefault="00A228A3" w:rsidP="00D10FAD">
      <w:pPr>
        <w:autoSpaceDE w:val="0"/>
        <w:autoSpaceDN w:val="0"/>
        <w:adjustRightInd w:val="0"/>
        <w:spacing w:after="120"/>
        <w:rPr>
          <w:sz w:val="22"/>
          <w:szCs w:val="22"/>
        </w:rPr>
      </w:pPr>
      <w:r w:rsidRPr="00D10FAD">
        <w:rPr>
          <w:sz w:val="22"/>
          <w:szCs w:val="22"/>
        </w:rPr>
        <w:t>4</w:t>
      </w:r>
      <w:r w:rsidR="00F17A98">
        <w:rPr>
          <w:sz w:val="22"/>
          <w:szCs w:val="22"/>
        </w:rPr>
        <w:t>7</w:t>
      </w:r>
      <w:r w:rsidRPr="00D10FAD">
        <w:rPr>
          <w:sz w:val="22"/>
          <w:szCs w:val="22"/>
        </w:rPr>
        <w:t xml:space="preserve">. Although it was not </w:t>
      </w:r>
      <w:r w:rsidR="006E3591" w:rsidRPr="00D10FAD">
        <w:rPr>
          <w:sz w:val="22"/>
          <w:szCs w:val="22"/>
        </w:rPr>
        <w:t xml:space="preserve">among the proposals included </w:t>
      </w:r>
      <w:r w:rsidRPr="00D10FAD">
        <w:rPr>
          <w:sz w:val="22"/>
          <w:szCs w:val="22"/>
        </w:rPr>
        <w:t>in the consultation carried out in</w:t>
      </w:r>
      <w:r w:rsidR="00A60D6A" w:rsidRPr="00D10FAD">
        <w:rPr>
          <w:sz w:val="22"/>
          <w:szCs w:val="22"/>
        </w:rPr>
        <w:t xml:space="preserve"> </w:t>
      </w:r>
      <w:r w:rsidRPr="00D10FAD">
        <w:rPr>
          <w:sz w:val="22"/>
          <w:szCs w:val="22"/>
        </w:rPr>
        <w:t>England and Wales</w:t>
      </w:r>
      <w:r w:rsidR="002A68B6" w:rsidRPr="00D10FAD">
        <w:rPr>
          <w:sz w:val="22"/>
          <w:szCs w:val="22"/>
        </w:rPr>
        <w:t>,</w:t>
      </w:r>
      <w:r w:rsidRPr="00D10FAD">
        <w:rPr>
          <w:sz w:val="22"/>
          <w:szCs w:val="22"/>
        </w:rPr>
        <w:t xml:space="preserve"> the debt advice sector asked </w:t>
      </w:r>
      <w:r w:rsidR="00F451F9" w:rsidRPr="00D10FAD">
        <w:rPr>
          <w:sz w:val="22"/>
          <w:szCs w:val="22"/>
        </w:rPr>
        <w:t xml:space="preserve">the </w:t>
      </w:r>
      <w:r w:rsidRPr="00D10FAD">
        <w:rPr>
          <w:sz w:val="22"/>
          <w:szCs w:val="22"/>
        </w:rPr>
        <w:t>Government to consider increasing the value of an exempt motor vehicle to £2,000.</w:t>
      </w:r>
    </w:p>
    <w:p w14:paraId="7F4E2740" w14:textId="52C54380" w:rsidR="00C440F5" w:rsidRPr="00D10FAD" w:rsidRDefault="00A228A3" w:rsidP="00D10FAD">
      <w:pPr>
        <w:autoSpaceDE w:val="0"/>
        <w:autoSpaceDN w:val="0"/>
        <w:adjustRightInd w:val="0"/>
        <w:spacing w:after="120"/>
        <w:rPr>
          <w:sz w:val="22"/>
          <w:szCs w:val="22"/>
        </w:rPr>
      </w:pPr>
      <w:r w:rsidRPr="00D10FAD">
        <w:rPr>
          <w:sz w:val="22"/>
          <w:szCs w:val="22"/>
        </w:rPr>
        <w:t>4</w:t>
      </w:r>
      <w:r w:rsidR="00F17A98">
        <w:rPr>
          <w:sz w:val="22"/>
          <w:szCs w:val="22"/>
        </w:rPr>
        <w:t>8</w:t>
      </w:r>
      <w:r w:rsidRPr="00D10FAD">
        <w:rPr>
          <w:sz w:val="22"/>
          <w:szCs w:val="22"/>
        </w:rPr>
        <w:t xml:space="preserve">. The motor vehicle limit was set at £1,000 when DROs were introduced in 2009 </w:t>
      </w:r>
      <w:r w:rsidR="00F451F9" w:rsidRPr="00D10FAD">
        <w:rPr>
          <w:sz w:val="22"/>
          <w:szCs w:val="22"/>
        </w:rPr>
        <w:t>(in Northern Ireland in 2011</w:t>
      </w:r>
      <w:proofErr w:type="gramStart"/>
      <w:r w:rsidR="00F451F9" w:rsidRPr="00D10FAD">
        <w:rPr>
          <w:sz w:val="22"/>
          <w:szCs w:val="22"/>
        </w:rPr>
        <w:t>)</w:t>
      </w:r>
      <w:r w:rsidR="00803464">
        <w:rPr>
          <w:sz w:val="22"/>
          <w:szCs w:val="22"/>
        </w:rPr>
        <w:t>.</w:t>
      </w:r>
      <w:r w:rsidRPr="00D10FAD">
        <w:rPr>
          <w:sz w:val="22"/>
          <w:szCs w:val="22"/>
        </w:rPr>
        <w:t>Uprating</w:t>
      </w:r>
      <w:proofErr w:type="gramEnd"/>
      <w:r w:rsidRPr="00D10FAD">
        <w:rPr>
          <w:sz w:val="22"/>
          <w:szCs w:val="22"/>
        </w:rPr>
        <w:t xml:space="preserve"> the limit </w:t>
      </w:r>
      <w:r w:rsidR="00F451F9" w:rsidRPr="00D10FAD">
        <w:rPr>
          <w:sz w:val="22"/>
          <w:szCs w:val="22"/>
        </w:rPr>
        <w:t>for</w:t>
      </w:r>
      <w:r w:rsidRPr="00D10FAD">
        <w:rPr>
          <w:sz w:val="22"/>
          <w:szCs w:val="22"/>
        </w:rPr>
        <w:t xml:space="preserve"> inflation from 2009 to 202</w:t>
      </w:r>
      <w:r w:rsidR="008227CF">
        <w:rPr>
          <w:sz w:val="22"/>
          <w:szCs w:val="22"/>
        </w:rPr>
        <w:t>3</w:t>
      </w:r>
      <w:r w:rsidRPr="00D10FAD">
        <w:rPr>
          <w:sz w:val="22"/>
          <w:szCs w:val="22"/>
        </w:rPr>
        <w:t xml:space="preserve"> </w:t>
      </w:r>
      <w:r w:rsidR="00803464">
        <w:rPr>
          <w:sz w:val="22"/>
          <w:szCs w:val="22"/>
        </w:rPr>
        <w:t xml:space="preserve">would </w:t>
      </w:r>
      <w:r w:rsidRPr="00D10FAD">
        <w:rPr>
          <w:sz w:val="22"/>
          <w:szCs w:val="22"/>
        </w:rPr>
        <w:t>result in a new limit of £1,</w:t>
      </w:r>
      <w:r w:rsidR="008227CF">
        <w:rPr>
          <w:sz w:val="22"/>
          <w:szCs w:val="22"/>
        </w:rPr>
        <w:t>404</w:t>
      </w:r>
      <w:r w:rsidRPr="00D10FAD">
        <w:rPr>
          <w:sz w:val="22"/>
          <w:szCs w:val="22"/>
        </w:rPr>
        <w:t xml:space="preserve">. Analysing debt advice data shows </w:t>
      </w:r>
      <w:r w:rsidR="006E3591" w:rsidRPr="00D10FAD">
        <w:rPr>
          <w:sz w:val="22"/>
          <w:szCs w:val="22"/>
        </w:rPr>
        <w:t>that</w:t>
      </w:r>
      <w:r w:rsidR="004D349E" w:rsidRPr="00D10FAD">
        <w:rPr>
          <w:sz w:val="22"/>
          <w:szCs w:val="22"/>
        </w:rPr>
        <w:t xml:space="preserve"> </w:t>
      </w:r>
      <w:r w:rsidRPr="00D10FAD">
        <w:rPr>
          <w:sz w:val="22"/>
          <w:szCs w:val="22"/>
        </w:rPr>
        <w:t>increasing the motor vehicle limit from £1,000 to £1,</w:t>
      </w:r>
      <w:r w:rsidR="008227CF">
        <w:rPr>
          <w:sz w:val="22"/>
          <w:szCs w:val="22"/>
        </w:rPr>
        <w:t>404</w:t>
      </w:r>
      <w:r w:rsidRPr="00D10FAD">
        <w:rPr>
          <w:sz w:val="22"/>
          <w:szCs w:val="22"/>
        </w:rPr>
        <w:t xml:space="preserve"> </w:t>
      </w:r>
      <w:r w:rsidR="004D349E" w:rsidRPr="00D10FAD">
        <w:rPr>
          <w:sz w:val="22"/>
          <w:szCs w:val="22"/>
        </w:rPr>
        <w:t xml:space="preserve">would only have </w:t>
      </w:r>
      <w:r w:rsidR="00803464">
        <w:rPr>
          <w:sz w:val="22"/>
          <w:szCs w:val="22"/>
        </w:rPr>
        <w:t xml:space="preserve">had </w:t>
      </w:r>
      <w:r w:rsidRPr="00D10FAD">
        <w:rPr>
          <w:sz w:val="22"/>
          <w:szCs w:val="22"/>
        </w:rPr>
        <w:t xml:space="preserve">a marginal </w:t>
      </w:r>
      <w:r w:rsidR="00C8539E" w:rsidRPr="00D10FAD">
        <w:rPr>
          <w:sz w:val="22"/>
          <w:szCs w:val="22"/>
        </w:rPr>
        <w:t>e</w:t>
      </w:r>
      <w:r w:rsidRPr="00D10FAD">
        <w:rPr>
          <w:sz w:val="22"/>
          <w:szCs w:val="22"/>
        </w:rPr>
        <w:t>ffect</w:t>
      </w:r>
      <w:r w:rsidR="00F451F9" w:rsidRPr="00D10FAD">
        <w:rPr>
          <w:sz w:val="22"/>
          <w:szCs w:val="22"/>
        </w:rPr>
        <w:t>,</w:t>
      </w:r>
      <w:r w:rsidRPr="00D10FAD">
        <w:rPr>
          <w:sz w:val="22"/>
          <w:szCs w:val="22"/>
        </w:rPr>
        <w:t xml:space="preserve"> </w:t>
      </w:r>
      <w:r w:rsidR="002A68B6" w:rsidRPr="00D10FAD">
        <w:rPr>
          <w:sz w:val="22"/>
          <w:szCs w:val="22"/>
        </w:rPr>
        <w:t>increasing</w:t>
      </w:r>
      <w:r w:rsidR="00C440F5" w:rsidRPr="00D10FAD">
        <w:rPr>
          <w:sz w:val="22"/>
          <w:szCs w:val="22"/>
        </w:rPr>
        <w:t xml:space="preserve"> the percentages falling under the motor vehicle criteria from 48% to 50%. This indicates that the current motor vehicle limit is a</w:t>
      </w:r>
      <w:r w:rsidR="002A68B6" w:rsidRPr="00D10FAD">
        <w:rPr>
          <w:sz w:val="22"/>
          <w:szCs w:val="22"/>
        </w:rPr>
        <w:t>n impediment</w:t>
      </w:r>
      <w:r w:rsidR="00C440F5" w:rsidRPr="00D10FAD">
        <w:rPr>
          <w:sz w:val="22"/>
          <w:szCs w:val="22"/>
        </w:rPr>
        <w:t xml:space="preserve"> to DRO access, and an inflationary</w:t>
      </w:r>
      <w:r w:rsidR="002A68B6" w:rsidRPr="00D10FAD">
        <w:rPr>
          <w:sz w:val="22"/>
          <w:szCs w:val="22"/>
        </w:rPr>
        <w:t xml:space="preserve"> increase</w:t>
      </w:r>
      <w:r w:rsidR="00C440F5" w:rsidRPr="00D10FAD">
        <w:rPr>
          <w:sz w:val="22"/>
          <w:szCs w:val="22"/>
        </w:rPr>
        <w:t xml:space="preserve"> would not have the desired result of providing more people in financial distress debt relief, so there is a need to go further. </w:t>
      </w:r>
    </w:p>
    <w:p w14:paraId="4AFAFDCB" w14:textId="1A3EEE59" w:rsidR="002A68B6" w:rsidRPr="00D10FAD" w:rsidRDefault="00F17A98" w:rsidP="00D10FAD">
      <w:pPr>
        <w:autoSpaceDE w:val="0"/>
        <w:autoSpaceDN w:val="0"/>
        <w:adjustRightInd w:val="0"/>
        <w:spacing w:after="120"/>
        <w:rPr>
          <w:sz w:val="22"/>
          <w:szCs w:val="22"/>
        </w:rPr>
      </w:pPr>
      <w:r>
        <w:rPr>
          <w:sz w:val="22"/>
          <w:szCs w:val="22"/>
        </w:rPr>
        <w:t>49</w:t>
      </w:r>
      <w:r w:rsidR="005B6305" w:rsidRPr="00D10FAD">
        <w:rPr>
          <w:sz w:val="22"/>
          <w:szCs w:val="22"/>
        </w:rPr>
        <w:t>. The rationale</w:t>
      </w:r>
      <w:r w:rsidR="002A68B6" w:rsidRPr="00D10FAD">
        <w:rPr>
          <w:rStyle w:val="FootnoteReference"/>
          <w:sz w:val="22"/>
          <w:szCs w:val="22"/>
        </w:rPr>
        <w:footnoteReference w:id="8"/>
      </w:r>
      <w:r w:rsidR="005B6305" w:rsidRPr="00D10FAD">
        <w:rPr>
          <w:sz w:val="22"/>
          <w:szCs w:val="22"/>
        </w:rPr>
        <w:t xml:space="preserve"> for an increase amongst respondents was the dilemma faced by clients</w:t>
      </w:r>
      <w:r w:rsidR="002A68B6" w:rsidRPr="00D10FAD">
        <w:rPr>
          <w:sz w:val="22"/>
          <w:szCs w:val="22"/>
        </w:rPr>
        <w:t xml:space="preserve"> </w:t>
      </w:r>
      <w:r w:rsidR="005B6305" w:rsidRPr="00D10FAD">
        <w:rPr>
          <w:sz w:val="22"/>
          <w:szCs w:val="22"/>
        </w:rPr>
        <w:t>who either had to sell a modestly valued vehicle to purchase an older, lower value</w:t>
      </w:r>
      <w:r w:rsidR="00C440F5" w:rsidRPr="00D10FAD">
        <w:rPr>
          <w:sz w:val="22"/>
          <w:szCs w:val="22"/>
        </w:rPr>
        <w:t xml:space="preserve"> </w:t>
      </w:r>
      <w:r w:rsidR="005B6305" w:rsidRPr="00D10FAD">
        <w:rPr>
          <w:sz w:val="22"/>
          <w:szCs w:val="22"/>
        </w:rPr>
        <w:t xml:space="preserve">vehicle and face significantly higher maintenance costs, or pay a higher fee to go into bankruptcy instead. </w:t>
      </w:r>
    </w:p>
    <w:p w14:paraId="6429EEE0" w14:textId="773AD5A8" w:rsidR="006E3591" w:rsidRPr="00D10FAD" w:rsidRDefault="00720FBC" w:rsidP="00D10FAD">
      <w:pPr>
        <w:autoSpaceDE w:val="0"/>
        <w:autoSpaceDN w:val="0"/>
        <w:adjustRightInd w:val="0"/>
        <w:spacing w:after="120"/>
        <w:rPr>
          <w:sz w:val="22"/>
          <w:szCs w:val="22"/>
        </w:rPr>
      </w:pPr>
      <w:r>
        <w:rPr>
          <w:sz w:val="22"/>
          <w:szCs w:val="22"/>
        </w:rPr>
        <w:t>5</w:t>
      </w:r>
      <w:r w:rsidR="00F17A98">
        <w:rPr>
          <w:sz w:val="22"/>
          <w:szCs w:val="22"/>
        </w:rPr>
        <w:t>0</w:t>
      </w:r>
      <w:r w:rsidR="00A228A3" w:rsidRPr="00D10FAD">
        <w:rPr>
          <w:sz w:val="22"/>
          <w:szCs w:val="22"/>
        </w:rPr>
        <w:t>. Considering the consultation</w:t>
      </w:r>
      <w:r>
        <w:rPr>
          <w:sz w:val="22"/>
          <w:szCs w:val="22"/>
        </w:rPr>
        <w:t xml:space="preserve">, the call for evidence </w:t>
      </w:r>
      <w:r w:rsidR="00A228A3" w:rsidRPr="00D10FAD">
        <w:rPr>
          <w:sz w:val="22"/>
          <w:szCs w:val="22"/>
        </w:rPr>
        <w:t xml:space="preserve">and analytical evidence the Government </w:t>
      </w:r>
      <w:r>
        <w:rPr>
          <w:sz w:val="22"/>
          <w:szCs w:val="22"/>
        </w:rPr>
        <w:t xml:space="preserve">has </w:t>
      </w:r>
      <w:r w:rsidR="00A228A3" w:rsidRPr="00D10FAD">
        <w:rPr>
          <w:sz w:val="22"/>
          <w:szCs w:val="22"/>
        </w:rPr>
        <w:t>decided to increase the motor vehicle limit to £</w:t>
      </w:r>
      <w:r>
        <w:rPr>
          <w:sz w:val="22"/>
          <w:szCs w:val="22"/>
        </w:rPr>
        <w:t>4</w:t>
      </w:r>
      <w:r w:rsidR="00A228A3" w:rsidRPr="00D10FAD">
        <w:rPr>
          <w:sz w:val="22"/>
          <w:szCs w:val="22"/>
        </w:rPr>
        <w:t>,000. This will help to unblock barriers to access</w:t>
      </w:r>
      <w:r w:rsidR="004D349E" w:rsidRPr="00D10FAD">
        <w:rPr>
          <w:sz w:val="22"/>
          <w:szCs w:val="22"/>
        </w:rPr>
        <w:t>ing</w:t>
      </w:r>
      <w:r w:rsidR="00A228A3" w:rsidRPr="00D10FAD">
        <w:rPr>
          <w:sz w:val="22"/>
          <w:szCs w:val="22"/>
        </w:rPr>
        <w:t xml:space="preserve"> DROs and debt relief amongst people who are experiencing financial distress.  </w:t>
      </w:r>
    </w:p>
    <w:p w14:paraId="0E4160F2" w14:textId="1995EB3D" w:rsidR="00C97B8A" w:rsidRPr="00D10FAD" w:rsidRDefault="00720FBC" w:rsidP="00D10FAD">
      <w:pPr>
        <w:autoSpaceDE w:val="0"/>
        <w:autoSpaceDN w:val="0"/>
        <w:adjustRightInd w:val="0"/>
        <w:spacing w:after="120"/>
        <w:rPr>
          <w:sz w:val="22"/>
          <w:szCs w:val="22"/>
        </w:rPr>
      </w:pPr>
      <w:r>
        <w:rPr>
          <w:sz w:val="22"/>
          <w:szCs w:val="22"/>
        </w:rPr>
        <w:t>5</w:t>
      </w:r>
      <w:r w:rsidR="00F17A98">
        <w:rPr>
          <w:sz w:val="22"/>
          <w:szCs w:val="22"/>
        </w:rPr>
        <w:t>1</w:t>
      </w:r>
      <w:r w:rsidR="00A228A3" w:rsidRPr="00D10FAD">
        <w:rPr>
          <w:sz w:val="22"/>
          <w:szCs w:val="22"/>
        </w:rPr>
        <w:t xml:space="preserve">. </w:t>
      </w:r>
      <w:r w:rsidR="00803464">
        <w:rPr>
          <w:sz w:val="22"/>
          <w:szCs w:val="22"/>
        </w:rPr>
        <w:t xml:space="preserve">The limit on the value of a motor vehicle under the Northern Ireland Debt Relief scheme has already been increased to £2,000. </w:t>
      </w:r>
      <w:r w:rsidR="004D349E" w:rsidRPr="00D10FAD">
        <w:rPr>
          <w:sz w:val="22"/>
          <w:szCs w:val="22"/>
        </w:rPr>
        <w:t xml:space="preserve">A </w:t>
      </w:r>
      <w:r w:rsidR="008B7BD1">
        <w:rPr>
          <w:sz w:val="22"/>
          <w:szCs w:val="22"/>
        </w:rPr>
        <w:t xml:space="preserve">further </w:t>
      </w:r>
      <w:r w:rsidR="004D349E" w:rsidRPr="00D10FAD">
        <w:rPr>
          <w:sz w:val="22"/>
          <w:szCs w:val="22"/>
        </w:rPr>
        <w:t xml:space="preserve">change to </w:t>
      </w:r>
      <w:r w:rsidR="008B7BD1">
        <w:rPr>
          <w:sz w:val="22"/>
          <w:szCs w:val="22"/>
        </w:rPr>
        <w:t xml:space="preserve">double this </w:t>
      </w:r>
      <w:r w:rsidR="004D349E" w:rsidRPr="00D10FAD">
        <w:rPr>
          <w:sz w:val="22"/>
          <w:szCs w:val="22"/>
        </w:rPr>
        <w:t xml:space="preserve">limit </w:t>
      </w:r>
      <w:r w:rsidR="008B7BD1">
        <w:rPr>
          <w:sz w:val="22"/>
          <w:szCs w:val="22"/>
        </w:rPr>
        <w:t xml:space="preserve">to £4,000 </w:t>
      </w:r>
      <w:r w:rsidR="004D349E" w:rsidRPr="00D10FAD">
        <w:rPr>
          <w:sz w:val="22"/>
          <w:szCs w:val="22"/>
        </w:rPr>
        <w:t>wi</w:t>
      </w:r>
      <w:r w:rsidR="00A228A3" w:rsidRPr="00D10FAD">
        <w:rPr>
          <w:sz w:val="22"/>
          <w:szCs w:val="22"/>
        </w:rPr>
        <w:t xml:space="preserve">ll come into effect </w:t>
      </w:r>
      <w:r w:rsidR="004D349E" w:rsidRPr="00D10FAD">
        <w:rPr>
          <w:sz w:val="22"/>
          <w:szCs w:val="22"/>
        </w:rPr>
        <w:t xml:space="preserve">in Northern Ireland </w:t>
      </w:r>
      <w:r w:rsidR="00A228A3" w:rsidRPr="00D10FAD">
        <w:rPr>
          <w:sz w:val="22"/>
          <w:szCs w:val="22"/>
        </w:rPr>
        <w:t xml:space="preserve">through legislation to </w:t>
      </w:r>
      <w:r w:rsidR="004D349E" w:rsidRPr="00D10FAD">
        <w:rPr>
          <w:sz w:val="22"/>
          <w:szCs w:val="22"/>
        </w:rPr>
        <w:t>amend</w:t>
      </w:r>
      <w:r w:rsidR="00A228A3" w:rsidRPr="00D10FAD">
        <w:rPr>
          <w:sz w:val="22"/>
          <w:szCs w:val="22"/>
        </w:rPr>
        <w:t xml:space="preserve"> the Insolvency Rules </w:t>
      </w:r>
      <w:r w:rsidR="004D349E" w:rsidRPr="00D10FAD">
        <w:rPr>
          <w:sz w:val="22"/>
          <w:szCs w:val="22"/>
        </w:rPr>
        <w:t xml:space="preserve">(Northern Ireland) 1991 </w:t>
      </w:r>
      <w:r w:rsidR="00A228A3" w:rsidRPr="00D10FAD">
        <w:rPr>
          <w:sz w:val="22"/>
          <w:szCs w:val="22"/>
        </w:rPr>
        <w:t xml:space="preserve">whereas the other changes will be through the Insolvency </w:t>
      </w:r>
      <w:r w:rsidR="004D349E" w:rsidRPr="00D10FAD">
        <w:rPr>
          <w:sz w:val="22"/>
          <w:szCs w:val="22"/>
        </w:rPr>
        <w:t>(</w:t>
      </w:r>
      <w:r w:rsidR="00A228A3" w:rsidRPr="00D10FAD">
        <w:rPr>
          <w:sz w:val="22"/>
          <w:szCs w:val="22"/>
        </w:rPr>
        <w:t>Monetary Limits) Order</w:t>
      </w:r>
      <w:r w:rsidR="004D349E" w:rsidRPr="00D10FAD">
        <w:rPr>
          <w:sz w:val="22"/>
          <w:szCs w:val="22"/>
        </w:rPr>
        <w:t xml:space="preserve"> (Northern Ireland) 1991</w:t>
      </w:r>
      <w:r w:rsidR="00A228A3" w:rsidRPr="00D10FAD">
        <w:rPr>
          <w:sz w:val="22"/>
          <w:szCs w:val="22"/>
        </w:rPr>
        <w:t>.</w:t>
      </w:r>
    </w:p>
    <w:p w14:paraId="6198A9F4" w14:textId="77777777" w:rsidR="008B7BD1" w:rsidRDefault="008B7BD1" w:rsidP="00D10FAD">
      <w:pPr>
        <w:autoSpaceDE w:val="0"/>
        <w:autoSpaceDN w:val="0"/>
        <w:adjustRightInd w:val="0"/>
        <w:spacing w:after="120"/>
        <w:rPr>
          <w:sz w:val="22"/>
          <w:szCs w:val="22"/>
        </w:rPr>
      </w:pPr>
    </w:p>
    <w:p w14:paraId="53EC7E35" w14:textId="56F3C9FC" w:rsidR="00C52CD4" w:rsidRPr="00D10FAD" w:rsidRDefault="00C52CD4" w:rsidP="00D10FAD">
      <w:pPr>
        <w:autoSpaceDE w:val="0"/>
        <w:autoSpaceDN w:val="0"/>
        <w:adjustRightInd w:val="0"/>
        <w:spacing w:after="120"/>
        <w:rPr>
          <w:sz w:val="22"/>
          <w:szCs w:val="22"/>
        </w:rPr>
      </w:pPr>
      <w:r w:rsidRPr="00D10FAD">
        <w:rPr>
          <w:sz w:val="22"/>
          <w:szCs w:val="22"/>
        </w:rPr>
        <w:t xml:space="preserve">Debt limit </w:t>
      </w:r>
    </w:p>
    <w:p w14:paraId="0AF5EF0B" w14:textId="499A83BE" w:rsidR="00C52CD4" w:rsidRDefault="00E41BF7" w:rsidP="00D10FAD">
      <w:pPr>
        <w:autoSpaceDE w:val="0"/>
        <w:autoSpaceDN w:val="0"/>
        <w:adjustRightInd w:val="0"/>
        <w:spacing w:after="120"/>
        <w:rPr>
          <w:sz w:val="22"/>
          <w:szCs w:val="22"/>
        </w:rPr>
      </w:pPr>
      <w:r>
        <w:rPr>
          <w:sz w:val="22"/>
          <w:szCs w:val="22"/>
        </w:rPr>
        <w:t>5</w:t>
      </w:r>
      <w:r w:rsidR="00F17A98">
        <w:rPr>
          <w:sz w:val="22"/>
          <w:szCs w:val="22"/>
        </w:rPr>
        <w:t>2</w:t>
      </w:r>
      <w:r w:rsidR="00C52CD4" w:rsidRPr="00D10FAD">
        <w:rPr>
          <w:sz w:val="22"/>
          <w:szCs w:val="22"/>
        </w:rPr>
        <w:t xml:space="preserve">. Sensitivity analysis was performed in England and Wales on debt advice data to find a suitable qualifying debt limit (see Table 2) </w:t>
      </w:r>
      <w:r w:rsidR="00720FBC">
        <w:rPr>
          <w:sz w:val="22"/>
          <w:szCs w:val="22"/>
        </w:rPr>
        <w:t xml:space="preserve">at </w:t>
      </w:r>
      <w:r w:rsidR="00C52CD4" w:rsidRPr="00D10FAD">
        <w:rPr>
          <w:sz w:val="22"/>
          <w:szCs w:val="22"/>
        </w:rPr>
        <w:t xml:space="preserve">a surplus income limit of £75, </w:t>
      </w:r>
      <w:r w:rsidR="003F2907" w:rsidRPr="00D10FAD">
        <w:rPr>
          <w:sz w:val="22"/>
          <w:szCs w:val="22"/>
        </w:rPr>
        <w:t xml:space="preserve">and </w:t>
      </w:r>
      <w:r w:rsidR="00C52CD4" w:rsidRPr="00D10FAD">
        <w:rPr>
          <w:sz w:val="22"/>
          <w:szCs w:val="22"/>
        </w:rPr>
        <w:t>asset and motor vehicle limit</w:t>
      </w:r>
      <w:r w:rsidR="00720FBC">
        <w:rPr>
          <w:sz w:val="22"/>
          <w:szCs w:val="22"/>
        </w:rPr>
        <w:t>s</w:t>
      </w:r>
      <w:r w:rsidR="00C52CD4" w:rsidRPr="00D10FAD">
        <w:rPr>
          <w:sz w:val="22"/>
          <w:szCs w:val="22"/>
        </w:rPr>
        <w:t xml:space="preserve"> of £2,000 each.</w:t>
      </w:r>
    </w:p>
    <w:p w14:paraId="6EB89539" w14:textId="77777777" w:rsidR="00C13CAF" w:rsidRDefault="00C13CAF" w:rsidP="00D10FAD">
      <w:pPr>
        <w:autoSpaceDE w:val="0"/>
        <w:autoSpaceDN w:val="0"/>
        <w:adjustRightInd w:val="0"/>
        <w:spacing w:after="120"/>
        <w:rPr>
          <w:sz w:val="22"/>
          <w:szCs w:val="22"/>
        </w:rPr>
      </w:pPr>
    </w:p>
    <w:p w14:paraId="039B04E9" w14:textId="77777777" w:rsidR="00C13CAF" w:rsidRDefault="00C13CAF" w:rsidP="00D10FAD">
      <w:pPr>
        <w:autoSpaceDE w:val="0"/>
        <w:autoSpaceDN w:val="0"/>
        <w:adjustRightInd w:val="0"/>
        <w:spacing w:after="120"/>
        <w:rPr>
          <w:sz w:val="22"/>
          <w:szCs w:val="22"/>
        </w:rPr>
      </w:pPr>
    </w:p>
    <w:p w14:paraId="50989421" w14:textId="77777777" w:rsidR="00C13CAF" w:rsidRDefault="00C13CAF" w:rsidP="00D10FAD">
      <w:pPr>
        <w:autoSpaceDE w:val="0"/>
        <w:autoSpaceDN w:val="0"/>
        <w:adjustRightInd w:val="0"/>
        <w:spacing w:after="120"/>
        <w:rPr>
          <w:sz w:val="22"/>
          <w:szCs w:val="22"/>
        </w:rPr>
      </w:pPr>
    </w:p>
    <w:p w14:paraId="6FE0B226" w14:textId="77777777" w:rsidR="00C13CAF" w:rsidRDefault="00C13CAF" w:rsidP="00D10FAD">
      <w:pPr>
        <w:autoSpaceDE w:val="0"/>
        <w:autoSpaceDN w:val="0"/>
        <w:adjustRightInd w:val="0"/>
        <w:spacing w:after="120"/>
        <w:rPr>
          <w:sz w:val="22"/>
          <w:szCs w:val="22"/>
        </w:rPr>
      </w:pPr>
    </w:p>
    <w:p w14:paraId="3CDDAFB8" w14:textId="77777777" w:rsidR="00C13CAF" w:rsidRDefault="00C13CAF" w:rsidP="00D10FAD">
      <w:pPr>
        <w:autoSpaceDE w:val="0"/>
        <w:autoSpaceDN w:val="0"/>
        <w:adjustRightInd w:val="0"/>
        <w:spacing w:after="120"/>
        <w:rPr>
          <w:sz w:val="22"/>
          <w:szCs w:val="22"/>
        </w:rPr>
      </w:pPr>
    </w:p>
    <w:p w14:paraId="7EBDC721" w14:textId="77777777" w:rsidR="00C13CAF" w:rsidRDefault="00C13CAF" w:rsidP="00D10FAD">
      <w:pPr>
        <w:autoSpaceDE w:val="0"/>
        <w:autoSpaceDN w:val="0"/>
        <w:adjustRightInd w:val="0"/>
        <w:spacing w:after="120"/>
        <w:rPr>
          <w:sz w:val="22"/>
          <w:szCs w:val="22"/>
        </w:rPr>
      </w:pPr>
    </w:p>
    <w:p w14:paraId="32E72D2C" w14:textId="77777777" w:rsidR="00C13CAF" w:rsidRDefault="00C13CAF" w:rsidP="00D10FAD">
      <w:pPr>
        <w:autoSpaceDE w:val="0"/>
        <w:autoSpaceDN w:val="0"/>
        <w:adjustRightInd w:val="0"/>
        <w:spacing w:after="120"/>
        <w:rPr>
          <w:sz w:val="22"/>
          <w:szCs w:val="22"/>
        </w:rPr>
      </w:pPr>
    </w:p>
    <w:p w14:paraId="08598DE0" w14:textId="77777777" w:rsidR="00C13CAF" w:rsidRDefault="00C13CAF" w:rsidP="00D10FAD">
      <w:pPr>
        <w:autoSpaceDE w:val="0"/>
        <w:autoSpaceDN w:val="0"/>
        <w:adjustRightInd w:val="0"/>
        <w:spacing w:after="120"/>
        <w:rPr>
          <w:sz w:val="22"/>
          <w:szCs w:val="22"/>
        </w:rPr>
      </w:pPr>
    </w:p>
    <w:p w14:paraId="36BC4E88" w14:textId="77777777" w:rsidR="00C13CAF" w:rsidRDefault="00C13CAF" w:rsidP="00D10FAD">
      <w:pPr>
        <w:autoSpaceDE w:val="0"/>
        <w:autoSpaceDN w:val="0"/>
        <w:adjustRightInd w:val="0"/>
        <w:spacing w:after="120"/>
        <w:rPr>
          <w:sz w:val="22"/>
          <w:szCs w:val="22"/>
        </w:rPr>
      </w:pPr>
    </w:p>
    <w:p w14:paraId="176DE325" w14:textId="77777777" w:rsidR="00C13CAF" w:rsidRDefault="00C13CAF" w:rsidP="00D10FAD">
      <w:pPr>
        <w:autoSpaceDE w:val="0"/>
        <w:autoSpaceDN w:val="0"/>
        <w:adjustRightInd w:val="0"/>
        <w:spacing w:after="120"/>
        <w:rPr>
          <w:sz w:val="22"/>
          <w:szCs w:val="22"/>
        </w:rPr>
      </w:pPr>
    </w:p>
    <w:p w14:paraId="0CCB1D0A" w14:textId="77777777" w:rsidR="00C13CAF" w:rsidRDefault="00C13CAF" w:rsidP="00D10FAD">
      <w:pPr>
        <w:autoSpaceDE w:val="0"/>
        <w:autoSpaceDN w:val="0"/>
        <w:adjustRightInd w:val="0"/>
        <w:spacing w:after="120"/>
        <w:rPr>
          <w:sz w:val="22"/>
          <w:szCs w:val="22"/>
        </w:rPr>
      </w:pPr>
    </w:p>
    <w:p w14:paraId="10CE9056" w14:textId="5E9D1B23" w:rsidR="00C440F5" w:rsidRPr="008B7BD1" w:rsidRDefault="00C440F5" w:rsidP="00D10FAD">
      <w:pPr>
        <w:autoSpaceDE w:val="0"/>
        <w:autoSpaceDN w:val="0"/>
        <w:adjustRightInd w:val="0"/>
        <w:spacing w:after="120"/>
        <w:rPr>
          <w:b/>
          <w:bCs/>
          <w:sz w:val="22"/>
          <w:szCs w:val="22"/>
        </w:rPr>
      </w:pPr>
      <w:r w:rsidRPr="008B7BD1">
        <w:rPr>
          <w:b/>
          <w:bCs/>
          <w:sz w:val="22"/>
          <w:szCs w:val="22"/>
        </w:rPr>
        <w:lastRenderedPageBreak/>
        <w:t xml:space="preserve">Table </w:t>
      </w:r>
      <w:r w:rsidR="008B7BD1" w:rsidRPr="008B7BD1">
        <w:rPr>
          <w:b/>
          <w:bCs/>
          <w:sz w:val="22"/>
          <w:szCs w:val="22"/>
        </w:rPr>
        <w:t>3</w:t>
      </w:r>
      <w:r w:rsidRPr="008B7BD1">
        <w:rPr>
          <w:b/>
          <w:bCs/>
          <w:sz w:val="22"/>
          <w:szCs w:val="22"/>
        </w:rPr>
        <w:t xml:space="preserve">: The impact of the </w:t>
      </w:r>
      <w:r w:rsidR="006C12AB" w:rsidRPr="008B7BD1">
        <w:rPr>
          <w:b/>
          <w:bCs/>
          <w:sz w:val="22"/>
          <w:szCs w:val="22"/>
        </w:rPr>
        <w:t xml:space="preserve">corresponding </w:t>
      </w:r>
      <w:r w:rsidRPr="008B7BD1">
        <w:rPr>
          <w:b/>
          <w:bCs/>
          <w:sz w:val="22"/>
          <w:szCs w:val="22"/>
        </w:rPr>
        <w:t>changes and debt levels o</w:t>
      </w:r>
      <w:r w:rsidR="00193A92" w:rsidRPr="008B7BD1">
        <w:rPr>
          <w:b/>
          <w:bCs/>
          <w:sz w:val="22"/>
          <w:szCs w:val="22"/>
        </w:rPr>
        <w:t>n</w:t>
      </w:r>
      <w:r w:rsidRPr="008B7BD1">
        <w:rPr>
          <w:b/>
          <w:bCs/>
          <w:sz w:val="22"/>
          <w:szCs w:val="22"/>
        </w:rPr>
        <w:t xml:space="preserve"> DRO case numbers in Northern Ireland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83"/>
        <w:gridCol w:w="2059"/>
        <w:gridCol w:w="2578"/>
        <w:gridCol w:w="1541"/>
      </w:tblGrid>
      <w:tr w:rsidR="00735376" w:rsidRPr="00633593" w14:paraId="3C71EF78" w14:textId="77777777" w:rsidTr="00D10FAD">
        <w:tc>
          <w:tcPr>
            <w:tcW w:w="2235" w:type="dxa"/>
            <w:shd w:val="clear" w:color="auto" w:fill="auto"/>
          </w:tcPr>
          <w:p w14:paraId="622B7308" w14:textId="77777777" w:rsidR="00C440F5" w:rsidRPr="00D10FAD" w:rsidRDefault="00C440F5" w:rsidP="00735376">
            <w:pPr>
              <w:autoSpaceDE w:val="0"/>
              <w:autoSpaceDN w:val="0"/>
              <w:adjustRightInd w:val="0"/>
              <w:rPr>
                <w:b/>
                <w:sz w:val="22"/>
                <w:szCs w:val="22"/>
              </w:rPr>
            </w:pPr>
            <w:r w:rsidRPr="00D10FAD">
              <w:rPr>
                <w:b/>
                <w:sz w:val="22"/>
                <w:szCs w:val="22"/>
              </w:rPr>
              <w:t>Option</w:t>
            </w:r>
          </w:p>
        </w:tc>
        <w:tc>
          <w:tcPr>
            <w:tcW w:w="1883" w:type="dxa"/>
            <w:shd w:val="clear" w:color="auto" w:fill="auto"/>
          </w:tcPr>
          <w:p w14:paraId="37E8E3C8" w14:textId="5B501C64" w:rsidR="00C440F5" w:rsidRPr="00D10FAD" w:rsidRDefault="00C440F5" w:rsidP="00D10FAD">
            <w:pPr>
              <w:autoSpaceDE w:val="0"/>
              <w:autoSpaceDN w:val="0"/>
              <w:adjustRightInd w:val="0"/>
              <w:jc w:val="center"/>
              <w:rPr>
                <w:b/>
                <w:sz w:val="22"/>
                <w:szCs w:val="22"/>
              </w:rPr>
            </w:pPr>
            <w:r w:rsidRPr="00D10FAD">
              <w:rPr>
                <w:b/>
                <w:sz w:val="22"/>
                <w:szCs w:val="22"/>
              </w:rPr>
              <w:t>People able to obtain a DRO for the first time through debt advice</w:t>
            </w:r>
            <w:r w:rsidR="002A68B6" w:rsidRPr="00D10FAD">
              <w:rPr>
                <w:rStyle w:val="FootnoteReference"/>
                <w:b/>
                <w:sz w:val="22"/>
                <w:szCs w:val="22"/>
              </w:rPr>
              <w:footnoteReference w:id="9"/>
            </w:r>
          </w:p>
        </w:tc>
        <w:tc>
          <w:tcPr>
            <w:tcW w:w="2059" w:type="dxa"/>
            <w:shd w:val="clear" w:color="auto" w:fill="auto"/>
          </w:tcPr>
          <w:p w14:paraId="7C773C61" w14:textId="2B5E1D5E" w:rsidR="00C440F5" w:rsidRPr="00D10FAD" w:rsidRDefault="00C440F5" w:rsidP="00D10FAD">
            <w:pPr>
              <w:autoSpaceDE w:val="0"/>
              <w:autoSpaceDN w:val="0"/>
              <w:adjustRightInd w:val="0"/>
              <w:jc w:val="center"/>
              <w:rPr>
                <w:b/>
                <w:sz w:val="22"/>
                <w:szCs w:val="22"/>
              </w:rPr>
            </w:pPr>
            <w:r w:rsidRPr="00D10FAD">
              <w:rPr>
                <w:b/>
                <w:sz w:val="22"/>
                <w:szCs w:val="22"/>
              </w:rPr>
              <w:t>New Debtor bankruptcy cases eligible for DRO</w:t>
            </w:r>
            <w:r w:rsidR="002A68B6" w:rsidRPr="00D10FAD">
              <w:rPr>
                <w:rStyle w:val="FootnoteReference"/>
                <w:b/>
                <w:sz w:val="22"/>
                <w:szCs w:val="22"/>
              </w:rPr>
              <w:footnoteReference w:id="10"/>
            </w:r>
          </w:p>
        </w:tc>
        <w:tc>
          <w:tcPr>
            <w:tcW w:w="2578" w:type="dxa"/>
            <w:shd w:val="clear" w:color="auto" w:fill="auto"/>
          </w:tcPr>
          <w:p w14:paraId="05545572" w14:textId="6EC900BA" w:rsidR="00C440F5" w:rsidRPr="00D10FAD" w:rsidRDefault="00C440F5" w:rsidP="00D10FAD">
            <w:pPr>
              <w:autoSpaceDE w:val="0"/>
              <w:autoSpaceDN w:val="0"/>
              <w:adjustRightInd w:val="0"/>
              <w:jc w:val="center"/>
              <w:rPr>
                <w:b/>
                <w:sz w:val="22"/>
                <w:szCs w:val="22"/>
              </w:rPr>
            </w:pPr>
            <w:r w:rsidRPr="00D10FAD">
              <w:rPr>
                <w:b/>
                <w:sz w:val="22"/>
                <w:szCs w:val="22"/>
              </w:rPr>
              <w:t>Number of Debtor bankruptcy cases expected to enter a DRO</w:t>
            </w:r>
            <w:r w:rsidR="002A68B6" w:rsidRPr="00D10FAD">
              <w:rPr>
                <w:rStyle w:val="FootnoteReference"/>
                <w:b/>
                <w:sz w:val="22"/>
                <w:szCs w:val="22"/>
              </w:rPr>
              <w:footnoteReference w:id="11"/>
            </w:r>
            <w:r w:rsidRPr="00D10FAD">
              <w:rPr>
                <w:b/>
                <w:sz w:val="22"/>
                <w:szCs w:val="22"/>
              </w:rPr>
              <w:t xml:space="preserve"> (</w:t>
            </w:r>
            <w:r w:rsidR="00E40FAB">
              <w:rPr>
                <w:b/>
                <w:sz w:val="22"/>
                <w:szCs w:val="22"/>
              </w:rPr>
              <w:t>10</w:t>
            </w:r>
            <w:r w:rsidRPr="00D10FAD">
              <w:rPr>
                <w:b/>
                <w:sz w:val="22"/>
                <w:szCs w:val="22"/>
              </w:rPr>
              <w:t>%)</w:t>
            </w:r>
          </w:p>
        </w:tc>
        <w:tc>
          <w:tcPr>
            <w:tcW w:w="1541" w:type="dxa"/>
            <w:shd w:val="clear" w:color="auto" w:fill="auto"/>
          </w:tcPr>
          <w:p w14:paraId="0F5EA1CD" w14:textId="77777777" w:rsidR="00C440F5" w:rsidRPr="00D10FAD" w:rsidRDefault="00C440F5" w:rsidP="00D10FAD">
            <w:pPr>
              <w:autoSpaceDE w:val="0"/>
              <w:autoSpaceDN w:val="0"/>
              <w:adjustRightInd w:val="0"/>
              <w:jc w:val="center"/>
              <w:rPr>
                <w:b/>
                <w:sz w:val="22"/>
                <w:szCs w:val="22"/>
              </w:rPr>
            </w:pPr>
            <w:r w:rsidRPr="00D10FAD">
              <w:rPr>
                <w:b/>
                <w:sz w:val="22"/>
                <w:szCs w:val="22"/>
              </w:rPr>
              <w:t>Total new DRO cases</w:t>
            </w:r>
          </w:p>
        </w:tc>
      </w:tr>
      <w:tr w:rsidR="00735376" w:rsidRPr="00633593" w14:paraId="1E84857E" w14:textId="77777777" w:rsidTr="00D10FAD">
        <w:tc>
          <w:tcPr>
            <w:tcW w:w="2235" w:type="dxa"/>
            <w:shd w:val="clear" w:color="auto" w:fill="auto"/>
          </w:tcPr>
          <w:p w14:paraId="79FC98B2" w14:textId="77777777" w:rsidR="00C440F5" w:rsidRPr="00D10FAD" w:rsidRDefault="00C440F5" w:rsidP="00735376">
            <w:pPr>
              <w:autoSpaceDE w:val="0"/>
              <w:autoSpaceDN w:val="0"/>
              <w:adjustRightInd w:val="0"/>
              <w:rPr>
                <w:sz w:val="22"/>
                <w:szCs w:val="22"/>
              </w:rPr>
            </w:pPr>
            <w:r w:rsidRPr="00D10FAD">
              <w:rPr>
                <w:sz w:val="22"/>
                <w:szCs w:val="22"/>
              </w:rPr>
              <w:t>Do Nothing</w:t>
            </w:r>
          </w:p>
        </w:tc>
        <w:tc>
          <w:tcPr>
            <w:tcW w:w="1883" w:type="dxa"/>
            <w:shd w:val="clear" w:color="auto" w:fill="auto"/>
          </w:tcPr>
          <w:p w14:paraId="6A7AD727" w14:textId="77777777" w:rsidR="00C440F5" w:rsidRPr="00D10FAD" w:rsidRDefault="00C440F5" w:rsidP="00D10FAD">
            <w:pPr>
              <w:autoSpaceDE w:val="0"/>
              <w:autoSpaceDN w:val="0"/>
              <w:adjustRightInd w:val="0"/>
              <w:jc w:val="center"/>
              <w:rPr>
                <w:sz w:val="22"/>
                <w:szCs w:val="22"/>
              </w:rPr>
            </w:pPr>
            <w:r w:rsidRPr="00D10FAD">
              <w:rPr>
                <w:sz w:val="22"/>
                <w:szCs w:val="22"/>
              </w:rPr>
              <w:t>0</w:t>
            </w:r>
          </w:p>
        </w:tc>
        <w:tc>
          <w:tcPr>
            <w:tcW w:w="2059" w:type="dxa"/>
            <w:shd w:val="clear" w:color="auto" w:fill="auto"/>
          </w:tcPr>
          <w:p w14:paraId="059CE1FE" w14:textId="77777777" w:rsidR="00C440F5" w:rsidRPr="00D10FAD" w:rsidRDefault="00C440F5" w:rsidP="00D10FAD">
            <w:pPr>
              <w:autoSpaceDE w:val="0"/>
              <w:autoSpaceDN w:val="0"/>
              <w:adjustRightInd w:val="0"/>
              <w:jc w:val="center"/>
              <w:rPr>
                <w:sz w:val="22"/>
                <w:szCs w:val="22"/>
              </w:rPr>
            </w:pPr>
            <w:r w:rsidRPr="00D10FAD">
              <w:rPr>
                <w:sz w:val="22"/>
                <w:szCs w:val="22"/>
              </w:rPr>
              <w:t>0</w:t>
            </w:r>
          </w:p>
        </w:tc>
        <w:tc>
          <w:tcPr>
            <w:tcW w:w="2578" w:type="dxa"/>
            <w:shd w:val="clear" w:color="auto" w:fill="auto"/>
          </w:tcPr>
          <w:p w14:paraId="6E96732F" w14:textId="77777777" w:rsidR="00C440F5" w:rsidRPr="00D10FAD" w:rsidRDefault="00C440F5" w:rsidP="00D10FAD">
            <w:pPr>
              <w:autoSpaceDE w:val="0"/>
              <w:autoSpaceDN w:val="0"/>
              <w:adjustRightInd w:val="0"/>
              <w:jc w:val="center"/>
              <w:rPr>
                <w:sz w:val="22"/>
                <w:szCs w:val="22"/>
              </w:rPr>
            </w:pPr>
            <w:r w:rsidRPr="00D10FAD">
              <w:rPr>
                <w:sz w:val="22"/>
                <w:szCs w:val="22"/>
              </w:rPr>
              <w:t>0</w:t>
            </w:r>
          </w:p>
        </w:tc>
        <w:tc>
          <w:tcPr>
            <w:tcW w:w="1541" w:type="dxa"/>
            <w:shd w:val="clear" w:color="auto" w:fill="auto"/>
          </w:tcPr>
          <w:p w14:paraId="1CCDCED5" w14:textId="77777777" w:rsidR="00C440F5" w:rsidRPr="00D10FAD" w:rsidRDefault="00C440F5" w:rsidP="00D10FAD">
            <w:pPr>
              <w:autoSpaceDE w:val="0"/>
              <w:autoSpaceDN w:val="0"/>
              <w:adjustRightInd w:val="0"/>
              <w:jc w:val="center"/>
              <w:rPr>
                <w:sz w:val="22"/>
                <w:szCs w:val="22"/>
              </w:rPr>
            </w:pPr>
            <w:r w:rsidRPr="00D10FAD">
              <w:rPr>
                <w:sz w:val="22"/>
                <w:szCs w:val="22"/>
              </w:rPr>
              <w:t>0</w:t>
            </w:r>
          </w:p>
        </w:tc>
      </w:tr>
      <w:tr w:rsidR="00735376" w:rsidRPr="00633593" w14:paraId="3B7A03EC" w14:textId="77777777" w:rsidTr="00D10FAD">
        <w:tc>
          <w:tcPr>
            <w:tcW w:w="2235" w:type="dxa"/>
            <w:shd w:val="clear" w:color="auto" w:fill="auto"/>
          </w:tcPr>
          <w:p w14:paraId="5D01EA85" w14:textId="77777777" w:rsidR="00C440F5" w:rsidRPr="00D10FAD" w:rsidRDefault="00C440F5" w:rsidP="00735376">
            <w:pPr>
              <w:autoSpaceDE w:val="0"/>
              <w:autoSpaceDN w:val="0"/>
              <w:adjustRightInd w:val="0"/>
              <w:rPr>
                <w:sz w:val="22"/>
                <w:szCs w:val="22"/>
              </w:rPr>
            </w:pPr>
            <w:r w:rsidRPr="00D10FAD">
              <w:rPr>
                <w:sz w:val="22"/>
                <w:szCs w:val="22"/>
              </w:rPr>
              <w:t>£30,000 debt limit</w:t>
            </w:r>
          </w:p>
        </w:tc>
        <w:tc>
          <w:tcPr>
            <w:tcW w:w="1883" w:type="dxa"/>
            <w:shd w:val="clear" w:color="auto" w:fill="auto"/>
          </w:tcPr>
          <w:p w14:paraId="2D8ECF8D" w14:textId="77777777" w:rsidR="00C440F5" w:rsidRPr="00D10FAD" w:rsidRDefault="00C440F5" w:rsidP="00D10FAD">
            <w:pPr>
              <w:autoSpaceDE w:val="0"/>
              <w:autoSpaceDN w:val="0"/>
              <w:adjustRightInd w:val="0"/>
              <w:jc w:val="center"/>
              <w:rPr>
                <w:sz w:val="22"/>
                <w:szCs w:val="22"/>
              </w:rPr>
            </w:pPr>
            <w:r w:rsidRPr="00D10FAD">
              <w:rPr>
                <w:sz w:val="22"/>
                <w:szCs w:val="22"/>
              </w:rPr>
              <w:t>23</w:t>
            </w:r>
            <w:r w:rsidR="00C52FAF" w:rsidRPr="00D10FAD">
              <w:rPr>
                <w:sz w:val="22"/>
                <w:szCs w:val="22"/>
              </w:rPr>
              <w:t>8</w:t>
            </w:r>
          </w:p>
        </w:tc>
        <w:tc>
          <w:tcPr>
            <w:tcW w:w="2059" w:type="dxa"/>
            <w:shd w:val="clear" w:color="auto" w:fill="auto"/>
          </w:tcPr>
          <w:p w14:paraId="5ABD28E4" w14:textId="77777777" w:rsidR="00C440F5" w:rsidRPr="00D10FAD" w:rsidRDefault="004E39A4" w:rsidP="00D10FAD">
            <w:pPr>
              <w:autoSpaceDE w:val="0"/>
              <w:autoSpaceDN w:val="0"/>
              <w:adjustRightInd w:val="0"/>
              <w:jc w:val="center"/>
              <w:rPr>
                <w:sz w:val="22"/>
                <w:szCs w:val="22"/>
              </w:rPr>
            </w:pPr>
            <w:r w:rsidRPr="00D10FAD">
              <w:rPr>
                <w:sz w:val="22"/>
                <w:szCs w:val="22"/>
              </w:rPr>
              <w:t>59</w:t>
            </w:r>
          </w:p>
        </w:tc>
        <w:tc>
          <w:tcPr>
            <w:tcW w:w="2578" w:type="dxa"/>
            <w:shd w:val="clear" w:color="auto" w:fill="auto"/>
          </w:tcPr>
          <w:p w14:paraId="25D69669" w14:textId="22437BCE" w:rsidR="00C440F5" w:rsidRPr="00D10FAD" w:rsidRDefault="00E40FAB" w:rsidP="00D10FAD">
            <w:pPr>
              <w:autoSpaceDE w:val="0"/>
              <w:autoSpaceDN w:val="0"/>
              <w:adjustRightInd w:val="0"/>
              <w:jc w:val="center"/>
              <w:rPr>
                <w:sz w:val="22"/>
                <w:szCs w:val="22"/>
              </w:rPr>
            </w:pPr>
            <w:r>
              <w:rPr>
                <w:sz w:val="22"/>
                <w:szCs w:val="22"/>
              </w:rPr>
              <w:t>6</w:t>
            </w:r>
          </w:p>
        </w:tc>
        <w:tc>
          <w:tcPr>
            <w:tcW w:w="1541" w:type="dxa"/>
            <w:shd w:val="clear" w:color="auto" w:fill="auto"/>
          </w:tcPr>
          <w:p w14:paraId="3454FCFB" w14:textId="41AE985C" w:rsidR="00C440F5" w:rsidRPr="00D10FAD" w:rsidRDefault="00A918F5" w:rsidP="00D10FAD">
            <w:pPr>
              <w:autoSpaceDE w:val="0"/>
              <w:autoSpaceDN w:val="0"/>
              <w:adjustRightInd w:val="0"/>
              <w:jc w:val="center"/>
              <w:rPr>
                <w:sz w:val="22"/>
                <w:szCs w:val="22"/>
              </w:rPr>
            </w:pPr>
            <w:r w:rsidRPr="00D10FAD">
              <w:rPr>
                <w:sz w:val="22"/>
                <w:szCs w:val="22"/>
              </w:rPr>
              <w:t>2</w:t>
            </w:r>
            <w:r w:rsidR="00E40FAB">
              <w:rPr>
                <w:sz w:val="22"/>
                <w:szCs w:val="22"/>
              </w:rPr>
              <w:t>44</w:t>
            </w:r>
          </w:p>
        </w:tc>
      </w:tr>
      <w:tr w:rsidR="00735376" w:rsidRPr="00633593" w14:paraId="3C4935AF" w14:textId="77777777" w:rsidTr="00D10FAD">
        <w:tc>
          <w:tcPr>
            <w:tcW w:w="2235" w:type="dxa"/>
            <w:shd w:val="clear" w:color="auto" w:fill="auto"/>
          </w:tcPr>
          <w:p w14:paraId="52F54D4C" w14:textId="77777777" w:rsidR="00C440F5" w:rsidRPr="00D10FAD" w:rsidRDefault="00C440F5" w:rsidP="00735376">
            <w:pPr>
              <w:autoSpaceDE w:val="0"/>
              <w:autoSpaceDN w:val="0"/>
              <w:adjustRightInd w:val="0"/>
              <w:rPr>
                <w:sz w:val="22"/>
                <w:szCs w:val="22"/>
              </w:rPr>
            </w:pPr>
            <w:r w:rsidRPr="00D10FAD">
              <w:rPr>
                <w:sz w:val="22"/>
                <w:szCs w:val="22"/>
              </w:rPr>
              <w:t>£40,000 debt limit</w:t>
            </w:r>
          </w:p>
        </w:tc>
        <w:tc>
          <w:tcPr>
            <w:tcW w:w="1883" w:type="dxa"/>
            <w:shd w:val="clear" w:color="auto" w:fill="auto"/>
          </w:tcPr>
          <w:p w14:paraId="27A35146" w14:textId="77777777" w:rsidR="00C440F5" w:rsidRPr="00D10FAD" w:rsidRDefault="00C440F5" w:rsidP="00D10FAD">
            <w:pPr>
              <w:autoSpaceDE w:val="0"/>
              <w:autoSpaceDN w:val="0"/>
              <w:adjustRightInd w:val="0"/>
              <w:jc w:val="center"/>
              <w:rPr>
                <w:sz w:val="22"/>
                <w:szCs w:val="22"/>
              </w:rPr>
            </w:pPr>
            <w:r w:rsidRPr="00D10FAD">
              <w:rPr>
                <w:sz w:val="22"/>
                <w:szCs w:val="22"/>
              </w:rPr>
              <w:t>25</w:t>
            </w:r>
            <w:r w:rsidR="00C52FAF" w:rsidRPr="00D10FAD">
              <w:rPr>
                <w:sz w:val="22"/>
                <w:szCs w:val="22"/>
              </w:rPr>
              <w:t>9</w:t>
            </w:r>
          </w:p>
        </w:tc>
        <w:tc>
          <w:tcPr>
            <w:tcW w:w="2059" w:type="dxa"/>
            <w:shd w:val="clear" w:color="auto" w:fill="auto"/>
          </w:tcPr>
          <w:p w14:paraId="3F71BD27" w14:textId="77777777" w:rsidR="00C440F5" w:rsidRPr="00D10FAD" w:rsidRDefault="004E39A4" w:rsidP="00D10FAD">
            <w:pPr>
              <w:autoSpaceDE w:val="0"/>
              <w:autoSpaceDN w:val="0"/>
              <w:adjustRightInd w:val="0"/>
              <w:jc w:val="center"/>
              <w:rPr>
                <w:sz w:val="22"/>
                <w:szCs w:val="22"/>
              </w:rPr>
            </w:pPr>
            <w:r w:rsidRPr="00D10FAD">
              <w:rPr>
                <w:sz w:val="22"/>
                <w:szCs w:val="22"/>
              </w:rPr>
              <w:t>99</w:t>
            </w:r>
          </w:p>
        </w:tc>
        <w:tc>
          <w:tcPr>
            <w:tcW w:w="2578" w:type="dxa"/>
            <w:shd w:val="clear" w:color="auto" w:fill="auto"/>
          </w:tcPr>
          <w:p w14:paraId="09724907" w14:textId="345E306A" w:rsidR="00C440F5" w:rsidRPr="00D10FAD" w:rsidRDefault="00E40FAB" w:rsidP="00D10FAD">
            <w:pPr>
              <w:autoSpaceDE w:val="0"/>
              <w:autoSpaceDN w:val="0"/>
              <w:adjustRightInd w:val="0"/>
              <w:jc w:val="center"/>
              <w:rPr>
                <w:sz w:val="22"/>
                <w:szCs w:val="22"/>
              </w:rPr>
            </w:pPr>
            <w:r>
              <w:rPr>
                <w:sz w:val="22"/>
                <w:szCs w:val="22"/>
              </w:rPr>
              <w:t>10</w:t>
            </w:r>
          </w:p>
        </w:tc>
        <w:tc>
          <w:tcPr>
            <w:tcW w:w="1541" w:type="dxa"/>
            <w:shd w:val="clear" w:color="auto" w:fill="auto"/>
          </w:tcPr>
          <w:p w14:paraId="00684C71" w14:textId="341D1882" w:rsidR="00C440F5" w:rsidRPr="00D10FAD" w:rsidRDefault="00E40FAB" w:rsidP="00D10FAD">
            <w:pPr>
              <w:autoSpaceDE w:val="0"/>
              <w:autoSpaceDN w:val="0"/>
              <w:adjustRightInd w:val="0"/>
              <w:jc w:val="center"/>
              <w:rPr>
                <w:sz w:val="22"/>
                <w:szCs w:val="22"/>
              </w:rPr>
            </w:pPr>
            <w:r>
              <w:rPr>
                <w:sz w:val="22"/>
                <w:szCs w:val="22"/>
              </w:rPr>
              <w:t>269</w:t>
            </w:r>
          </w:p>
        </w:tc>
      </w:tr>
      <w:tr w:rsidR="00735376" w:rsidRPr="00633593" w14:paraId="5EFBC80C" w14:textId="77777777" w:rsidTr="00D10FAD">
        <w:tc>
          <w:tcPr>
            <w:tcW w:w="2235" w:type="dxa"/>
            <w:shd w:val="clear" w:color="auto" w:fill="auto"/>
          </w:tcPr>
          <w:p w14:paraId="5F9D61FA" w14:textId="77777777" w:rsidR="00C440F5" w:rsidRPr="00D10FAD" w:rsidRDefault="00C440F5" w:rsidP="00735376">
            <w:pPr>
              <w:autoSpaceDE w:val="0"/>
              <w:autoSpaceDN w:val="0"/>
              <w:adjustRightInd w:val="0"/>
              <w:rPr>
                <w:sz w:val="22"/>
                <w:szCs w:val="22"/>
              </w:rPr>
            </w:pPr>
            <w:r w:rsidRPr="00D10FAD">
              <w:rPr>
                <w:sz w:val="22"/>
                <w:szCs w:val="22"/>
              </w:rPr>
              <w:t>£50,000 debt limit</w:t>
            </w:r>
          </w:p>
        </w:tc>
        <w:tc>
          <w:tcPr>
            <w:tcW w:w="1883" w:type="dxa"/>
            <w:shd w:val="clear" w:color="auto" w:fill="auto"/>
          </w:tcPr>
          <w:p w14:paraId="33C48F29" w14:textId="77777777" w:rsidR="00C440F5" w:rsidRPr="00D10FAD" w:rsidRDefault="00C440F5" w:rsidP="00D10FAD">
            <w:pPr>
              <w:autoSpaceDE w:val="0"/>
              <w:autoSpaceDN w:val="0"/>
              <w:adjustRightInd w:val="0"/>
              <w:jc w:val="center"/>
              <w:rPr>
                <w:sz w:val="22"/>
                <w:szCs w:val="22"/>
              </w:rPr>
            </w:pPr>
            <w:r w:rsidRPr="00D10FAD">
              <w:rPr>
                <w:sz w:val="22"/>
                <w:szCs w:val="22"/>
              </w:rPr>
              <w:t>268</w:t>
            </w:r>
          </w:p>
        </w:tc>
        <w:tc>
          <w:tcPr>
            <w:tcW w:w="2059" w:type="dxa"/>
            <w:shd w:val="clear" w:color="auto" w:fill="auto"/>
          </w:tcPr>
          <w:p w14:paraId="16B4DB7C" w14:textId="3E2C95AB" w:rsidR="00C440F5" w:rsidRPr="00D10FAD" w:rsidRDefault="004E39A4" w:rsidP="00D10FAD">
            <w:pPr>
              <w:autoSpaceDE w:val="0"/>
              <w:autoSpaceDN w:val="0"/>
              <w:adjustRightInd w:val="0"/>
              <w:jc w:val="center"/>
              <w:rPr>
                <w:sz w:val="22"/>
                <w:szCs w:val="22"/>
              </w:rPr>
            </w:pPr>
            <w:r w:rsidRPr="00D10FAD">
              <w:rPr>
                <w:sz w:val="22"/>
                <w:szCs w:val="22"/>
              </w:rPr>
              <w:t>11</w:t>
            </w:r>
            <w:r w:rsidR="00130DE3">
              <w:rPr>
                <w:sz w:val="22"/>
                <w:szCs w:val="22"/>
              </w:rPr>
              <w:t>9</w:t>
            </w:r>
          </w:p>
        </w:tc>
        <w:tc>
          <w:tcPr>
            <w:tcW w:w="2578" w:type="dxa"/>
            <w:shd w:val="clear" w:color="auto" w:fill="auto"/>
          </w:tcPr>
          <w:p w14:paraId="3354D161" w14:textId="1EF90E94" w:rsidR="00C440F5" w:rsidRPr="00D10FAD" w:rsidRDefault="00E40FAB" w:rsidP="00D10FAD">
            <w:pPr>
              <w:autoSpaceDE w:val="0"/>
              <w:autoSpaceDN w:val="0"/>
              <w:adjustRightInd w:val="0"/>
              <w:jc w:val="center"/>
              <w:rPr>
                <w:sz w:val="22"/>
                <w:szCs w:val="22"/>
              </w:rPr>
            </w:pPr>
            <w:r>
              <w:rPr>
                <w:sz w:val="22"/>
                <w:szCs w:val="22"/>
              </w:rPr>
              <w:t>12</w:t>
            </w:r>
          </w:p>
        </w:tc>
        <w:tc>
          <w:tcPr>
            <w:tcW w:w="1541" w:type="dxa"/>
            <w:shd w:val="clear" w:color="auto" w:fill="auto"/>
          </w:tcPr>
          <w:p w14:paraId="57F14BF5" w14:textId="0CA37D64" w:rsidR="00C440F5" w:rsidRPr="00D10FAD" w:rsidRDefault="00A918F5" w:rsidP="00D10FAD">
            <w:pPr>
              <w:autoSpaceDE w:val="0"/>
              <w:autoSpaceDN w:val="0"/>
              <w:adjustRightInd w:val="0"/>
              <w:jc w:val="center"/>
              <w:rPr>
                <w:sz w:val="22"/>
                <w:szCs w:val="22"/>
              </w:rPr>
            </w:pPr>
            <w:r w:rsidRPr="00D10FAD">
              <w:rPr>
                <w:sz w:val="22"/>
                <w:szCs w:val="22"/>
              </w:rPr>
              <w:t>28</w:t>
            </w:r>
            <w:r w:rsidR="00E40FAB">
              <w:rPr>
                <w:sz w:val="22"/>
                <w:szCs w:val="22"/>
              </w:rPr>
              <w:t>0</w:t>
            </w:r>
          </w:p>
        </w:tc>
      </w:tr>
    </w:tbl>
    <w:p w14:paraId="72344789" w14:textId="1B5B980C" w:rsidR="00997E9E" w:rsidRPr="00D10FAD" w:rsidRDefault="00997E9E" w:rsidP="00997E9E">
      <w:pPr>
        <w:autoSpaceDE w:val="0"/>
        <w:autoSpaceDN w:val="0"/>
        <w:adjustRightInd w:val="0"/>
        <w:rPr>
          <w:sz w:val="22"/>
          <w:szCs w:val="22"/>
        </w:rPr>
      </w:pPr>
    </w:p>
    <w:p w14:paraId="67D9100F" w14:textId="33900A0A" w:rsidR="00B56296" w:rsidRPr="00D10FAD" w:rsidRDefault="00B56296" w:rsidP="00B56296">
      <w:pPr>
        <w:autoSpaceDE w:val="0"/>
        <w:autoSpaceDN w:val="0"/>
        <w:adjustRightInd w:val="0"/>
        <w:rPr>
          <w:sz w:val="22"/>
          <w:szCs w:val="22"/>
        </w:rPr>
      </w:pPr>
      <w:r w:rsidRPr="00D10FAD">
        <w:rPr>
          <w:sz w:val="22"/>
          <w:szCs w:val="22"/>
        </w:rPr>
        <w:t>5</w:t>
      </w:r>
      <w:r w:rsidR="00F17A98">
        <w:rPr>
          <w:sz w:val="22"/>
          <w:szCs w:val="22"/>
        </w:rPr>
        <w:t>3</w:t>
      </w:r>
      <w:r w:rsidRPr="00D10FAD">
        <w:rPr>
          <w:sz w:val="22"/>
          <w:szCs w:val="22"/>
        </w:rPr>
        <w:t xml:space="preserve">. The analysis shows that the vast majority (over </w:t>
      </w:r>
      <w:r w:rsidRPr="00D10FAD">
        <w:rPr>
          <w:sz w:val="22"/>
          <w:szCs w:val="22"/>
          <w:highlight w:val="yellow"/>
        </w:rPr>
        <w:t>90%</w:t>
      </w:r>
      <w:r w:rsidRPr="00D10FAD">
        <w:rPr>
          <w:sz w:val="22"/>
          <w:szCs w:val="22"/>
        </w:rPr>
        <w:t>) of new DRO cases w</w:t>
      </w:r>
      <w:r w:rsidR="006C12AB">
        <w:rPr>
          <w:sz w:val="22"/>
          <w:szCs w:val="22"/>
        </w:rPr>
        <w:t>ould c</w:t>
      </w:r>
      <w:r w:rsidRPr="00D10FAD">
        <w:rPr>
          <w:sz w:val="22"/>
          <w:szCs w:val="22"/>
        </w:rPr>
        <w:t xml:space="preserve">ome from people that are able to access DROs for the first time. </w:t>
      </w:r>
    </w:p>
    <w:p w14:paraId="0D49EE16" w14:textId="77777777" w:rsidR="00B56296" w:rsidRPr="00D10FAD" w:rsidRDefault="00B56296" w:rsidP="00B56296">
      <w:pPr>
        <w:autoSpaceDE w:val="0"/>
        <w:autoSpaceDN w:val="0"/>
        <w:adjustRightInd w:val="0"/>
        <w:rPr>
          <w:sz w:val="22"/>
          <w:szCs w:val="22"/>
        </w:rPr>
      </w:pPr>
    </w:p>
    <w:p w14:paraId="683F8547" w14:textId="572263DD" w:rsidR="00B56296" w:rsidRPr="00D10FAD" w:rsidRDefault="00B56296" w:rsidP="00D10FAD">
      <w:pPr>
        <w:autoSpaceDE w:val="0"/>
        <w:autoSpaceDN w:val="0"/>
        <w:adjustRightInd w:val="0"/>
        <w:spacing w:after="120"/>
        <w:rPr>
          <w:sz w:val="22"/>
          <w:szCs w:val="22"/>
        </w:rPr>
      </w:pPr>
      <w:r w:rsidRPr="00D10FAD">
        <w:rPr>
          <w:sz w:val="22"/>
          <w:szCs w:val="22"/>
        </w:rPr>
        <w:t>5</w:t>
      </w:r>
      <w:r w:rsidR="00F17A98">
        <w:rPr>
          <w:sz w:val="22"/>
          <w:szCs w:val="22"/>
        </w:rPr>
        <w:t>4</w:t>
      </w:r>
      <w:r w:rsidRPr="00D10FAD">
        <w:rPr>
          <w:sz w:val="22"/>
          <w:szCs w:val="22"/>
        </w:rPr>
        <w:t>. Evidence in the table shows that increasing the debt level criteria has diminishing returns. Debt advice data show</w:t>
      </w:r>
      <w:r w:rsidR="00C13CAF">
        <w:rPr>
          <w:sz w:val="22"/>
          <w:szCs w:val="22"/>
        </w:rPr>
        <w:t>ed</w:t>
      </w:r>
      <w:r w:rsidRPr="00D10FAD">
        <w:rPr>
          <w:sz w:val="22"/>
          <w:szCs w:val="22"/>
        </w:rPr>
        <w:t xml:space="preserve"> that 79% of cases met the existing debt level of £20,000, this rises to 90% of cases for the £30,000 level, 94% for £40,000 and 97% for £50,000. </w:t>
      </w:r>
    </w:p>
    <w:p w14:paraId="7B3F6DEB" w14:textId="7B1828D9" w:rsidR="006C12AB" w:rsidRDefault="00B56296" w:rsidP="00D10FAD">
      <w:pPr>
        <w:autoSpaceDE w:val="0"/>
        <w:autoSpaceDN w:val="0"/>
        <w:adjustRightInd w:val="0"/>
        <w:spacing w:after="120"/>
        <w:rPr>
          <w:sz w:val="22"/>
          <w:szCs w:val="22"/>
        </w:rPr>
      </w:pPr>
      <w:r w:rsidRPr="00D10FAD">
        <w:rPr>
          <w:sz w:val="22"/>
          <w:szCs w:val="22"/>
        </w:rPr>
        <w:t>5</w:t>
      </w:r>
      <w:r w:rsidR="00F17A98">
        <w:rPr>
          <w:sz w:val="22"/>
          <w:szCs w:val="22"/>
        </w:rPr>
        <w:t>5</w:t>
      </w:r>
      <w:r w:rsidRPr="00D10FAD">
        <w:rPr>
          <w:sz w:val="22"/>
          <w:szCs w:val="22"/>
        </w:rPr>
        <w:t xml:space="preserve">. Responses to the consultation carried out in England and Wales were contrasting, the debt advice sector did not want a cap on the limit, but some wanted a limit of £50,000, whereas creditors wanted an inflationary rise to the debt limit. Therefore, the debt limit was increased to £30,000 </w:t>
      </w:r>
      <w:r w:rsidR="006C12AB">
        <w:rPr>
          <w:sz w:val="22"/>
          <w:szCs w:val="22"/>
        </w:rPr>
        <w:t xml:space="preserve">in 2021, </w:t>
      </w:r>
      <w:r w:rsidRPr="00D10FAD">
        <w:rPr>
          <w:sz w:val="22"/>
          <w:szCs w:val="22"/>
        </w:rPr>
        <w:t>after consider</w:t>
      </w:r>
      <w:r w:rsidR="006C12AB">
        <w:rPr>
          <w:sz w:val="22"/>
          <w:szCs w:val="22"/>
        </w:rPr>
        <w:t xml:space="preserve">ation of </w:t>
      </w:r>
      <w:r w:rsidRPr="00D10FAD">
        <w:rPr>
          <w:sz w:val="22"/>
          <w:szCs w:val="22"/>
        </w:rPr>
        <w:t xml:space="preserve">the diminishing returns of higher debt limits (shown in the analysis above), the consultation responses and the support in a previous 2015 consultation for a £30,000 debt limit. </w:t>
      </w:r>
    </w:p>
    <w:p w14:paraId="69F2A705" w14:textId="111F7539" w:rsidR="00B56296" w:rsidRPr="00D10FAD" w:rsidRDefault="006C12AB" w:rsidP="00D10FAD">
      <w:pPr>
        <w:autoSpaceDE w:val="0"/>
        <w:autoSpaceDN w:val="0"/>
        <w:adjustRightInd w:val="0"/>
        <w:spacing w:after="120"/>
        <w:rPr>
          <w:sz w:val="22"/>
          <w:szCs w:val="22"/>
        </w:rPr>
      </w:pPr>
      <w:r>
        <w:rPr>
          <w:sz w:val="22"/>
          <w:szCs w:val="22"/>
        </w:rPr>
        <w:t>5</w:t>
      </w:r>
      <w:r w:rsidR="00F17A98">
        <w:rPr>
          <w:sz w:val="22"/>
          <w:szCs w:val="22"/>
        </w:rPr>
        <w:t>6</w:t>
      </w:r>
      <w:r>
        <w:rPr>
          <w:sz w:val="22"/>
          <w:szCs w:val="22"/>
        </w:rPr>
        <w:t xml:space="preserve">. However, following the call for evidence it has been decided that a further increase to £50,000 would </w:t>
      </w:r>
      <w:r w:rsidR="00B56296" w:rsidRPr="00D10FAD">
        <w:rPr>
          <w:sz w:val="22"/>
          <w:szCs w:val="22"/>
        </w:rPr>
        <w:t>strike</w:t>
      </w:r>
      <w:r>
        <w:rPr>
          <w:sz w:val="22"/>
          <w:szCs w:val="22"/>
        </w:rPr>
        <w:t xml:space="preserve"> the right </w:t>
      </w:r>
      <w:r w:rsidR="00B56296" w:rsidRPr="00D10FAD">
        <w:rPr>
          <w:sz w:val="22"/>
          <w:szCs w:val="22"/>
        </w:rPr>
        <w:t xml:space="preserve">balance between the </w:t>
      </w:r>
      <w:r>
        <w:rPr>
          <w:sz w:val="22"/>
          <w:szCs w:val="22"/>
        </w:rPr>
        <w:t xml:space="preserve">interests of insolvent individuals and their </w:t>
      </w:r>
      <w:r w:rsidR="00B56296" w:rsidRPr="00D10FAD">
        <w:rPr>
          <w:sz w:val="22"/>
          <w:szCs w:val="22"/>
        </w:rPr>
        <w:t>creditor</w:t>
      </w:r>
      <w:r>
        <w:rPr>
          <w:sz w:val="22"/>
          <w:szCs w:val="22"/>
        </w:rPr>
        <w:t>s</w:t>
      </w:r>
      <w:r w:rsidR="00B56296" w:rsidRPr="00D10FAD">
        <w:rPr>
          <w:sz w:val="22"/>
          <w:szCs w:val="22"/>
        </w:rPr>
        <w:t xml:space="preserve">. </w:t>
      </w:r>
    </w:p>
    <w:p w14:paraId="7638FA5B" w14:textId="77777777" w:rsidR="00997E9E" w:rsidRPr="00D10FAD" w:rsidRDefault="00997E9E" w:rsidP="00D10FAD">
      <w:pPr>
        <w:autoSpaceDE w:val="0"/>
        <w:autoSpaceDN w:val="0"/>
        <w:adjustRightInd w:val="0"/>
        <w:spacing w:after="120"/>
        <w:rPr>
          <w:b/>
          <w:sz w:val="22"/>
          <w:szCs w:val="22"/>
        </w:rPr>
      </w:pPr>
      <w:r w:rsidRPr="00D10FAD">
        <w:rPr>
          <w:b/>
          <w:sz w:val="22"/>
          <w:szCs w:val="22"/>
        </w:rPr>
        <w:t>Costs and Benefits</w:t>
      </w:r>
    </w:p>
    <w:p w14:paraId="4E505F06" w14:textId="77777777" w:rsidR="00997E9E" w:rsidRPr="00D10FAD" w:rsidRDefault="00997E9E" w:rsidP="00D10FAD">
      <w:pPr>
        <w:autoSpaceDE w:val="0"/>
        <w:autoSpaceDN w:val="0"/>
        <w:adjustRightInd w:val="0"/>
        <w:spacing w:after="120"/>
        <w:rPr>
          <w:sz w:val="22"/>
          <w:szCs w:val="22"/>
          <w:u w:val="single"/>
        </w:rPr>
      </w:pPr>
      <w:r w:rsidRPr="00D10FAD">
        <w:rPr>
          <w:sz w:val="22"/>
          <w:szCs w:val="22"/>
          <w:u w:val="single"/>
        </w:rPr>
        <w:t xml:space="preserve">Familiarisation costs </w:t>
      </w:r>
    </w:p>
    <w:p w14:paraId="2F2B8F96" w14:textId="0F105FE1" w:rsidR="00997E9E" w:rsidRPr="00D10FAD" w:rsidRDefault="00997E9E" w:rsidP="00D10FAD">
      <w:pPr>
        <w:autoSpaceDE w:val="0"/>
        <w:autoSpaceDN w:val="0"/>
        <w:adjustRightInd w:val="0"/>
        <w:spacing w:after="120"/>
        <w:rPr>
          <w:sz w:val="22"/>
          <w:szCs w:val="22"/>
        </w:rPr>
      </w:pPr>
      <w:r w:rsidRPr="00D10FAD">
        <w:rPr>
          <w:sz w:val="22"/>
          <w:szCs w:val="22"/>
        </w:rPr>
        <w:t>5</w:t>
      </w:r>
      <w:r w:rsidR="00F17A98">
        <w:rPr>
          <w:sz w:val="22"/>
          <w:szCs w:val="22"/>
        </w:rPr>
        <w:t>7</w:t>
      </w:r>
      <w:r w:rsidRPr="00D10FAD">
        <w:rPr>
          <w:sz w:val="22"/>
          <w:szCs w:val="22"/>
        </w:rPr>
        <w:t>. The intermediaries authorised to process DRO applications will need to update their knowledge of the DRO criteria t</w:t>
      </w:r>
      <w:r w:rsidR="00112341">
        <w:rPr>
          <w:sz w:val="22"/>
          <w:szCs w:val="22"/>
        </w:rPr>
        <w:t>o</w:t>
      </w:r>
      <w:r w:rsidRPr="00D10FAD">
        <w:rPr>
          <w:sz w:val="22"/>
          <w:szCs w:val="22"/>
        </w:rPr>
        <w:t xml:space="preserve"> carry out their duties</w:t>
      </w:r>
      <w:r w:rsidR="00112341">
        <w:rPr>
          <w:sz w:val="22"/>
          <w:szCs w:val="22"/>
        </w:rPr>
        <w:t>. The intermediaries are highly trained debt advisers funded and authorised by competent authorities. The</w:t>
      </w:r>
      <w:r w:rsidRPr="00D10FAD">
        <w:rPr>
          <w:sz w:val="22"/>
          <w:szCs w:val="22"/>
        </w:rPr>
        <w:t xml:space="preserve"> </w:t>
      </w:r>
      <w:r w:rsidR="00112341">
        <w:rPr>
          <w:sz w:val="22"/>
          <w:szCs w:val="22"/>
        </w:rPr>
        <w:t xml:space="preserve">competent authorities </w:t>
      </w:r>
      <w:r w:rsidRPr="00D10FAD">
        <w:rPr>
          <w:sz w:val="22"/>
          <w:szCs w:val="22"/>
        </w:rPr>
        <w:t xml:space="preserve">will incur familiarisation costs to train staff, disseminate information and update any processing systems. </w:t>
      </w:r>
    </w:p>
    <w:p w14:paraId="1586F813" w14:textId="2A613F30" w:rsidR="009E4F40" w:rsidRPr="00D10FAD" w:rsidRDefault="004F13E6" w:rsidP="00D10FAD">
      <w:pPr>
        <w:autoSpaceDE w:val="0"/>
        <w:autoSpaceDN w:val="0"/>
        <w:adjustRightInd w:val="0"/>
        <w:spacing w:after="120"/>
        <w:rPr>
          <w:sz w:val="22"/>
          <w:szCs w:val="22"/>
        </w:rPr>
      </w:pPr>
      <w:r w:rsidRPr="00D10FAD">
        <w:rPr>
          <w:sz w:val="22"/>
          <w:szCs w:val="22"/>
        </w:rPr>
        <w:t>5</w:t>
      </w:r>
      <w:r w:rsidR="00F17A98">
        <w:rPr>
          <w:sz w:val="22"/>
          <w:szCs w:val="22"/>
        </w:rPr>
        <w:t>8</w:t>
      </w:r>
      <w:r w:rsidRPr="00D10FAD">
        <w:rPr>
          <w:sz w:val="22"/>
          <w:szCs w:val="22"/>
        </w:rPr>
        <w:t xml:space="preserve">. </w:t>
      </w:r>
      <w:r w:rsidR="00553C57" w:rsidRPr="00D10FAD">
        <w:rPr>
          <w:sz w:val="22"/>
          <w:szCs w:val="22"/>
        </w:rPr>
        <w:t xml:space="preserve">When the </w:t>
      </w:r>
      <w:r w:rsidR="009E4F40" w:rsidRPr="00D10FAD">
        <w:rPr>
          <w:sz w:val="22"/>
          <w:szCs w:val="22"/>
        </w:rPr>
        <w:t>impact a</w:t>
      </w:r>
      <w:r w:rsidR="000F68E9" w:rsidRPr="00D10FAD">
        <w:rPr>
          <w:sz w:val="22"/>
          <w:szCs w:val="22"/>
        </w:rPr>
        <w:t xml:space="preserve">ssessment </w:t>
      </w:r>
      <w:r w:rsidR="009E4F40" w:rsidRPr="00D10FAD">
        <w:rPr>
          <w:sz w:val="22"/>
          <w:szCs w:val="22"/>
        </w:rPr>
        <w:t>for the uprating of the eligibility limits in England and Wales in 2015 was being p</w:t>
      </w:r>
      <w:r w:rsidR="00553C57" w:rsidRPr="00D10FAD">
        <w:rPr>
          <w:sz w:val="22"/>
          <w:szCs w:val="22"/>
        </w:rPr>
        <w:t xml:space="preserve">repared </w:t>
      </w:r>
      <w:r w:rsidR="009E4F40" w:rsidRPr="00D10FAD">
        <w:rPr>
          <w:sz w:val="22"/>
          <w:szCs w:val="22"/>
        </w:rPr>
        <w:t>the cost of familiarisation and training for each intermediary was estimate</w:t>
      </w:r>
      <w:r w:rsidR="000F44F1" w:rsidRPr="00D10FAD">
        <w:rPr>
          <w:sz w:val="22"/>
          <w:szCs w:val="22"/>
        </w:rPr>
        <w:t>d</w:t>
      </w:r>
      <w:r w:rsidR="009E4F40" w:rsidRPr="00D10FAD">
        <w:rPr>
          <w:sz w:val="22"/>
          <w:szCs w:val="22"/>
        </w:rPr>
        <w:t xml:space="preserve"> to be in the range £0 to £99.   </w:t>
      </w:r>
    </w:p>
    <w:p w14:paraId="548E1868" w14:textId="77A9CF9F" w:rsidR="00E339B5" w:rsidRPr="00D10FAD" w:rsidRDefault="00F17A98" w:rsidP="00D10FAD">
      <w:pPr>
        <w:autoSpaceDE w:val="0"/>
        <w:autoSpaceDN w:val="0"/>
        <w:adjustRightInd w:val="0"/>
        <w:spacing w:after="120"/>
        <w:rPr>
          <w:sz w:val="22"/>
          <w:szCs w:val="22"/>
        </w:rPr>
      </w:pPr>
      <w:r>
        <w:rPr>
          <w:sz w:val="22"/>
          <w:szCs w:val="22"/>
        </w:rPr>
        <w:t>59</w:t>
      </w:r>
      <w:r w:rsidR="00E339B5" w:rsidRPr="00D10FAD">
        <w:rPr>
          <w:sz w:val="22"/>
          <w:szCs w:val="22"/>
        </w:rPr>
        <w:t xml:space="preserve">. There is no reason to believe that the cost of familiarisation and training should be any higher in Northern Ireland than it is in England and Wales. </w:t>
      </w:r>
    </w:p>
    <w:p w14:paraId="61F0BCC6" w14:textId="304D82FD" w:rsidR="000F68E9" w:rsidRPr="00D10FAD" w:rsidRDefault="00052921" w:rsidP="00D10FAD">
      <w:pPr>
        <w:autoSpaceDE w:val="0"/>
        <w:autoSpaceDN w:val="0"/>
        <w:adjustRightInd w:val="0"/>
        <w:spacing w:after="120"/>
        <w:rPr>
          <w:sz w:val="22"/>
          <w:szCs w:val="22"/>
        </w:rPr>
      </w:pPr>
      <w:r w:rsidRPr="00D10FAD">
        <w:rPr>
          <w:sz w:val="22"/>
          <w:szCs w:val="22"/>
        </w:rPr>
        <w:t>6</w:t>
      </w:r>
      <w:r w:rsidR="00F17A98">
        <w:rPr>
          <w:sz w:val="22"/>
          <w:szCs w:val="22"/>
        </w:rPr>
        <w:t>0</w:t>
      </w:r>
      <w:r w:rsidR="009E4F40" w:rsidRPr="00D10FAD">
        <w:rPr>
          <w:sz w:val="22"/>
          <w:szCs w:val="22"/>
        </w:rPr>
        <w:t xml:space="preserve">. </w:t>
      </w:r>
      <w:r w:rsidR="00024F4B">
        <w:rPr>
          <w:sz w:val="22"/>
          <w:szCs w:val="22"/>
        </w:rPr>
        <w:t xml:space="preserve">The equivalent </w:t>
      </w:r>
      <w:r w:rsidR="00C222BF" w:rsidRPr="00D10FAD">
        <w:rPr>
          <w:sz w:val="22"/>
          <w:szCs w:val="22"/>
        </w:rPr>
        <w:t>In</w:t>
      </w:r>
      <w:r w:rsidR="009E4F40" w:rsidRPr="00D10FAD">
        <w:rPr>
          <w:sz w:val="22"/>
          <w:szCs w:val="22"/>
        </w:rPr>
        <w:t xml:space="preserve"> 20</w:t>
      </w:r>
      <w:r w:rsidR="001153E8">
        <w:rPr>
          <w:sz w:val="22"/>
          <w:szCs w:val="22"/>
        </w:rPr>
        <w:t>23</w:t>
      </w:r>
      <w:r w:rsidR="009E4F40" w:rsidRPr="00D10FAD">
        <w:rPr>
          <w:sz w:val="22"/>
          <w:szCs w:val="22"/>
        </w:rPr>
        <w:t xml:space="preserve"> price</w:t>
      </w:r>
      <w:r w:rsidR="00DC11DA" w:rsidRPr="00D10FAD">
        <w:rPr>
          <w:sz w:val="22"/>
          <w:szCs w:val="22"/>
        </w:rPr>
        <w:t>s</w:t>
      </w:r>
      <w:r w:rsidR="00024F4B">
        <w:rPr>
          <w:sz w:val="22"/>
          <w:szCs w:val="22"/>
        </w:rPr>
        <w:t xml:space="preserve"> to </w:t>
      </w:r>
      <w:r w:rsidR="00C222BF" w:rsidRPr="00D10FAD">
        <w:rPr>
          <w:sz w:val="22"/>
          <w:szCs w:val="22"/>
        </w:rPr>
        <w:t xml:space="preserve">£99 </w:t>
      </w:r>
      <w:r w:rsidR="00024F4B">
        <w:rPr>
          <w:sz w:val="22"/>
          <w:szCs w:val="22"/>
        </w:rPr>
        <w:t xml:space="preserve">in 2015 prices is </w:t>
      </w:r>
      <w:r w:rsidR="009E4F40" w:rsidRPr="00D10FAD">
        <w:rPr>
          <w:sz w:val="22"/>
          <w:szCs w:val="22"/>
        </w:rPr>
        <w:t>£1</w:t>
      </w:r>
      <w:r w:rsidR="001153E8">
        <w:rPr>
          <w:sz w:val="22"/>
          <w:szCs w:val="22"/>
        </w:rPr>
        <w:t>26</w:t>
      </w:r>
      <w:r w:rsidR="009E4F40" w:rsidRPr="00D10FAD">
        <w:rPr>
          <w:sz w:val="22"/>
          <w:szCs w:val="22"/>
        </w:rPr>
        <w:t>.</w:t>
      </w:r>
      <w:r w:rsidR="001153E8">
        <w:rPr>
          <w:sz w:val="22"/>
          <w:szCs w:val="22"/>
        </w:rPr>
        <w:t>59</w:t>
      </w:r>
      <w:r w:rsidR="009E4F40" w:rsidRPr="00D10FAD">
        <w:rPr>
          <w:sz w:val="22"/>
          <w:szCs w:val="22"/>
        </w:rPr>
        <w:t xml:space="preserve">. </w:t>
      </w:r>
      <w:r w:rsidR="003E236A" w:rsidRPr="00D10FAD">
        <w:rPr>
          <w:sz w:val="22"/>
          <w:szCs w:val="22"/>
        </w:rPr>
        <w:t xml:space="preserve">There are </w:t>
      </w:r>
      <w:r w:rsidR="0028036A">
        <w:rPr>
          <w:sz w:val="22"/>
          <w:szCs w:val="22"/>
        </w:rPr>
        <w:t>4</w:t>
      </w:r>
      <w:r w:rsidR="00785871">
        <w:rPr>
          <w:sz w:val="22"/>
          <w:szCs w:val="22"/>
        </w:rPr>
        <w:t>6</w:t>
      </w:r>
      <w:r w:rsidR="003E236A" w:rsidRPr="00D10FAD">
        <w:rPr>
          <w:color w:val="FF0000"/>
          <w:sz w:val="22"/>
          <w:szCs w:val="22"/>
        </w:rPr>
        <w:t xml:space="preserve"> </w:t>
      </w:r>
      <w:r w:rsidR="003E236A" w:rsidRPr="00D10FAD">
        <w:rPr>
          <w:sz w:val="22"/>
          <w:szCs w:val="22"/>
        </w:rPr>
        <w:t xml:space="preserve">intermediaries in Northern Ireland.  </w:t>
      </w:r>
      <w:proofErr w:type="gramStart"/>
      <w:r w:rsidR="003E236A" w:rsidRPr="00D10FAD">
        <w:rPr>
          <w:sz w:val="22"/>
          <w:szCs w:val="22"/>
        </w:rPr>
        <w:t>Therefore</w:t>
      </w:r>
      <w:proofErr w:type="gramEnd"/>
      <w:r w:rsidR="003E236A" w:rsidRPr="00D10FAD">
        <w:rPr>
          <w:sz w:val="22"/>
          <w:szCs w:val="22"/>
        </w:rPr>
        <w:t xml:space="preserve"> familiarisation costs will be in the range £0 to £</w:t>
      </w:r>
      <w:r w:rsidR="00785871">
        <w:rPr>
          <w:sz w:val="22"/>
          <w:szCs w:val="22"/>
        </w:rPr>
        <w:t>5</w:t>
      </w:r>
      <w:r w:rsidR="00E56F62" w:rsidRPr="00D10FAD">
        <w:rPr>
          <w:sz w:val="22"/>
          <w:szCs w:val="22"/>
        </w:rPr>
        <w:t>,</w:t>
      </w:r>
      <w:r w:rsidR="00785871">
        <w:rPr>
          <w:sz w:val="22"/>
          <w:szCs w:val="22"/>
        </w:rPr>
        <w:t>823</w:t>
      </w:r>
      <w:r w:rsidR="003E236A" w:rsidRPr="00D10FAD">
        <w:rPr>
          <w:sz w:val="22"/>
          <w:szCs w:val="22"/>
        </w:rPr>
        <w:t xml:space="preserve"> with a best estimate of £</w:t>
      </w:r>
      <w:r w:rsidR="00785871">
        <w:rPr>
          <w:sz w:val="22"/>
          <w:szCs w:val="22"/>
        </w:rPr>
        <w:t>2</w:t>
      </w:r>
      <w:r w:rsidR="00E56F62" w:rsidRPr="00D10FAD">
        <w:rPr>
          <w:sz w:val="22"/>
          <w:szCs w:val="22"/>
        </w:rPr>
        <w:t>,</w:t>
      </w:r>
      <w:r w:rsidR="00785871">
        <w:rPr>
          <w:sz w:val="22"/>
          <w:szCs w:val="22"/>
        </w:rPr>
        <w:t>91</w:t>
      </w:r>
      <w:r w:rsidR="000A4066">
        <w:rPr>
          <w:sz w:val="22"/>
          <w:szCs w:val="22"/>
        </w:rPr>
        <w:t>2</w:t>
      </w:r>
      <w:r w:rsidR="003E236A" w:rsidRPr="00D10FAD">
        <w:rPr>
          <w:sz w:val="22"/>
          <w:szCs w:val="22"/>
        </w:rPr>
        <w:t>.</w:t>
      </w:r>
    </w:p>
    <w:p w14:paraId="31F5D887" w14:textId="3C693976" w:rsidR="006817AA" w:rsidRPr="00D10FAD" w:rsidRDefault="00F17A98" w:rsidP="00D10FAD">
      <w:pPr>
        <w:autoSpaceDE w:val="0"/>
        <w:autoSpaceDN w:val="0"/>
        <w:adjustRightInd w:val="0"/>
        <w:spacing w:after="120"/>
        <w:rPr>
          <w:sz w:val="22"/>
          <w:szCs w:val="22"/>
        </w:rPr>
      </w:pPr>
      <w:r>
        <w:rPr>
          <w:sz w:val="22"/>
          <w:szCs w:val="22"/>
        </w:rPr>
        <w:t>61</w:t>
      </w:r>
      <w:r w:rsidR="006817AA" w:rsidRPr="00D10FAD">
        <w:rPr>
          <w:sz w:val="22"/>
          <w:szCs w:val="22"/>
        </w:rPr>
        <w:t xml:space="preserve">. Alongside the cost of attending training, we must also consider the opportunity cost, calculated by multiplying the hourly rate and training time. Intermediaries are responsible for providing debt </w:t>
      </w:r>
      <w:proofErr w:type="gramStart"/>
      <w:r w:rsidR="006817AA" w:rsidRPr="00D10FAD">
        <w:rPr>
          <w:sz w:val="22"/>
          <w:szCs w:val="22"/>
        </w:rPr>
        <w:t>advice, and</w:t>
      </w:r>
      <w:proofErr w:type="gramEnd"/>
      <w:r w:rsidR="006817AA" w:rsidRPr="00D10FAD">
        <w:rPr>
          <w:sz w:val="22"/>
          <w:szCs w:val="22"/>
        </w:rPr>
        <w:t xml:space="preserve"> approving and processing DRO applications. Therefore, this role is an administrative occupation. The Annual Survey of Hours and Earnings</w:t>
      </w:r>
      <w:r w:rsidR="00C222BF" w:rsidRPr="00D10FAD">
        <w:rPr>
          <w:rStyle w:val="FootnoteReference"/>
          <w:sz w:val="22"/>
          <w:szCs w:val="22"/>
        </w:rPr>
        <w:footnoteReference w:id="12"/>
      </w:r>
      <w:r w:rsidR="006817AA" w:rsidRPr="00D10FAD">
        <w:rPr>
          <w:b/>
          <w:sz w:val="22"/>
          <w:szCs w:val="22"/>
        </w:rPr>
        <w:t xml:space="preserve"> </w:t>
      </w:r>
      <w:r w:rsidR="006817AA" w:rsidRPr="00D10FAD">
        <w:rPr>
          <w:sz w:val="22"/>
          <w:szCs w:val="22"/>
        </w:rPr>
        <w:t>shows the</w:t>
      </w:r>
      <w:r w:rsidR="00785871">
        <w:rPr>
          <w:sz w:val="22"/>
          <w:szCs w:val="22"/>
        </w:rPr>
        <w:t xml:space="preserve"> hourly rate of pay for administrative and </w:t>
      </w:r>
      <w:r w:rsidR="00785871">
        <w:rPr>
          <w:sz w:val="22"/>
          <w:szCs w:val="22"/>
        </w:rPr>
        <w:lastRenderedPageBreak/>
        <w:t xml:space="preserve">secretarial occupations in Northern Ireland is </w:t>
      </w:r>
      <w:r w:rsidR="006817AA" w:rsidRPr="00D10FAD">
        <w:rPr>
          <w:sz w:val="22"/>
          <w:szCs w:val="22"/>
        </w:rPr>
        <w:t>£1</w:t>
      </w:r>
      <w:r w:rsidR="00785871">
        <w:rPr>
          <w:sz w:val="22"/>
          <w:szCs w:val="22"/>
        </w:rPr>
        <w:t>2</w:t>
      </w:r>
      <w:r w:rsidR="006817AA" w:rsidRPr="00D10FAD">
        <w:rPr>
          <w:sz w:val="22"/>
          <w:szCs w:val="22"/>
        </w:rPr>
        <w:t>.</w:t>
      </w:r>
      <w:r w:rsidR="00785871">
        <w:rPr>
          <w:sz w:val="22"/>
          <w:szCs w:val="22"/>
        </w:rPr>
        <w:t>4</w:t>
      </w:r>
      <w:r w:rsidR="006817AA" w:rsidRPr="00D10FAD">
        <w:rPr>
          <w:sz w:val="22"/>
          <w:szCs w:val="22"/>
        </w:rPr>
        <w:t>9. This hourly rate then needs to be increased by 18%</w:t>
      </w:r>
      <w:r w:rsidR="00C222BF" w:rsidRPr="00D10FAD">
        <w:rPr>
          <w:rStyle w:val="FootnoteReference"/>
          <w:sz w:val="22"/>
          <w:szCs w:val="22"/>
        </w:rPr>
        <w:footnoteReference w:id="13"/>
      </w:r>
      <w:r w:rsidR="006817AA" w:rsidRPr="00D10FAD">
        <w:rPr>
          <w:b/>
          <w:sz w:val="22"/>
          <w:szCs w:val="22"/>
        </w:rPr>
        <w:t xml:space="preserve"> </w:t>
      </w:r>
      <w:r w:rsidR="006817AA" w:rsidRPr="00D10FAD">
        <w:rPr>
          <w:sz w:val="22"/>
          <w:szCs w:val="22"/>
        </w:rPr>
        <w:t>to account for non-wage costs, giving a total hourly rate</w:t>
      </w:r>
      <w:r w:rsidR="00C222BF" w:rsidRPr="00D10FAD">
        <w:rPr>
          <w:sz w:val="22"/>
          <w:szCs w:val="22"/>
        </w:rPr>
        <w:t xml:space="preserve"> of</w:t>
      </w:r>
      <w:r w:rsidR="006817AA" w:rsidRPr="00D10FAD">
        <w:rPr>
          <w:sz w:val="22"/>
          <w:szCs w:val="22"/>
        </w:rPr>
        <w:t xml:space="preserve"> £14.</w:t>
      </w:r>
      <w:r w:rsidR="00785871">
        <w:rPr>
          <w:sz w:val="22"/>
          <w:szCs w:val="22"/>
        </w:rPr>
        <w:t>7</w:t>
      </w:r>
      <w:r w:rsidR="005D4468">
        <w:rPr>
          <w:sz w:val="22"/>
          <w:szCs w:val="22"/>
        </w:rPr>
        <w:t>4</w:t>
      </w:r>
      <w:r w:rsidR="006817AA" w:rsidRPr="00D10FAD">
        <w:rPr>
          <w:sz w:val="22"/>
          <w:szCs w:val="22"/>
        </w:rPr>
        <w:t>. Therefore, the opportunity cost assuming a half day (3.5 hour) course will be £</w:t>
      </w:r>
      <w:r w:rsidR="00DD54C3">
        <w:rPr>
          <w:sz w:val="22"/>
          <w:szCs w:val="22"/>
        </w:rPr>
        <w:t>51</w:t>
      </w:r>
      <w:r w:rsidR="006817AA" w:rsidRPr="00D10FAD">
        <w:rPr>
          <w:sz w:val="22"/>
          <w:szCs w:val="22"/>
        </w:rPr>
        <w:t>.5</w:t>
      </w:r>
      <w:r w:rsidR="005D4468">
        <w:rPr>
          <w:sz w:val="22"/>
          <w:szCs w:val="22"/>
        </w:rPr>
        <w:t>9</w:t>
      </w:r>
      <w:r w:rsidR="006817AA" w:rsidRPr="00D10FAD">
        <w:rPr>
          <w:sz w:val="22"/>
          <w:szCs w:val="22"/>
        </w:rPr>
        <w:t xml:space="preserve"> per intermediary. This gives a range of </w:t>
      </w:r>
      <w:r w:rsidR="00627E0D" w:rsidRPr="00D10FAD">
        <w:rPr>
          <w:sz w:val="22"/>
          <w:szCs w:val="22"/>
        </w:rPr>
        <w:t xml:space="preserve">opportunity cost from £0 to </w:t>
      </w:r>
      <w:r w:rsidR="006817AA" w:rsidRPr="00D10FAD">
        <w:rPr>
          <w:sz w:val="22"/>
          <w:szCs w:val="22"/>
        </w:rPr>
        <w:t>£</w:t>
      </w:r>
      <w:r w:rsidR="004E7523" w:rsidRPr="00D10FAD">
        <w:rPr>
          <w:sz w:val="22"/>
          <w:szCs w:val="22"/>
        </w:rPr>
        <w:t>2,</w:t>
      </w:r>
      <w:r w:rsidR="00DD54C3">
        <w:rPr>
          <w:sz w:val="22"/>
          <w:szCs w:val="22"/>
        </w:rPr>
        <w:t>3</w:t>
      </w:r>
      <w:r w:rsidR="005D4468">
        <w:rPr>
          <w:sz w:val="22"/>
          <w:szCs w:val="22"/>
        </w:rPr>
        <w:t xml:space="preserve">73, </w:t>
      </w:r>
      <w:r w:rsidR="006817AA" w:rsidRPr="00D10FAD">
        <w:rPr>
          <w:sz w:val="22"/>
          <w:szCs w:val="22"/>
        </w:rPr>
        <w:t>with a best estimate of £</w:t>
      </w:r>
      <w:r w:rsidR="004E7523" w:rsidRPr="00D10FAD">
        <w:rPr>
          <w:sz w:val="22"/>
          <w:szCs w:val="22"/>
        </w:rPr>
        <w:t>1,</w:t>
      </w:r>
      <w:r w:rsidR="00DD54C3">
        <w:rPr>
          <w:sz w:val="22"/>
          <w:szCs w:val="22"/>
        </w:rPr>
        <w:t>18</w:t>
      </w:r>
      <w:r w:rsidR="005D4468">
        <w:rPr>
          <w:sz w:val="22"/>
          <w:szCs w:val="22"/>
        </w:rPr>
        <w:t>7</w:t>
      </w:r>
      <w:r w:rsidR="006817AA" w:rsidRPr="00D10FAD">
        <w:rPr>
          <w:sz w:val="22"/>
          <w:szCs w:val="22"/>
        </w:rPr>
        <w:t xml:space="preserve">. </w:t>
      </w:r>
    </w:p>
    <w:p w14:paraId="3FD220FC" w14:textId="185F1D47" w:rsidR="00627E0D" w:rsidRPr="00D10FAD" w:rsidRDefault="00F17A98" w:rsidP="00D10FAD">
      <w:pPr>
        <w:autoSpaceDE w:val="0"/>
        <w:autoSpaceDN w:val="0"/>
        <w:adjustRightInd w:val="0"/>
        <w:spacing w:after="120"/>
        <w:rPr>
          <w:sz w:val="22"/>
          <w:szCs w:val="22"/>
        </w:rPr>
      </w:pPr>
      <w:r>
        <w:rPr>
          <w:sz w:val="22"/>
          <w:szCs w:val="22"/>
        </w:rPr>
        <w:t>62</w:t>
      </w:r>
      <w:r w:rsidR="00627E0D" w:rsidRPr="00D10FAD">
        <w:rPr>
          <w:sz w:val="22"/>
          <w:szCs w:val="22"/>
        </w:rPr>
        <w:t xml:space="preserve">. </w:t>
      </w:r>
      <w:r w:rsidR="00627E0D" w:rsidRPr="00D10FAD">
        <w:rPr>
          <w:b/>
          <w:sz w:val="22"/>
          <w:szCs w:val="22"/>
        </w:rPr>
        <w:t>The range of total familiarisation cos</w:t>
      </w:r>
      <w:r w:rsidR="00DC11DA" w:rsidRPr="00D10FAD">
        <w:rPr>
          <w:b/>
          <w:sz w:val="22"/>
          <w:szCs w:val="22"/>
        </w:rPr>
        <w:t>ts will therefore be £0 to (£5,</w:t>
      </w:r>
      <w:r w:rsidR="005D4468">
        <w:rPr>
          <w:b/>
          <w:sz w:val="22"/>
          <w:szCs w:val="22"/>
        </w:rPr>
        <w:t>83</w:t>
      </w:r>
      <w:r w:rsidR="00627E0D" w:rsidRPr="00D10FAD">
        <w:rPr>
          <w:b/>
          <w:sz w:val="22"/>
          <w:szCs w:val="22"/>
        </w:rPr>
        <w:t>3 + £2,</w:t>
      </w:r>
      <w:r w:rsidR="005D4468">
        <w:rPr>
          <w:b/>
          <w:sz w:val="22"/>
          <w:szCs w:val="22"/>
        </w:rPr>
        <w:t>373</w:t>
      </w:r>
      <w:r w:rsidR="00627E0D" w:rsidRPr="00D10FAD">
        <w:rPr>
          <w:b/>
          <w:sz w:val="22"/>
          <w:szCs w:val="22"/>
        </w:rPr>
        <w:t>) = £0 to £8,</w:t>
      </w:r>
      <w:r w:rsidR="005D4468">
        <w:rPr>
          <w:b/>
          <w:sz w:val="22"/>
          <w:szCs w:val="22"/>
        </w:rPr>
        <w:t>206</w:t>
      </w:r>
      <w:r w:rsidR="00627E0D" w:rsidRPr="00D10FAD">
        <w:rPr>
          <w:b/>
          <w:sz w:val="22"/>
          <w:szCs w:val="22"/>
        </w:rPr>
        <w:t xml:space="preserve"> with a best estimate of £4,</w:t>
      </w:r>
      <w:r w:rsidR="005D4468">
        <w:rPr>
          <w:b/>
          <w:sz w:val="22"/>
          <w:szCs w:val="22"/>
        </w:rPr>
        <w:t>103</w:t>
      </w:r>
      <w:r w:rsidR="00627E0D" w:rsidRPr="00D10FAD">
        <w:rPr>
          <w:b/>
          <w:sz w:val="22"/>
          <w:szCs w:val="22"/>
        </w:rPr>
        <w:t xml:space="preserve">. </w:t>
      </w:r>
      <w:r w:rsidR="00627E0D" w:rsidRPr="00D10FAD">
        <w:rPr>
          <w:sz w:val="22"/>
          <w:szCs w:val="22"/>
        </w:rPr>
        <w:t xml:space="preserve">This cost is a one-off familiarisation cost on business. </w:t>
      </w:r>
    </w:p>
    <w:p w14:paraId="31E8BDFC" w14:textId="5120172B" w:rsidR="00A60D6A" w:rsidRPr="00D10FAD" w:rsidRDefault="00F17A98" w:rsidP="00D10FAD">
      <w:pPr>
        <w:autoSpaceDE w:val="0"/>
        <w:autoSpaceDN w:val="0"/>
        <w:adjustRightInd w:val="0"/>
        <w:spacing w:after="120"/>
        <w:rPr>
          <w:sz w:val="22"/>
          <w:szCs w:val="22"/>
        </w:rPr>
      </w:pPr>
      <w:r>
        <w:rPr>
          <w:sz w:val="22"/>
          <w:szCs w:val="22"/>
        </w:rPr>
        <w:t>63</w:t>
      </w:r>
      <w:r w:rsidR="00A60D6A" w:rsidRPr="00D10FAD">
        <w:rPr>
          <w:sz w:val="22"/>
          <w:szCs w:val="22"/>
        </w:rPr>
        <w:t>. No additional costs related to competent authorities’ IT systems are expected as competent authorities already have the infrastructure in place to process DRO applications.</w:t>
      </w:r>
    </w:p>
    <w:p w14:paraId="006247BE" w14:textId="77777777" w:rsidR="00A60D6A" w:rsidRPr="00D10FAD" w:rsidRDefault="00A60D6A" w:rsidP="00D10FAD">
      <w:pPr>
        <w:autoSpaceDE w:val="0"/>
        <w:autoSpaceDN w:val="0"/>
        <w:adjustRightInd w:val="0"/>
        <w:spacing w:after="120"/>
        <w:rPr>
          <w:sz w:val="22"/>
          <w:szCs w:val="22"/>
          <w:u w:val="single"/>
        </w:rPr>
      </w:pPr>
      <w:r w:rsidRPr="00D10FAD">
        <w:rPr>
          <w:sz w:val="22"/>
          <w:szCs w:val="22"/>
          <w:u w:val="single"/>
        </w:rPr>
        <w:t xml:space="preserve">Costs/benefits </w:t>
      </w:r>
    </w:p>
    <w:p w14:paraId="67185EDD" w14:textId="58E04084" w:rsidR="00A60D6A" w:rsidRPr="00D10FAD" w:rsidRDefault="00A60D6A" w:rsidP="00D10FAD">
      <w:pPr>
        <w:autoSpaceDE w:val="0"/>
        <w:autoSpaceDN w:val="0"/>
        <w:adjustRightInd w:val="0"/>
        <w:spacing w:after="120"/>
        <w:rPr>
          <w:sz w:val="22"/>
          <w:szCs w:val="22"/>
        </w:rPr>
      </w:pPr>
      <w:r w:rsidRPr="00D10FAD">
        <w:rPr>
          <w:sz w:val="22"/>
          <w:szCs w:val="22"/>
        </w:rPr>
        <w:t>6</w:t>
      </w:r>
      <w:r w:rsidR="00F17A98">
        <w:rPr>
          <w:sz w:val="22"/>
          <w:szCs w:val="22"/>
        </w:rPr>
        <w:t>4</w:t>
      </w:r>
      <w:r w:rsidRPr="00D10FAD">
        <w:rPr>
          <w:sz w:val="22"/>
          <w:szCs w:val="22"/>
        </w:rPr>
        <w:t xml:space="preserve">. The costs and benefits have been outlined below. </w:t>
      </w:r>
    </w:p>
    <w:p w14:paraId="64ED804E" w14:textId="64C81FB8" w:rsidR="009657EB" w:rsidRPr="00D10FAD" w:rsidRDefault="009657EB" w:rsidP="00D10FAD">
      <w:pPr>
        <w:autoSpaceDE w:val="0"/>
        <w:autoSpaceDN w:val="0"/>
        <w:adjustRightInd w:val="0"/>
        <w:spacing w:after="120"/>
        <w:rPr>
          <w:sz w:val="22"/>
          <w:szCs w:val="22"/>
        </w:rPr>
      </w:pPr>
      <w:r w:rsidRPr="00D10FAD">
        <w:rPr>
          <w:sz w:val="22"/>
          <w:szCs w:val="22"/>
        </w:rPr>
        <w:t>6</w:t>
      </w:r>
      <w:r w:rsidR="00F17A98">
        <w:rPr>
          <w:sz w:val="22"/>
          <w:szCs w:val="22"/>
        </w:rPr>
        <w:t>5</w:t>
      </w:r>
      <w:r w:rsidRPr="00D10FAD">
        <w:rPr>
          <w:sz w:val="22"/>
          <w:szCs w:val="22"/>
        </w:rPr>
        <w:t xml:space="preserve">. The costs and benefits are as follows and shown in the Table </w:t>
      </w:r>
      <w:r w:rsidR="0028036A">
        <w:rPr>
          <w:sz w:val="22"/>
          <w:szCs w:val="22"/>
        </w:rPr>
        <w:t>4</w:t>
      </w:r>
      <w:r w:rsidRPr="00D10FAD">
        <w:rPr>
          <w:sz w:val="22"/>
          <w:szCs w:val="22"/>
        </w:rPr>
        <w:t xml:space="preserve"> below: </w:t>
      </w:r>
    </w:p>
    <w:p w14:paraId="2F6D1B42" w14:textId="77777777" w:rsidR="009657EB" w:rsidRPr="00D10FAD" w:rsidRDefault="009657EB" w:rsidP="00D10FAD">
      <w:pPr>
        <w:numPr>
          <w:ilvl w:val="0"/>
          <w:numId w:val="6"/>
        </w:numPr>
        <w:autoSpaceDE w:val="0"/>
        <w:autoSpaceDN w:val="0"/>
        <w:adjustRightInd w:val="0"/>
        <w:spacing w:after="120"/>
        <w:rPr>
          <w:sz w:val="22"/>
          <w:szCs w:val="22"/>
        </w:rPr>
      </w:pPr>
      <w:r w:rsidRPr="00D10FAD">
        <w:rPr>
          <w:sz w:val="22"/>
          <w:szCs w:val="22"/>
        </w:rPr>
        <w:t>Cost to intermediaries from increased DRO demand</w:t>
      </w:r>
    </w:p>
    <w:p w14:paraId="418EBA2B" w14:textId="77777777" w:rsidR="009657EB" w:rsidRPr="00D10FAD" w:rsidRDefault="009657EB" w:rsidP="00D10FAD">
      <w:pPr>
        <w:numPr>
          <w:ilvl w:val="0"/>
          <w:numId w:val="5"/>
        </w:numPr>
        <w:autoSpaceDE w:val="0"/>
        <w:autoSpaceDN w:val="0"/>
        <w:adjustRightInd w:val="0"/>
        <w:spacing w:after="120"/>
        <w:rPr>
          <w:sz w:val="22"/>
          <w:szCs w:val="22"/>
        </w:rPr>
      </w:pPr>
      <w:r w:rsidRPr="00D10FAD">
        <w:rPr>
          <w:sz w:val="22"/>
          <w:szCs w:val="22"/>
        </w:rPr>
        <w:t xml:space="preserve">Cost to creditors from individuals able to access debt </w:t>
      </w:r>
      <w:proofErr w:type="gramStart"/>
      <w:r w:rsidRPr="00D10FAD">
        <w:rPr>
          <w:sz w:val="22"/>
          <w:szCs w:val="22"/>
        </w:rPr>
        <w:t>relief</w:t>
      </w:r>
      <w:proofErr w:type="gramEnd"/>
    </w:p>
    <w:p w14:paraId="69A26C32" w14:textId="77777777" w:rsidR="009657EB" w:rsidRPr="00D10FAD" w:rsidRDefault="009657EB" w:rsidP="00D10FAD">
      <w:pPr>
        <w:numPr>
          <w:ilvl w:val="0"/>
          <w:numId w:val="5"/>
        </w:numPr>
        <w:autoSpaceDE w:val="0"/>
        <w:autoSpaceDN w:val="0"/>
        <w:adjustRightInd w:val="0"/>
        <w:spacing w:after="120"/>
        <w:rPr>
          <w:sz w:val="22"/>
          <w:szCs w:val="22"/>
        </w:rPr>
      </w:pPr>
      <w:r w:rsidRPr="00D10FAD">
        <w:rPr>
          <w:sz w:val="22"/>
          <w:szCs w:val="22"/>
        </w:rPr>
        <w:t>Costs to Insolvency Practitioners from loss of IVA fees</w:t>
      </w:r>
    </w:p>
    <w:p w14:paraId="693BC890" w14:textId="77777777" w:rsidR="009657EB" w:rsidRPr="00D10FAD" w:rsidRDefault="009657EB" w:rsidP="00D10FAD">
      <w:pPr>
        <w:numPr>
          <w:ilvl w:val="0"/>
          <w:numId w:val="5"/>
        </w:numPr>
        <w:autoSpaceDE w:val="0"/>
        <w:autoSpaceDN w:val="0"/>
        <w:adjustRightInd w:val="0"/>
        <w:spacing w:after="120"/>
        <w:rPr>
          <w:sz w:val="22"/>
          <w:szCs w:val="22"/>
        </w:rPr>
      </w:pPr>
      <w:r w:rsidRPr="00D10FAD">
        <w:rPr>
          <w:sz w:val="22"/>
          <w:szCs w:val="22"/>
        </w:rPr>
        <w:t>Familiarisation costs (see above)</w:t>
      </w:r>
    </w:p>
    <w:p w14:paraId="0ED99853" w14:textId="77777777" w:rsidR="009657EB" w:rsidRPr="00D10FAD" w:rsidRDefault="009657EB" w:rsidP="00D10FAD">
      <w:pPr>
        <w:numPr>
          <w:ilvl w:val="0"/>
          <w:numId w:val="5"/>
        </w:numPr>
        <w:autoSpaceDE w:val="0"/>
        <w:autoSpaceDN w:val="0"/>
        <w:adjustRightInd w:val="0"/>
        <w:spacing w:after="120"/>
        <w:rPr>
          <w:sz w:val="22"/>
          <w:szCs w:val="22"/>
        </w:rPr>
      </w:pPr>
      <w:r w:rsidRPr="00D10FAD">
        <w:rPr>
          <w:sz w:val="22"/>
          <w:szCs w:val="22"/>
        </w:rPr>
        <w:t>Benefits to creditors from reduced administration and recovery costs</w:t>
      </w:r>
    </w:p>
    <w:p w14:paraId="6518BAB1" w14:textId="77777777" w:rsidR="009657EB" w:rsidRPr="00D10FAD" w:rsidRDefault="009657EB" w:rsidP="00D10FAD">
      <w:pPr>
        <w:numPr>
          <w:ilvl w:val="0"/>
          <w:numId w:val="5"/>
        </w:numPr>
        <w:autoSpaceDE w:val="0"/>
        <w:autoSpaceDN w:val="0"/>
        <w:adjustRightInd w:val="0"/>
        <w:spacing w:after="120"/>
        <w:rPr>
          <w:sz w:val="22"/>
          <w:szCs w:val="22"/>
        </w:rPr>
      </w:pPr>
      <w:r w:rsidRPr="00D10FAD">
        <w:rPr>
          <w:sz w:val="22"/>
          <w:szCs w:val="22"/>
        </w:rPr>
        <w:t>Benefits to debtors (non-business impact)</w:t>
      </w:r>
    </w:p>
    <w:p w14:paraId="604BF497" w14:textId="21839C5D" w:rsidR="00DA78B0" w:rsidRPr="00D10FAD" w:rsidRDefault="00C222BF" w:rsidP="00DA78B0">
      <w:pPr>
        <w:autoSpaceDE w:val="0"/>
        <w:autoSpaceDN w:val="0"/>
        <w:adjustRightInd w:val="0"/>
        <w:rPr>
          <w:b/>
          <w:sz w:val="22"/>
          <w:szCs w:val="22"/>
        </w:rPr>
      </w:pPr>
      <w:r w:rsidRPr="00D10FAD">
        <w:rPr>
          <w:sz w:val="22"/>
          <w:szCs w:val="22"/>
        </w:rPr>
        <w:br w:type="page"/>
      </w:r>
      <w:r w:rsidR="00DA78B0" w:rsidRPr="00D10FAD">
        <w:rPr>
          <w:b/>
          <w:sz w:val="22"/>
          <w:szCs w:val="22"/>
        </w:rPr>
        <w:lastRenderedPageBreak/>
        <w:t xml:space="preserve">Table </w:t>
      </w:r>
      <w:r w:rsidR="0028036A">
        <w:rPr>
          <w:b/>
          <w:sz w:val="22"/>
          <w:szCs w:val="22"/>
        </w:rPr>
        <w:t>4</w:t>
      </w:r>
      <w:r w:rsidR="00DA78B0" w:rsidRPr="00D10FAD">
        <w:rPr>
          <w:b/>
          <w:sz w:val="22"/>
          <w:szCs w:val="22"/>
        </w:rPr>
        <w:t>: Annual costs and benefits of changes to the eligibility criteria for Debt Relief 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559"/>
        <w:gridCol w:w="1276"/>
        <w:gridCol w:w="1417"/>
        <w:gridCol w:w="1553"/>
        <w:gridCol w:w="1689"/>
      </w:tblGrid>
      <w:tr w:rsidR="00735376" w:rsidRPr="00633593" w14:paraId="065D38CA" w14:textId="77777777" w:rsidTr="00735376">
        <w:tc>
          <w:tcPr>
            <w:tcW w:w="1802" w:type="dxa"/>
            <w:shd w:val="clear" w:color="auto" w:fill="auto"/>
          </w:tcPr>
          <w:p w14:paraId="46BC700A" w14:textId="1C80AA7B" w:rsidR="00425FCB" w:rsidRPr="00D10FAD" w:rsidRDefault="00425FCB" w:rsidP="00735376">
            <w:pPr>
              <w:autoSpaceDE w:val="0"/>
              <w:autoSpaceDN w:val="0"/>
              <w:adjustRightInd w:val="0"/>
              <w:rPr>
                <w:b/>
                <w:sz w:val="22"/>
                <w:szCs w:val="22"/>
              </w:rPr>
            </w:pPr>
            <w:r w:rsidRPr="00D10FAD">
              <w:rPr>
                <w:b/>
                <w:sz w:val="22"/>
                <w:szCs w:val="22"/>
              </w:rPr>
              <w:t>Type of cost/benefit</w:t>
            </w:r>
          </w:p>
        </w:tc>
        <w:tc>
          <w:tcPr>
            <w:tcW w:w="2559" w:type="dxa"/>
            <w:shd w:val="clear" w:color="auto" w:fill="auto"/>
          </w:tcPr>
          <w:p w14:paraId="46230DAB" w14:textId="77777777" w:rsidR="00425FCB" w:rsidRPr="00D10FAD" w:rsidRDefault="00425FCB" w:rsidP="00735376">
            <w:pPr>
              <w:autoSpaceDE w:val="0"/>
              <w:autoSpaceDN w:val="0"/>
              <w:adjustRightInd w:val="0"/>
              <w:rPr>
                <w:b/>
                <w:sz w:val="22"/>
                <w:szCs w:val="22"/>
              </w:rPr>
            </w:pPr>
            <w:r w:rsidRPr="00D10FAD">
              <w:rPr>
                <w:b/>
                <w:sz w:val="22"/>
                <w:szCs w:val="22"/>
              </w:rPr>
              <w:t>Impact</w:t>
            </w:r>
          </w:p>
        </w:tc>
        <w:tc>
          <w:tcPr>
            <w:tcW w:w="1276" w:type="dxa"/>
            <w:shd w:val="clear" w:color="auto" w:fill="auto"/>
          </w:tcPr>
          <w:p w14:paraId="49D03163" w14:textId="77777777" w:rsidR="00425FCB" w:rsidRPr="00D10FAD" w:rsidRDefault="00425FCB" w:rsidP="00735376">
            <w:pPr>
              <w:autoSpaceDE w:val="0"/>
              <w:autoSpaceDN w:val="0"/>
              <w:adjustRightInd w:val="0"/>
              <w:rPr>
                <w:b/>
                <w:sz w:val="22"/>
                <w:szCs w:val="22"/>
              </w:rPr>
            </w:pPr>
            <w:r w:rsidRPr="00D10FAD">
              <w:rPr>
                <w:b/>
                <w:sz w:val="22"/>
                <w:szCs w:val="22"/>
              </w:rPr>
              <w:t>Minima £</w:t>
            </w:r>
          </w:p>
        </w:tc>
        <w:tc>
          <w:tcPr>
            <w:tcW w:w="1417" w:type="dxa"/>
            <w:shd w:val="clear" w:color="auto" w:fill="auto"/>
          </w:tcPr>
          <w:p w14:paraId="53037BC1" w14:textId="77777777" w:rsidR="00425FCB" w:rsidRPr="00D10FAD" w:rsidRDefault="00425FCB" w:rsidP="00735376">
            <w:pPr>
              <w:autoSpaceDE w:val="0"/>
              <w:autoSpaceDN w:val="0"/>
              <w:adjustRightInd w:val="0"/>
              <w:rPr>
                <w:b/>
                <w:sz w:val="22"/>
                <w:szCs w:val="22"/>
              </w:rPr>
            </w:pPr>
            <w:r w:rsidRPr="00D10FAD">
              <w:rPr>
                <w:b/>
                <w:sz w:val="22"/>
                <w:szCs w:val="22"/>
              </w:rPr>
              <w:t>Maxima £</w:t>
            </w:r>
          </w:p>
        </w:tc>
        <w:tc>
          <w:tcPr>
            <w:tcW w:w="1553" w:type="dxa"/>
            <w:shd w:val="clear" w:color="auto" w:fill="auto"/>
          </w:tcPr>
          <w:p w14:paraId="47AF7E51" w14:textId="77777777" w:rsidR="00425FCB" w:rsidRPr="00D10FAD" w:rsidRDefault="00425FCB" w:rsidP="00735376">
            <w:pPr>
              <w:autoSpaceDE w:val="0"/>
              <w:autoSpaceDN w:val="0"/>
              <w:adjustRightInd w:val="0"/>
              <w:rPr>
                <w:b/>
                <w:sz w:val="22"/>
                <w:szCs w:val="22"/>
              </w:rPr>
            </w:pPr>
            <w:r w:rsidRPr="00D10FAD">
              <w:rPr>
                <w:b/>
                <w:sz w:val="22"/>
                <w:szCs w:val="22"/>
              </w:rPr>
              <w:t>Best Estimate £</w:t>
            </w:r>
          </w:p>
        </w:tc>
        <w:tc>
          <w:tcPr>
            <w:tcW w:w="1689" w:type="dxa"/>
            <w:shd w:val="clear" w:color="auto" w:fill="auto"/>
          </w:tcPr>
          <w:p w14:paraId="328DD626" w14:textId="77777777" w:rsidR="00425FCB" w:rsidRPr="00D10FAD" w:rsidRDefault="00425FCB" w:rsidP="00735376">
            <w:pPr>
              <w:autoSpaceDE w:val="0"/>
              <w:autoSpaceDN w:val="0"/>
              <w:adjustRightInd w:val="0"/>
              <w:rPr>
                <w:b/>
                <w:sz w:val="22"/>
                <w:szCs w:val="22"/>
              </w:rPr>
            </w:pPr>
            <w:r w:rsidRPr="00D10FAD">
              <w:rPr>
                <w:b/>
                <w:sz w:val="22"/>
                <w:szCs w:val="22"/>
              </w:rPr>
              <w:t>Direct impact on business</w:t>
            </w:r>
          </w:p>
        </w:tc>
      </w:tr>
      <w:tr w:rsidR="00735376" w:rsidRPr="00633593" w14:paraId="73567771" w14:textId="77777777" w:rsidTr="00735376">
        <w:tc>
          <w:tcPr>
            <w:tcW w:w="1802" w:type="dxa"/>
            <w:shd w:val="clear" w:color="auto" w:fill="auto"/>
          </w:tcPr>
          <w:p w14:paraId="41584DB6" w14:textId="77777777" w:rsidR="00425FCB" w:rsidRPr="00D10FAD" w:rsidRDefault="00425FCB" w:rsidP="00735376">
            <w:pPr>
              <w:autoSpaceDE w:val="0"/>
              <w:autoSpaceDN w:val="0"/>
              <w:adjustRightInd w:val="0"/>
              <w:rPr>
                <w:sz w:val="22"/>
                <w:szCs w:val="22"/>
              </w:rPr>
            </w:pPr>
            <w:r w:rsidRPr="00D10FAD">
              <w:rPr>
                <w:sz w:val="22"/>
                <w:szCs w:val="22"/>
              </w:rPr>
              <w:t>One-off familiarisation cost creditors / business</w:t>
            </w:r>
          </w:p>
        </w:tc>
        <w:tc>
          <w:tcPr>
            <w:tcW w:w="2559" w:type="dxa"/>
            <w:shd w:val="clear" w:color="auto" w:fill="auto"/>
          </w:tcPr>
          <w:p w14:paraId="73AA1F06" w14:textId="16D68A26" w:rsidR="00425FCB" w:rsidRPr="00D10FAD" w:rsidRDefault="00F31B05" w:rsidP="00735376">
            <w:pPr>
              <w:autoSpaceDE w:val="0"/>
              <w:autoSpaceDN w:val="0"/>
              <w:adjustRightInd w:val="0"/>
              <w:rPr>
                <w:sz w:val="22"/>
                <w:szCs w:val="22"/>
              </w:rPr>
            </w:pPr>
            <w:proofErr w:type="gramStart"/>
            <w:r>
              <w:rPr>
                <w:sz w:val="22"/>
                <w:szCs w:val="22"/>
              </w:rPr>
              <w:t>A:</w:t>
            </w:r>
            <w:r w:rsidR="00425FCB" w:rsidRPr="00D10FAD">
              <w:rPr>
                <w:sz w:val="22"/>
                <w:szCs w:val="22"/>
              </w:rPr>
              <w:t>Familiarisation</w:t>
            </w:r>
            <w:proofErr w:type="gramEnd"/>
            <w:r w:rsidR="00425FCB" w:rsidRPr="00D10FAD">
              <w:rPr>
                <w:sz w:val="22"/>
                <w:szCs w:val="22"/>
              </w:rPr>
              <w:t xml:space="preserve"> costs</w:t>
            </w:r>
          </w:p>
        </w:tc>
        <w:tc>
          <w:tcPr>
            <w:tcW w:w="1276" w:type="dxa"/>
            <w:shd w:val="clear" w:color="auto" w:fill="auto"/>
          </w:tcPr>
          <w:p w14:paraId="60751633" w14:textId="77777777" w:rsidR="00425FCB" w:rsidRPr="00D10FAD" w:rsidRDefault="00425FCB" w:rsidP="00735376">
            <w:pPr>
              <w:autoSpaceDE w:val="0"/>
              <w:autoSpaceDN w:val="0"/>
              <w:adjustRightInd w:val="0"/>
              <w:rPr>
                <w:sz w:val="22"/>
                <w:szCs w:val="22"/>
              </w:rPr>
            </w:pPr>
            <w:r w:rsidRPr="00D10FAD">
              <w:rPr>
                <w:sz w:val="22"/>
                <w:szCs w:val="22"/>
              </w:rPr>
              <w:t>0</w:t>
            </w:r>
          </w:p>
        </w:tc>
        <w:tc>
          <w:tcPr>
            <w:tcW w:w="1417" w:type="dxa"/>
            <w:shd w:val="clear" w:color="auto" w:fill="auto"/>
          </w:tcPr>
          <w:p w14:paraId="06E18776" w14:textId="66569012" w:rsidR="00425FCB" w:rsidRPr="00D10FAD" w:rsidRDefault="00F0673F" w:rsidP="00735376">
            <w:pPr>
              <w:autoSpaceDE w:val="0"/>
              <w:autoSpaceDN w:val="0"/>
              <w:adjustRightInd w:val="0"/>
              <w:rPr>
                <w:sz w:val="22"/>
                <w:szCs w:val="22"/>
              </w:rPr>
            </w:pPr>
            <w:r w:rsidRPr="00D10FAD">
              <w:rPr>
                <w:sz w:val="22"/>
                <w:szCs w:val="22"/>
              </w:rPr>
              <w:t>8,</w:t>
            </w:r>
            <w:r w:rsidR="007A2CEA">
              <w:rPr>
                <w:sz w:val="22"/>
                <w:szCs w:val="22"/>
              </w:rPr>
              <w:t>206</w:t>
            </w:r>
          </w:p>
        </w:tc>
        <w:tc>
          <w:tcPr>
            <w:tcW w:w="1553" w:type="dxa"/>
            <w:shd w:val="clear" w:color="auto" w:fill="auto"/>
          </w:tcPr>
          <w:p w14:paraId="151660AF" w14:textId="395FDA70" w:rsidR="00425FCB" w:rsidRPr="00D10FAD" w:rsidRDefault="00F0673F" w:rsidP="00735376">
            <w:pPr>
              <w:autoSpaceDE w:val="0"/>
              <w:autoSpaceDN w:val="0"/>
              <w:adjustRightInd w:val="0"/>
              <w:rPr>
                <w:sz w:val="22"/>
                <w:szCs w:val="22"/>
              </w:rPr>
            </w:pPr>
            <w:r w:rsidRPr="00D10FAD">
              <w:rPr>
                <w:sz w:val="22"/>
                <w:szCs w:val="22"/>
              </w:rPr>
              <w:t>4,</w:t>
            </w:r>
            <w:r w:rsidR="000A4066">
              <w:rPr>
                <w:sz w:val="22"/>
                <w:szCs w:val="22"/>
              </w:rPr>
              <w:t>1</w:t>
            </w:r>
            <w:r w:rsidR="007A2CEA">
              <w:rPr>
                <w:sz w:val="22"/>
                <w:szCs w:val="22"/>
              </w:rPr>
              <w:t>03</w:t>
            </w:r>
          </w:p>
        </w:tc>
        <w:tc>
          <w:tcPr>
            <w:tcW w:w="1689" w:type="dxa"/>
            <w:shd w:val="clear" w:color="auto" w:fill="auto"/>
          </w:tcPr>
          <w:p w14:paraId="1687D080" w14:textId="77777777" w:rsidR="00425FCB" w:rsidRPr="00D10FAD" w:rsidRDefault="00425FCB" w:rsidP="00735376">
            <w:pPr>
              <w:autoSpaceDE w:val="0"/>
              <w:autoSpaceDN w:val="0"/>
              <w:adjustRightInd w:val="0"/>
              <w:rPr>
                <w:sz w:val="22"/>
                <w:szCs w:val="22"/>
              </w:rPr>
            </w:pPr>
            <w:r w:rsidRPr="00D10FAD">
              <w:rPr>
                <w:sz w:val="22"/>
                <w:szCs w:val="22"/>
              </w:rPr>
              <w:t>Yes</w:t>
            </w:r>
          </w:p>
        </w:tc>
      </w:tr>
      <w:tr w:rsidR="00735376" w:rsidRPr="00633593" w14:paraId="34123F35" w14:textId="77777777" w:rsidTr="00735376">
        <w:tc>
          <w:tcPr>
            <w:tcW w:w="1802" w:type="dxa"/>
            <w:vMerge w:val="restart"/>
            <w:shd w:val="clear" w:color="auto" w:fill="auto"/>
          </w:tcPr>
          <w:p w14:paraId="57312C0D" w14:textId="77777777" w:rsidR="00D42770" w:rsidRPr="00D10FAD" w:rsidRDefault="00D42770" w:rsidP="00735376">
            <w:pPr>
              <w:autoSpaceDE w:val="0"/>
              <w:autoSpaceDN w:val="0"/>
              <w:adjustRightInd w:val="0"/>
              <w:rPr>
                <w:sz w:val="22"/>
                <w:szCs w:val="22"/>
              </w:rPr>
            </w:pPr>
            <w:r w:rsidRPr="00D10FAD">
              <w:rPr>
                <w:sz w:val="22"/>
                <w:szCs w:val="22"/>
              </w:rPr>
              <w:t>Ongoing cost to creditors / business</w:t>
            </w:r>
          </w:p>
        </w:tc>
        <w:tc>
          <w:tcPr>
            <w:tcW w:w="2559" w:type="dxa"/>
            <w:shd w:val="clear" w:color="auto" w:fill="auto"/>
          </w:tcPr>
          <w:p w14:paraId="1473CE42" w14:textId="77012554" w:rsidR="00D42770" w:rsidRPr="00D10FAD" w:rsidRDefault="00F31B05" w:rsidP="00735376">
            <w:pPr>
              <w:autoSpaceDE w:val="0"/>
              <w:autoSpaceDN w:val="0"/>
              <w:adjustRightInd w:val="0"/>
              <w:rPr>
                <w:sz w:val="22"/>
                <w:szCs w:val="22"/>
              </w:rPr>
            </w:pPr>
            <w:proofErr w:type="gramStart"/>
            <w:r>
              <w:rPr>
                <w:sz w:val="22"/>
                <w:szCs w:val="22"/>
              </w:rPr>
              <w:t>B:</w:t>
            </w:r>
            <w:r w:rsidR="00D42770" w:rsidRPr="00D10FAD">
              <w:rPr>
                <w:sz w:val="22"/>
                <w:szCs w:val="22"/>
              </w:rPr>
              <w:t>Cost</w:t>
            </w:r>
            <w:proofErr w:type="gramEnd"/>
            <w:r w:rsidR="00D42770" w:rsidRPr="00D10FAD">
              <w:rPr>
                <w:sz w:val="22"/>
                <w:szCs w:val="22"/>
              </w:rPr>
              <w:t xml:space="preserve"> to intermediaries from increased DRO demand</w:t>
            </w:r>
          </w:p>
        </w:tc>
        <w:tc>
          <w:tcPr>
            <w:tcW w:w="1276" w:type="dxa"/>
            <w:shd w:val="clear" w:color="auto" w:fill="auto"/>
          </w:tcPr>
          <w:p w14:paraId="39BC8428" w14:textId="2C757786" w:rsidR="00D42770" w:rsidRPr="00D10FAD" w:rsidRDefault="000808B6" w:rsidP="00735376">
            <w:pPr>
              <w:autoSpaceDE w:val="0"/>
              <w:autoSpaceDN w:val="0"/>
              <w:adjustRightInd w:val="0"/>
              <w:rPr>
                <w:sz w:val="22"/>
                <w:szCs w:val="22"/>
              </w:rPr>
            </w:pPr>
            <w:r>
              <w:rPr>
                <w:sz w:val="22"/>
                <w:szCs w:val="22"/>
              </w:rPr>
              <w:t>70</w:t>
            </w:r>
            <w:r w:rsidR="000C4E94" w:rsidRPr="00D10FAD">
              <w:rPr>
                <w:sz w:val="22"/>
                <w:szCs w:val="22"/>
              </w:rPr>
              <w:t>,</w:t>
            </w:r>
            <w:r>
              <w:rPr>
                <w:sz w:val="22"/>
                <w:szCs w:val="22"/>
              </w:rPr>
              <w:t>000</w:t>
            </w:r>
          </w:p>
        </w:tc>
        <w:tc>
          <w:tcPr>
            <w:tcW w:w="1417" w:type="dxa"/>
            <w:shd w:val="clear" w:color="auto" w:fill="auto"/>
          </w:tcPr>
          <w:p w14:paraId="1026C5A1" w14:textId="6B2BA429" w:rsidR="00D42770" w:rsidRPr="00D10FAD" w:rsidRDefault="000808B6" w:rsidP="00735376">
            <w:pPr>
              <w:autoSpaceDE w:val="0"/>
              <w:autoSpaceDN w:val="0"/>
              <w:adjustRightInd w:val="0"/>
              <w:rPr>
                <w:sz w:val="22"/>
                <w:szCs w:val="22"/>
              </w:rPr>
            </w:pPr>
            <w:r>
              <w:rPr>
                <w:sz w:val="22"/>
                <w:szCs w:val="22"/>
              </w:rPr>
              <w:t>105,000</w:t>
            </w:r>
          </w:p>
        </w:tc>
        <w:tc>
          <w:tcPr>
            <w:tcW w:w="1553" w:type="dxa"/>
            <w:shd w:val="clear" w:color="auto" w:fill="auto"/>
          </w:tcPr>
          <w:p w14:paraId="3A7875D3" w14:textId="7A41A64C" w:rsidR="00D42770" w:rsidRPr="00D10FAD" w:rsidRDefault="00FD6321" w:rsidP="00735376">
            <w:pPr>
              <w:autoSpaceDE w:val="0"/>
              <w:autoSpaceDN w:val="0"/>
              <w:adjustRightInd w:val="0"/>
              <w:rPr>
                <w:sz w:val="22"/>
                <w:szCs w:val="22"/>
              </w:rPr>
            </w:pPr>
            <w:r>
              <w:rPr>
                <w:sz w:val="22"/>
                <w:szCs w:val="22"/>
              </w:rPr>
              <w:t>87,500</w:t>
            </w:r>
          </w:p>
        </w:tc>
        <w:tc>
          <w:tcPr>
            <w:tcW w:w="1689" w:type="dxa"/>
            <w:shd w:val="clear" w:color="auto" w:fill="auto"/>
          </w:tcPr>
          <w:p w14:paraId="3A4CEC4E" w14:textId="77777777" w:rsidR="00D42770" w:rsidRPr="00D10FAD" w:rsidRDefault="004216F4" w:rsidP="00735376">
            <w:pPr>
              <w:autoSpaceDE w:val="0"/>
              <w:autoSpaceDN w:val="0"/>
              <w:adjustRightInd w:val="0"/>
              <w:rPr>
                <w:sz w:val="22"/>
                <w:szCs w:val="22"/>
              </w:rPr>
            </w:pPr>
            <w:r w:rsidRPr="00D10FAD">
              <w:rPr>
                <w:sz w:val="22"/>
                <w:szCs w:val="22"/>
              </w:rPr>
              <w:t>Yes</w:t>
            </w:r>
          </w:p>
        </w:tc>
      </w:tr>
      <w:tr w:rsidR="00735376" w:rsidRPr="00633593" w14:paraId="49E60040" w14:textId="77777777" w:rsidTr="00735376">
        <w:tc>
          <w:tcPr>
            <w:tcW w:w="1802" w:type="dxa"/>
            <w:vMerge/>
            <w:shd w:val="clear" w:color="auto" w:fill="auto"/>
          </w:tcPr>
          <w:p w14:paraId="3B0FAA0C" w14:textId="77777777" w:rsidR="00D42770" w:rsidRPr="00D10FAD" w:rsidRDefault="00D42770" w:rsidP="00735376">
            <w:pPr>
              <w:autoSpaceDE w:val="0"/>
              <w:autoSpaceDN w:val="0"/>
              <w:adjustRightInd w:val="0"/>
              <w:rPr>
                <w:sz w:val="22"/>
                <w:szCs w:val="22"/>
              </w:rPr>
            </w:pPr>
          </w:p>
        </w:tc>
        <w:tc>
          <w:tcPr>
            <w:tcW w:w="2559" w:type="dxa"/>
            <w:shd w:val="clear" w:color="auto" w:fill="auto"/>
          </w:tcPr>
          <w:p w14:paraId="62FB675F" w14:textId="4B3D4FCD" w:rsidR="00D42770" w:rsidRPr="00D10FAD" w:rsidRDefault="00F31B05" w:rsidP="00735376">
            <w:pPr>
              <w:autoSpaceDE w:val="0"/>
              <w:autoSpaceDN w:val="0"/>
              <w:adjustRightInd w:val="0"/>
              <w:rPr>
                <w:sz w:val="22"/>
                <w:szCs w:val="22"/>
              </w:rPr>
            </w:pPr>
            <w:r>
              <w:rPr>
                <w:sz w:val="22"/>
                <w:szCs w:val="22"/>
              </w:rPr>
              <w:t>C:</w:t>
            </w:r>
            <w:r w:rsidR="00D42770" w:rsidRPr="00D10FAD">
              <w:rPr>
                <w:sz w:val="22"/>
                <w:szCs w:val="22"/>
              </w:rPr>
              <w:t xml:space="preserve">Cost to </w:t>
            </w:r>
            <w:r w:rsidR="00496294">
              <w:rPr>
                <w:sz w:val="22"/>
                <w:szCs w:val="22"/>
              </w:rPr>
              <w:t xml:space="preserve">business </w:t>
            </w:r>
            <w:r w:rsidR="00D42770" w:rsidRPr="00D10FAD">
              <w:rPr>
                <w:sz w:val="22"/>
                <w:szCs w:val="22"/>
              </w:rPr>
              <w:t>creditors from individuals able to access debt relief</w:t>
            </w:r>
          </w:p>
        </w:tc>
        <w:tc>
          <w:tcPr>
            <w:tcW w:w="1276" w:type="dxa"/>
            <w:shd w:val="clear" w:color="auto" w:fill="BFBFBF"/>
          </w:tcPr>
          <w:p w14:paraId="61B99F9F" w14:textId="77777777" w:rsidR="00D42770" w:rsidRPr="00D10FAD" w:rsidRDefault="00D42770" w:rsidP="00735376">
            <w:pPr>
              <w:autoSpaceDE w:val="0"/>
              <w:autoSpaceDN w:val="0"/>
              <w:adjustRightInd w:val="0"/>
              <w:rPr>
                <w:sz w:val="22"/>
                <w:szCs w:val="22"/>
              </w:rPr>
            </w:pPr>
          </w:p>
        </w:tc>
        <w:tc>
          <w:tcPr>
            <w:tcW w:w="1417" w:type="dxa"/>
            <w:shd w:val="clear" w:color="auto" w:fill="BFBFBF"/>
          </w:tcPr>
          <w:p w14:paraId="292D771F" w14:textId="77777777" w:rsidR="00D42770" w:rsidRPr="00D10FAD" w:rsidRDefault="00D42770" w:rsidP="00735376">
            <w:pPr>
              <w:autoSpaceDE w:val="0"/>
              <w:autoSpaceDN w:val="0"/>
              <w:adjustRightInd w:val="0"/>
              <w:rPr>
                <w:sz w:val="22"/>
                <w:szCs w:val="22"/>
              </w:rPr>
            </w:pPr>
          </w:p>
        </w:tc>
        <w:tc>
          <w:tcPr>
            <w:tcW w:w="1553" w:type="dxa"/>
            <w:shd w:val="clear" w:color="auto" w:fill="auto"/>
          </w:tcPr>
          <w:p w14:paraId="503FAA5D" w14:textId="6B859B14" w:rsidR="00D42770" w:rsidRPr="00D10FAD" w:rsidRDefault="00E913F1" w:rsidP="00735376">
            <w:pPr>
              <w:autoSpaceDE w:val="0"/>
              <w:autoSpaceDN w:val="0"/>
              <w:adjustRightInd w:val="0"/>
              <w:rPr>
                <w:sz w:val="22"/>
                <w:szCs w:val="22"/>
              </w:rPr>
            </w:pPr>
            <w:r w:rsidRPr="00D10FAD">
              <w:rPr>
                <w:sz w:val="22"/>
                <w:szCs w:val="22"/>
              </w:rPr>
              <w:t>1</w:t>
            </w:r>
            <w:r w:rsidR="00E35AA3">
              <w:rPr>
                <w:sz w:val="22"/>
                <w:szCs w:val="22"/>
              </w:rPr>
              <w:t>96</w:t>
            </w:r>
            <w:r w:rsidRPr="00D10FAD">
              <w:rPr>
                <w:sz w:val="22"/>
                <w:szCs w:val="22"/>
              </w:rPr>
              <w:t>,</w:t>
            </w:r>
            <w:r w:rsidR="00E35AA3">
              <w:rPr>
                <w:sz w:val="22"/>
                <w:szCs w:val="22"/>
              </w:rPr>
              <w:t>175</w:t>
            </w:r>
          </w:p>
        </w:tc>
        <w:tc>
          <w:tcPr>
            <w:tcW w:w="1689" w:type="dxa"/>
            <w:shd w:val="clear" w:color="auto" w:fill="auto"/>
          </w:tcPr>
          <w:p w14:paraId="3577A447" w14:textId="77777777" w:rsidR="00D42770" w:rsidRPr="00D10FAD" w:rsidRDefault="004216F4" w:rsidP="00735376">
            <w:pPr>
              <w:autoSpaceDE w:val="0"/>
              <w:autoSpaceDN w:val="0"/>
              <w:adjustRightInd w:val="0"/>
              <w:rPr>
                <w:sz w:val="22"/>
                <w:szCs w:val="22"/>
              </w:rPr>
            </w:pPr>
            <w:r w:rsidRPr="00D10FAD">
              <w:rPr>
                <w:sz w:val="22"/>
                <w:szCs w:val="22"/>
              </w:rPr>
              <w:t>Yes</w:t>
            </w:r>
          </w:p>
        </w:tc>
      </w:tr>
      <w:tr w:rsidR="00735376" w:rsidRPr="00633593" w14:paraId="260BE789" w14:textId="77777777" w:rsidTr="00735376">
        <w:tc>
          <w:tcPr>
            <w:tcW w:w="1802" w:type="dxa"/>
            <w:vMerge/>
            <w:shd w:val="clear" w:color="auto" w:fill="auto"/>
          </w:tcPr>
          <w:p w14:paraId="17A46388" w14:textId="77777777" w:rsidR="00D42770" w:rsidRPr="00D10FAD" w:rsidRDefault="00D42770" w:rsidP="00735376">
            <w:pPr>
              <w:autoSpaceDE w:val="0"/>
              <w:autoSpaceDN w:val="0"/>
              <w:adjustRightInd w:val="0"/>
              <w:rPr>
                <w:sz w:val="22"/>
                <w:szCs w:val="22"/>
              </w:rPr>
            </w:pPr>
          </w:p>
        </w:tc>
        <w:tc>
          <w:tcPr>
            <w:tcW w:w="2559" w:type="dxa"/>
            <w:shd w:val="clear" w:color="auto" w:fill="auto"/>
          </w:tcPr>
          <w:p w14:paraId="188B0870" w14:textId="0B3DDA70" w:rsidR="00D42770" w:rsidRPr="00D10FAD" w:rsidRDefault="00F31B05" w:rsidP="00735376">
            <w:pPr>
              <w:autoSpaceDE w:val="0"/>
              <w:autoSpaceDN w:val="0"/>
              <w:adjustRightInd w:val="0"/>
              <w:rPr>
                <w:sz w:val="22"/>
                <w:szCs w:val="22"/>
              </w:rPr>
            </w:pPr>
            <w:proofErr w:type="gramStart"/>
            <w:r>
              <w:rPr>
                <w:sz w:val="22"/>
                <w:szCs w:val="22"/>
              </w:rPr>
              <w:t>D:</w:t>
            </w:r>
            <w:r w:rsidR="00D42770" w:rsidRPr="00D10FAD">
              <w:rPr>
                <w:sz w:val="22"/>
                <w:szCs w:val="22"/>
              </w:rPr>
              <w:t>Costs</w:t>
            </w:r>
            <w:proofErr w:type="gramEnd"/>
            <w:r w:rsidR="00D42770" w:rsidRPr="00D10FAD">
              <w:rPr>
                <w:sz w:val="22"/>
                <w:szCs w:val="22"/>
              </w:rPr>
              <w:t xml:space="preserve"> to Insolvency Practitioners from loss of IVA fees</w:t>
            </w:r>
          </w:p>
        </w:tc>
        <w:tc>
          <w:tcPr>
            <w:tcW w:w="1276" w:type="dxa"/>
            <w:shd w:val="clear" w:color="auto" w:fill="BFBFBF"/>
          </w:tcPr>
          <w:p w14:paraId="28CF74B9" w14:textId="77777777" w:rsidR="00D42770" w:rsidRPr="00D10FAD" w:rsidRDefault="00D42770" w:rsidP="00735376">
            <w:pPr>
              <w:autoSpaceDE w:val="0"/>
              <w:autoSpaceDN w:val="0"/>
              <w:adjustRightInd w:val="0"/>
              <w:rPr>
                <w:sz w:val="22"/>
                <w:szCs w:val="22"/>
              </w:rPr>
            </w:pPr>
          </w:p>
        </w:tc>
        <w:tc>
          <w:tcPr>
            <w:tcW w:w="1417" w:type="dxa"/>
            <w:shd w:val="clear" w:color="auto" w:fill="BFBFBF"/>
          </w:tcPr>
          <w:p w14:paraId="39BDB459" w14:textId="77777777" w:rsidR="00D42770" w:rsidRPr="00D10FAD" w:rsidRDefault="00D42770" w:rsidP="00735376">
            <w:pPr>
              <w:autoSpaceDE w:val="0"/>
              <w:autoSpaceDN w:val="0"/>
              <w:adjustRightInd w:val="0"/>
              <w:rPr>
                <w:sz w:val="22"/>
                <w:szCs w:val="22"/>
              </w:rPr>
            </w:pPr>
          </w:p>
        </w:tc>
        <w:tc>
          <w:tcPr>
            <w:tcW w:w="1553" w:type="dxa"/>
            <w:shd w:val="clear" w:color="auto" w:fill="auto"/>
          </w:tcPr>
          <w:p w14:paraId="3DBC9DB0" w14:textId="76E9102C" w:rsidR="00D42770" w:rsidRPr="00D10FAD" w:rsidRDefault="00CD6D51" w:rsidP="00735376">
            <w:pPr>
              <w:autoSpaceDE w:val="0"/>
              <w:autoSpaceDN w:val="0"/>
              <w:adjustRightInd w:val="0"/>
              <w:rPr>
                <w:sz w:val="22"/>
                <w:szCs w:val="22"/>
              </w:rPr>
            </w:pPr>
            <w:r>
              <w:rPr>
                <w:sz w:val="22"/>
                <w:szCs w:val="22"/>
              </w:rPr>
              <w:t>33,250</w:t>
            </w:r>
          </w:p>
        </w:tc>
        <w:tc>
          <w:tcPr>
            <w:tcW w:w="1689" w:type="dxa"/>
            <w:shd w:val="clear" w:color="auto" w:fill="auto"/>
          </w:tcPr>
          <w:p w14:paraId="07FA3D3C" w14:textId="77777777" w:rsidR="00D42770" w:rsidRPr="00D10FAD" w:rsidRDefault="004216F4" w:rsidP="00735376">
            <w:pPr>
              <w:autoSpaceDE w:val="0"/>
              <w:autoSpaceDN w:val="0"/>
              <w:adjustRightInd w:val="0"/>
              <w:rPr>
                <w:sz w:val="22"/>
                <w:szCs w:val="22"/>
              </w:rPr>
            </w:pPr>
            <w:r w:rsidRPr="00D10FAD">
              <w:rPr>
                <w:sz w:val="22"/>
                <w:szCs w:val="22"/>
              </w:rPr>
              <w:t>Yes</w:t>
            </w:r>
          </w:p>
        </w:tc>
      </w:tr>
      <w:tr w:rsidR="00735376" w:rsidRPr="00633593" w14:paraId="3A517E50" w14:textId="77777777" w:rsidTr="00735376">
        <w:tc>
          <w:tcPr>
            <w:tcW w:w="4361" w:type="dxa"/>
            <w:gridSpan w:val="2"/>
            <w:shd w:val="clear" w:color="auto" w:fill="auto"/>
          </w:tcPr>
          <w:p w14:paraId="31BE4A36" w14:textId="3523212B" w:rsidR="00D42770" w:rsidRPr="00D10FAD" w:rsidRDefault="00F31B05" w:rsidP="00735376">
            <w:pPr>
              <w:autoSpaceDE w:val="0"/>
              <w:autoSpaceDN w:val="0"/>
              <w:adjustRightInd w:val="0"/>
              <w:rPr>
                <w:sz w:val="22"/>
                <w:szCs w:val="22"/>
              </w:rPr>
            </w:pPr>
            <w:proofErr w:type="gramStart"/>
            <w:r>
              <w:rPr>
                <w:sz w:val="22"/>
                <w:szCs w:val="22"/>
              </w:rPr>
              <w:t>E:</w:t>
            </w:r>
            <w:r w:rsidR="00D42770" w:rsidRPr="00D10FAD">
              <w:rPr>
                <w:sz w:val="22"/>
                <w:szCs w:val="22"/>
              </w:rPr>
              <w:t>Total</w:t>
            </w:r>
            <w:proofErr w:type="gramEnd"/>
            <w:r w:rsidR="00D42770" w:rsidRPr="00D10FAD">
              <w:rPr>
                <w:sz w:val="22"/>
                <w:szCs w:val="22"/>
              </w:rPr>
              <w:t xml:space="preserve"> cost to Government creditors from individuals able to access debt relief</w:t>
            </w:r>
          </w:p>
        </w:tc>
        <w:tc>
          <w:tcPr>
            <w:tcW w:w="1276" w:type="dxa"/>
            <w:shd w:val="clear" w:color="auto" w:fill="BFBFBF"/>
          </w:tcPr>
          <w:p w14:paraId="6C31D27B" w14:textId="77777777" w:rsidR="00D42770" w:rsidRPr="00D10FAD" w:rsidRDefault="00D42770" w:rsidP="00735376">
            <w:pPr>
              <w:autoSpaceDE w:val="0"/>
              <w:autoSpaceDN w:val="0"/>
              <w:adjustRightInd w:val="0"/>
              <w:rPr>
                <w:sz w:val="22"/>
                <w:szCs w:val="22"/>
              </w:rPr>
            </w:pPr>
          </w:p>
        </w:tc>
        <w:tc>
          <w:tcPr>
            <w:tcW w:w="1417" w:type="dxa"/>
            <w:shd w:val="clear" w:color="auto" w:fill="BFBFBF"/>
          </w:tcPr>
          <w:p w14:paraId="4E64A2DB" w14:textId="77777777" w:rsidR="00D42770" w:rsidRPr="00D10FAD" w:rsidRDefault="00D42770" w:rsidP="00735376">
            <w:pPr>
              <w:autoSpaceDE w:val="0"/>
              <w:autoSpaceDN w:val="0"/>
              <w:adjustRightInd w:val="0"/>
              <w:rPr>
                <w:sz w:val="22"/>
                <w:szCs w:val="22"/>
              </w:rPr>
            </w:pPr>
          </w:p>
        </w:tc>
        <w:tc>
          <w:tcPr>
            <w:tcW w:w="1553" w:type="dxa"/>
            <w:shd w:val="clear" w:color="auto" w:fill="auto"/>
          </w:tcPr>
          <w:p w14:paraId="05C8943D" w14:textId="4AA33EDA" w:rsidR="00D42770" w:rsidRPr="00D10FAD" w:rsidRDefault="00427991" w:rsidP="00735376">
            <w:pPr>
              <w:autoSpaceDE w:val="0"/>
              <w:autoSpaceDN w:val="0"/>
              <w:adjustRightInd w:val="0"/>
              <w:rPr>
                <w:sz w:val="22"/>
                <w:szCs w:val="22"/>
              </w:rPr>
            </w:pPr>
            <w:r>
              <w:rPr>
                <w:sz w:val="22"/>
                <w:szCs w:val="22"/>
              </w:rPr>
              <w:t>31</w:t>
            </w:r>
            <w:r w:rsidR="009C300B" w:rsidRPr="00D10FAD">
              <w:rPr>
                <w:sz w:val="22"/>
                <w:szCs w:val="22"/>
              </w:rPr>
              <w:t>,</w:t>
            </w:r>
            <w:r>
              <w:rPr>
                <w:sz w:val="22"/>
                <w:szCs w:val="22"/>
              </w:rPr>
              <w:t>935</w:t>
            </w:r>
          </w:p>
        </w:tc>
        <w:tc>
          <w:tcPr>
            <w:tcW w:w="1689" w:type="dxa"/>
            <w:shd w:val="clear" w:color="auto" w:fill="auto"/>
          </w:tcPr>
          <w:p w14:paraId="7AEB921E" w14:textId="77777777" w:rsidR="00D42770" w:rsidRPr="00D10FAD" w:rsidRDefault="004216F4" w:rsidP="00735376">
            <w:pPr>
              <w:autoSpaceDE w:val="0"/>
              <w:autoSpaceDN w:val="0"/>
              <w:adjustRightInd w:val="0"/>
              <w:rPr>
                <w:sz w:val="22"/>
                <w:szCs w:val="22"/>
              </w:rPr>
            </w:pPr>
            <w:r w:rsidRPr="00D10FAD">
              <w:rPr>
                <w:sz w:val="22"/>
                <w:szCs w:val="22"/>
              </w:rPr>
              <w:t>No</w:t>
            </w:r>
          </w:p>
        </w:tc>
      </w:tr>
      <w:tr w:rsidR="00F31B05" w:rsidRPr="00633593" w14:paraId="7A65E057" w14:textId="77777777" w:rsidTr="00735376">
        <w:tc>
          <w:tcPr>
            <w:tcW w:w="4361" w:type="dxa"/>
            <w:gridSpan w:val="2"/>
            <w:shd w:val="clear" w:color="auto" w:fill="auto"/>
          </w:tcPr>
          <w:p w14:paraId="7BC2E3D7" w14:textId="1171B3DE" w:rsidR="00F31B05" w:rsidRPr="00D10FAD" w:rsidRDefault="00F31B05" w:rsidP="00735376">
            <w:pPr>
              <w:autoSpaceDE w:val="0"/>
              <w:autoSpaceDN w:val="0"/>
              <w:adjustRightInd w:val="0"/>
              <w:rPr>
                <w:sz w:val="22"/>
                <w:szCs w:val="22"/>
              </w:rPr>
            </w:pPr>
            <w:r>
              <w:rPr>
                <w:b/>
                <w:sz w:val="22"/>
                <w:szCs w:val="22"/>
              </w:rPr>
              <w:t>F=</w:t>
            </w:r>
            <w:proofErr w:type="spellStart"/>
            <w:r>
              <w:rPr>
                <w:b/>
                <w:sz w:val="22"/>
                <w:szCs w:val="22"/>
              </w:rPr>
              <w:t>B+C+</w:t>
            </w:r>
            <w:proofErr w:type="gramStart"/>
            <w:r>
              <w:rPr>
                <w:b/>
                <w:sz w:val="22"/>
                <w:szCs w:val="22"/>
              </w:rPr>
              <w:t>D:</w:t>
            </w:r>
            <w:r w:rsidRPr="00D10FAD">
              <w:rPr>
                <w:b/>
                <w:sz w:val="22"/>
                <w:szCs w:val="22"/>
              </w:rPr>
              <w:t>Total</w:t>
            </w:r>
            <w:proofErr w:type="spellEnd"/>
            <w:proofErr w:type="gramEnd"/>
            <w:r w:rsidRPr="00D10FAD">
              <w:rPr>
                <w:b/>
                <w:sz w:val="22"/>
                <w:szCs w:val="22"/>
              </w:rPr>
              <w:t xml:space="preserve"> Cost to business</w:t>
            </w:r>
          </w:p>
        </w:tc>
        <w:tc>
          <w:tcPr>
            <w:tcW w:w="1276" w:type="dxa"/>
            <w:shd w:val="clear" w:color="auto" w:fill="BFBFBF"/>
          </w:tcPr>
          <w:p w14:paraId="7EABA21E" w14:textId="77777777" w:rsidR="00F31B05" w:rsidRPr="00D10FAD" w:rsidRDefault="00F31B05" w:rsidP="00735376">
            <w:pPr>
              <w:autoSpaceDE w:val="0"/>
              <w:autoSpaceDN w:val="0"/>
              <w:adjustRightInd w:val="0"/>
              <w:rPr>
                <w:sz w:val="22"/>
                <w:szCs w:val="22"/>
              </w:rPr>
            </w:pPr>
          </w:p>
        </w:tc>
        <w:tc>
          <w:tcPr>
            <w:tcW w:w="1417" w:type="dxa"/>
            <w:shd w:val="clear" w:color="auto" w:fill="BFBFBF"/>
          </w:tcPr>
          <w:p w14:paraId="19775236" w14:textId="77777777" w:rsidR="00F31B05" w:rsidRPr="00D10FAD" w:rsidRDefault="00F31B05" w:rsidP="00735376">
            <w:pPr>
              <w:autoSpaceDE w:val="0"/>
              <w:autoSpaceDN w:val="0"/>
              <w:adjustRightInd w:val="0"/>
              <w:rPr>
                <w:sz w:val="22"/>
                <w:szCs w:val="22"/>
              </w:rPr>
            </w:pPr>
          </w:p>
        </w:tc>
        <w:tc>
          <w:tcPr>
            <w:tcW w:w="1553" w:type="dxa"/>
            <w:shd w:val="clear" w:color="auto" w:fill="auto"/>
          </w:tcPr>
          <w:p w14:paraId="11999818" w14:textId="3377C451" w:rsidR="00F31B05" w:rsidRDefault="00F31B05" w:rsidP="00735376">
            <w:pPr>
              <w:autoSpaceDE w:val="0"/>
              <w:autoSpaceDN w:val="0"/>
              <w:adjustRightInd w:val="0"/>
              <w:rPr>
                <w:sz w:val="22"/>
                <w:szCs w:val="22"/>
              </w:rPr>
            </w:pPr>
            <w:r>
              <w:rPr>
                <w:sz w:val="22"/>
                <w:szCs w:val="22"/>
              </w:rPr>
              <w:t>316,925</w:t>
            </w:r>
          </w:p>
        </w:tc>
        <w:tc>
          <w:tcPr>
            <w:tcW w:w="1689" w:type="dxa"/>
            <w:shd w:val="clear" w:color="auto" w:fill="auto"/>
          </w:tcPr>
          <w:p w14:paraId="4C6C8638" w14:textId="77777777" w:rsidR="00F31B05" w:rsidRPr="00D10FAD" w:rsidRDefault="00F31B05" w:rsidP="00735376">
            <w:pPr>
              <w:autoSpaceDE w:val="0"/>
              <w:autoSpaceDN w:val="0"/>
              <w:adjustRightInd w:val="0"/>
              <w:rPr>
                <w:sz w:val="22"/>
                <w:szCs w:val="22"/>
              </w:rPr>
            </w:pPr>
          </w:p>
        </w:tc>
      </w:tr>
      <w:tr w:rsidR="00735376" w:rsidRPr="00633593" w14:paraId="485EA985" w14:textId="77777777" w:rsidTr="00735376">
        <w:tc>
          <w:tcPr>
            <w:tcW w:w="1802" w:type="dxa"/>
            <w:vMerge w:val="restart"/>
            <w:shd w:val="clear" w:color="auto" w:fill="auto"/>
          </w:tcPr>
          <w:p w14:paraId="4535CDA3" w14:textId="77777777" w:rsidR="00D42770" w:rsidRPr="00D10FAD" w:rsidRDefault="00D42770" w:rsidP="00735376">
            <w:pPr>
              <w:autoSpaceDE w:val="0"/>
              <w:autoSpaceDN w:val="0"/>
              <w:adjustRightInd w:val="0"/>
              <w:rPr>
                <w:sz w:val="22"/>
                <w:szCs w:val="22"/>
              </w:rPr>
            </w:pPr>
            <w:r w:rsidRPr="00D10FAD">
              <w:rPr>
                <w:sz w:val="22"/>
                <w:szCs w:val="22"/>
              </w:rPr>
              <w:t xml:space="preserve">Ongoing benefit to debtors </w:t>
            </w:r>
          </w:p>
          <w:p w14:paraId="3C1EC1B4" w14:textId="77777777" w:rsidR="00D42770" w:rsidRPr="00D10FAD" w:rsidRDefault="00D42770" w:rsidP="00735376">
            <w:pPr>
              <w:autoSpaceDE w:val="0"/>
              <w:autoSpaceDN w:val="0"/>
              <w:adjustRightInd w:val="0"/>
              <w:rPr>
                <w:sz w:val="22"/>
                <w:szCs w:val="22"/>
              </w:rPr>
            </w:pPr>
            <w:r w:rsidRPr="00D10FAD">
              <w:rPr>
                <w:sz w:val="22"/>
                <w:szCs w:val="22"/>
              </w:rPr>
              <w:t>(non-business impact)</w:t>
            </w:r>
          </w:p>
        </w:tc>
        <w:tc>
          <w:tcPr>
            <w:tcW w:w="2559" w:type="dxa"/>
            <w:shd w:val="clear" w:color="auto" w:fill="auto"/>
          </w:tcPr>
          <w:p w14:paraId="02F9E7EB" w14:textId="7DDBE1FA" w:rsidR="00D42770" w:rsidRPr="00D10FAD" w:rsidRDefault="00F31B05" w:rsidP="00735376">
            <w:pPr>
              <w:autoSpaceDE w:val="0"/>
              <w:autoSpaceDN w:val="0"/>
              <w:adjustRightInd w:val="0"/>
              <w:rPr>
                <w:sz w:val="22"/>
                <w:szCs w:val="22"/>
              </w:rPr>
            </w:pPr>
            <w:proofErr w:type="gramStart"/>
            <w:r>
              <w:rPr>
                <w:sz w:val="22"/>
                <w:szCs w:val="22"/>
              </w:rPr>
              <w:t>G:</w:t>
            </w:r>
            <w:r w:rsidR="00D42770" w:rsidRPr="00D10FAD">
              <w:rPr>
                <w:sz w:val="22"/>
                <w:szCs w:val="22"/>
              </w:rPr>
              <w:t>Benefit</w:t>
            </w:r>
            <w:proofErr w:type="gramEnd"/>
            <w:r w:rsidR="00D42770" w:rsidRPr="00D10FAD">
              <w:rPr>
                <w:sz w:val="22"/>
                <w:szCs w:val="22"/>
              </w:rPr>
              <w:t xml:space="preserve"> to debtors through cost savings</w:t>
            </w:r>
          </w:p>
        </w:tc>
        <w:tc>
          <w:tcPr>
            <w:tcW w:w="1276" w:type="dxa"/>
            <w:shd w:val="clear" w:color="auto" w:fill="auto"/>
          </w:tcPr>
          <w:p w14:paraId="4842C776" w14:textId="77777777" w:rsidR="00D42770" w:rsidRPr="00D10FAD" w:rsidRDefault="00D42770" w:rsidP="00735376">
            <w:pPr>
              <w:autoSpaceDE w:val="0"/>
              <w:autoSpaceDN w:val="0"/>
              <w:adjustRightInd w:val="0"/>
              <w:rPr>
                <w:sz w:val="22"/>
                <w:szCs w:val="22"/>
              </w:rPr>
            </w:pPr>
          </w:p>
        </w:tc>
        <w:tc>
          <w:tcPr>
            <w:tcW w:w="1417" w:type="dxa"/>
            <w:shd w:val="clear" w:color="auto" w:fill="auto"/>
          </w:tcPr>
          <w:p w14:paraId="44EAD056" w14:textId="77777777" w:rsidR="00D42770" w:rsidRPr="00D10FAD" w:rsidRDefault="00D42770" w:rsidP="00735376">
            <w:pPr>
              <w:autoSpaceDE w:val="0"/>
              <w:autoSpaceDN w:val="0"/>
              <w:adjustRightInd w:val="0"/>
              <w:rPr>
                <w:sz w:val="22"/>
                <w:szCs w:val="22"/>
              </w:rPr>
            </w:pPr>
          </w:p>
        </w:tc>
        <w:tc>
          <w:tcPr>
            <w:tcW w:w="1553" w:type="dxa"/>
            <w:shd w:val="clear" w:color="auto" w:fill="auto"/>
          </w:tcPr>
          <w:p w14:paraId="7F47553F" w14:textId="7816CA0F" w:rsidR="00D42770" w:rsidRPr="00D10FAD" w:rsidRDefault="00572544" w:rsidP="00735376">
            <w:pPr>
              <w:autoSpaceDE w:val="0"/>
              <w:autoSpaceDN w:val="0"/>
              <w:adjustRightInd w:val="0"/>
              <w:rPr>
                <w:sz w:val="22"/>
                <w:szCs w:val="22"/>
              </w:rPr>
            </w:pPr>
            <w:r>
              <w:rPr>
                <w:sz w:val="22"/>
                <w:szCs w:val="22"/>
              </w:rPr>
              <w:t>7</w:t>
            </w:r>
            <w:r w:rsidR="00F244CE" w:rsidRPr="00D10FAD">
              <w:rPr>
                <w:sz w:val="22"/>
                <w:szCs w:val="22"/>
              </w:rPr>
              <w:t>,</w:t>
            </w:r>
            <w:r>
              <w:rPr>
                <w:sz w:val="22"/>
                <w:szCs w:val="22"/>
              </w:rPr>
              <w:t>032</w:t>
            </w:r>
          </w:p>
        </w:tc>
        <w:tc>
          <w:tcPr>
            <w:tcW w:w="1689" w:type="dxa"/>
            <w:shd w:val="clear" w:color="auto" w:fill="auto"/>
          </w:tcPr>
          <w:p w14:paraId="6E9E4234" w14:textId="77777777" w:rsidR="00D42770" w:rsidRPr="00D10FAD" w:rsidRDefault="004216F4" w:rsidP="00735376">
            <w:pPr>
              <w:autoSpaceDE w:val="0"/>
              <w:autoSpaceDN w:val="0"/>
              <w:adjustRightInd w:val="0"/>
              <w:rPr>
                <w:sz w:val="22"/>
                <w:szCs w:val="22"/>
              </w:rPr>
            </w:pPr>
            <w:r w:rsidRPr="00D10FAD">
              <w:rPr>
                <w:sz w:val="22"/>
                <w:szCs w:val="22"/>
              </w:rPr>
              <w:t>No</w:t>
            </w:r>
          </w:p>
        </w:tc>
      </w:tr>
      <w:tr w:rsidR="00735376" w:rsidRPr="00633593" w14:paraId="0E569B92" w14:textId="77777777" w:rsidTr="00735376">
        <w:tc>
          <w:tcPr>
            <w:tcW w:w="1802" w:type="dxa"/>
            <w:vMerge/>
            <w:shd w:val="clear" w:color="auto" w:fill="auto"/>
          </w:tcPr>
          <w:p w14:paraId="729A2B0E" w14:textId="77777777" w:rsidR="00D42770" w:rsidRPr="00D10FAD" w:rsidRDefault="00D42770" w:rsidP="00735376">
            <w:pPr>
              <w:autoSpaceDE w:val="0"/>
              <w:autoSpaceDN w:val="0"/>
              <w:adjustRightInd w:val="0"/>
              <w:rPr>
                <w:sz w:val="22"/>
                <w:szCs w:val="22"/>
              </w:rPr>
            </w:pPr>
          </w:p>
        </w:tc>
        <w:tc>
          <w:tcPr>
            <w:tcW w:w="2559" w:type="dxa"/>
            <w:shd w:val="clear" w:color="auto" w:fill="auto"/>
          </w:tcPr>
          <w:p w14:paraId="1F72ACD4" w14:textId="5639732D" w:rsidR="00D42770" w:rsidRPr="00D10FAD" w:rsidRDefault="00F31B05" w:rsidP="00735376">
            <w:pPr>
              <w:autoSpaceDE w:val="0"/>
              <w:autoSpaceDN w:val="0"/>
              <w:adjustRightInd w:val="0"/>
              <w:rPr>
                <w:sz w:val="22"/>
                <w:szCs w:val="22"/>
              </w:rPr>
            </w:pPr>
            <w:r>
              <w:rPr>
                <w:sz w:val="22"/>
                <w:szCs w:val="22"/>
              </w:rPr>
              <w:t xml:space="preserve">H=C+D+E </w:t>
            </w:r>
            <w:r w:rsidR="00D42770" w:rsidRPr="00D10FAD">
              <w:rPr>
                <w:sz w:val="22"/>
                <w:szCs w:val="22"/>
              </w:rPr>
              <w:t>Benefit to debtors from retaining repayments</w:t>
            </w:r>
          </w:p>
        </w:tc>
        <w:tc>
          <w:tcPr>
            <w:tcW w:w="1276" w:type="dxa"/>
            <w:shd w:val="clear" w:color="auto" w:fill="auto"/>
          </w:tcPr>
          <w:p w14:paraId="0D5CF47F" w14:textId="77777777" w:rsidR="00D42770" w:rsidRPr="00D10FAD" w:rsidRDefault="00D42770" w:rsidP="00735376">
            <w:pPr>
              <w:autoSpaceDE w:val="0"/>
              <w:autoSpaceDN w:val="0"/>
              <w:adjustRightInd w:val="0"/>
              <w:rPr>
                <w:sz w:val="22"/>
                <w:szCs w:val="22"/>
              </w:rPr>
            </w:pPr>
          </w:p>
        </w:tc>
        <w:tc>
          <w:tcPr>
            <w:tcW w:w="1417" w:type="dxa"/>
            <w:shd w:val="clear" w:color="auto" w:fill="auto"/>
          </w:tcPr>
          <w:p w14:paraId="421C5772" w14:textId="77777777" w:rsidR="00D42770" w:rsidRPr="00D10FAD" w:rsidRDefault="00D42770" w:rsidP="00735376">
            <w:pPr>
              <w:autoSpaceDE w:val="0"/>
              <w:autoSpaceDN w:val="0"/>
              <w:adjustRightInd w:val="0"/>
              <w:rPr>
                <w:sz w:val="22"/>
                <w:szCs w:val="22"/>
              </w:rPr>
            </w:pPr>
          </w:p>
        </w:tc>
        <w:tc>
          <w:tcPr>
            <w:tcW w:w="1553" w:type="dxa"/>
            <w:shd w:val="clear" w:color="auto" w:fill="auto"/>
          </w:tcPr>
          <w:p w14:paraId="545389CD" w14:textId="3C267FA2" w:rsidR="00D42770" w:rsidRPr="00D10FAD" w:rsidRDefault="00A52C91" w:rsidP="00735376">
            <w:pPr>
              <w:autoSpaceDE w:val="0"/>
              <w:autoSpaceDN w:val="0"/>
              <w:adjustRightInd w:val="0"/>
              <w:rPr>
                <w:sz w:val="22"/>
                <w:szCs w:val="22"/>
              </w:rPr>
            </w:pPr>
            <w:r>
              <w:rPr>
                <w:sz w:val="22"/>
                <w:szCs w:val="22"/>
              </w:rPr>
              <w:t>26</w:t>
            </w:r>
            <w:r w:rsidR="008E05FC" w:rsidRPr="00D10FAD">
              <w:rPr>
                <w:sz w:val="22"/>
                <w:szCs w:val="22"/>
              </w:rPr>
              <w:t>1,36</w:t>
            </w:r>
            <w:r w:rsidR="00A67B0F">
              <w:rPr>
                <w:sz w:val="22"/>
                <w:szCs w:val="22"/>
              </w:rPr>
              <w:t>1</w:t>
            </w:r>
          </w:p>
        </w:tc>
        <w:tc>
          <w:tcPr>
            <w:tcW w:w="1689" w:type="dxa"/>
            <w:shd w:val="clear" w:color="auto" w:fill="auto"/>
          </w:tcPr>
          <w:p w14:paraId="23DA7210" w14:textId="77777777" w:rsidR="00D42770" w:rsidRPr="00D10FAD" w:rsidRDefault="004216F4" w:rsidP="00735376">
            <w:pPr>
              <w:autoSpaceDE w:val="0"/>
              <w:autoSpaceDN w:val="0"/>
              <w:adjustRightInd w:val="0"/>
              <w:rPr>
                <w:sz w:val="22"/>
                <w:szCs w:val="22"/>
              </w:rPr>
            </w:pPr>
            <w:r w:rsidRPr="00D10FAD">
              <w:rPr>
                <w:sz w:val="22"/>
                <w:szCs w:val="22"/>
              </w:rPr>
              <w:t>No</w:t>
            </w:r>
          </w:p>
        </w:tc>
      </w:tr>
      <w:tr w:rsidR="00735376" w:rsidRPr="00633593" w14:paraId="3863A390" w14:textId="77777777" w:rsidTr="00735376">
        <w:tc>
          <w:tcPr>
            <w:tcW w:w="1802" w:type="dxa"/>
            <w:shd w:val="clear" w:color="auto" w:fill="auto"/>
          </w:tcPr>
          <w:p w14:paraId="2B9AD5A8" w14:textId="77777777" w:rsidR="00425FCB" w:rsidRPr="00D10FAD" w:rsidRDefault="00D42770" w:rsidP="00735376">
            <w:pPr>
              <w:autoSpaceDE w:val="0"/>
              <w:autoSpaceDN w:val="0"/>
              <w:adjustRightInd w:val="0"/>
              <w:rPr>
                <w:sz w:val="22"/>
                <w:szCs w:val="22"/>
              </w:rPr>
            </w:pPr>
            <w:r w:rsidRPr="00D10FAD">
              <w:rPr>
                <w:sz w:val="22"/>
                <w:szCs w:val="22"/>
              </w:rPr>
              <w:t>Non-monetised benefits</w:t>
            </w:r>
          </w:p>
        </w:tc>
        <w:tc>
          <w:tcPr>
            <w:tcW w:w="2559" w:type="dxa"/>
            <w:shd w:val="clear" w:color="auto" w:fill="auto"/>
          </w:tcPr>
          <w:p w14:paraId="6E03488C" w14:textId="45E3CDAB" w:rsidR="00425FCB" w:rsidRPr="00D10FAD" w:rsidRDefault="00F31B05" w:rsidP="00735376">
            <w:pPr>
              <w:autoSpaceDE w:val="0"/>
              <w:autoSpaceDN w:val="0"/>
              <w:adjustRightInd w:val="0"/>
              <w:rPr>
                <w:sz w:val="22"/>
                <w:szCs w:val="22"/>
              </w:rPr>
            </w:pPr>
            <w:proofErr w:type="gramStart"/>
            <w:r>
              <w:rPr>
                <w:sz w:val="22"/>
                <w:szCs w:val="22"/>
              </w:rPr>
              <w:t>I:</w:t>
            </w:r>
            <w:r w:rsidR="00D42770" w:rsidRPr="00D10FAD">
              <w:rPr>
                <w:sz w:val="22"/>
                <w:szCs w:val="22"/>
              </w:rPr>
              <w:t>Benefits</w:t>
            </w:r>
            <w:proofErr w:type="gramEnd"/>
            <w:r w:rsidR="00D42770" w:rsidRPr="00D10FAD">
              <w:rPr>
                <w:sz w:val="22"/>
                <w:szCs w:val="22"/>
              </w:rPr>
              <w:t xml:space="preserve"> to creditors from reduced administration and recovery costs</w:t>
            </w:r>
          </w:p>
        </w:tc>
        <w:tc>
          <w:tcPr>
            <w:tcW w:w="1276" w:type="dxa"/>
            <w:shd w:val="clear" w:color="auto" w:fill="BFBFBF"/>
          </w:tcPr>
          <w:p w14:paraId="0F031DBF" w14:textId="77777777" w:rsidR="00425FCB" w:rsidRPr="00D10FAD" w:rsidRDefault="00425FCB" w:rsidP="00735376">
            <w:pPr>
              <w:autoSpaceDE w:val="0"/>
              <w:autoSpaceDN w:val="0"/>
              <w:adjustRightInd w:val="0"/>
              <w:rPr>
                <w:sz w:val="22"/>
                <w:szCs w:val="22"/>
              </w:rPr>
            </w:pPr>
          </w:p>
        </w:tc>
        <w:tc>
          <w:tcPr>
            <w:tcW w:w="1417" w:type="dxa"/>
            <w:shd w:val="clear" w:color="auto" w:fill="BFBFBF"/>
          </w:tcPr>
          <w:p w14:paraId="0598D7AC" w14:textId="77777777" w:rsidR="00425FCB" w:rsidRPr="00D10FAD" w:rsidRDefault="00425FCB" w:rsidP="00735376">
            <w:pPr>
              <w:autoSpaceDE w:val="0"/>
              <w:autoSpaceDN w:val="0"/>
              <w:adjustRightInd w:val="0"/>
              <w:rPr>
                <w:sz w:val="22"/>
                <w:szCs w:val="22"/>
              </w:rPr>
            </w:pPr>
          </w:p>
        </w:tc>
        <w:tc>
          <w:tcPr>
            <w:tcW w:w="1553" w:type="dxa"/>
            <w:shd w:val="clear" w:color="auto" w:fill="BFBFBF"/>
          </w:tcPr>
          <w:p w14:paraId="53968633" w14:textId="77777777" w:rsidR="00425FCB" w:rsidRPr="00D10FAD" w:rsidRDefault="00425FCB" w:rsidP="00735376">
            <w:pPr>
              <w:autoSpaceDE w:val="0"/>
              <w:autoSpaceDN w:val="0"/>
              <w:adjustRightInd w:val="0"/>
              <w:rPr>
                <w:sz w:val="22"/>
                <w:szCs w:val="22"/>
              </w:rPr>
            </w:pPr>
          </w:p>
        </w:tc>
        <w:tc>
          <w:tcPr>
            <w:tcW w:w="1689" w:type="dxa"/>
            <w:shd w:val="clear" w:color="auto" w:fill="BFBFBF"/>
          </w:tcPr>
          <w:p w14:paraId="50A72C84" w14:textId="77777777" w:rsidR="00425FCB" w:rsidRPr="00D10FAD" w:rsidRDefault="00425FCB" w:rsidP="00735376">
            <w:pPr>
              <w:autoSpaceDE w:val="0"/>
              <w:autoSpaceDN w:val="0"/>
              <w:adjustRightInd w:val="0"/>
              <w:rPr>
                <w:sz w:val="22"/>
                <w:szCs w:val="22"/>
              </w:rPr>
            </w:pPr>
          </w:p>
        </w:tc>
      </w:tr>
      <w:tr w:rsidR="00735376" w:rsidRPr="00633593" w14:paraId="3404C723" w14:textId="77777777" w:rsidTr="00735376">
        <w:tc>
          <w:tcPr>
            <w:tcW w:w="1802" w:type="dxa"/>
            <w:shd w:val="clear" w:color="auto" w:fill="auto"/>
          </w:tcPr>
          <w:p w14:paraId="61869C75" w14:textId="77777777" w:rsidR="00D42770" w:rsidRPr="00D10FAD" w:rsidRDefault="00D42770" w:rsidP="00735376">
            <w:pPr>
              <w:autoSpaceDE w:val="0"/>
              <w:autoSpaceDN w:val="0"/>
              <w:adjustRightInd w:val="0"/>
              <w:rPr>
                <w:sz w:val="22"/>
                <w:szCs w:val="22"/>
              </w:rPr>
            </w:pPr>
            <w:r w:rsidRPr="00D10FAD">
              <w:rPr>
                <w:sz w:val="22"/>
                <w:szCs w:val="22"/>
              </w:rPr>
              <w:t>Non-monetised benefits (non-business impact)</w:t>
            </w:r>
          </w:p>
        </w:tc>
        <w:tc>
          <w:tcPr>
            <w:tcW w:w="2559" w:type="dxa"/>
            <w:shd w:val="clear" w:color="auto" w:fill="auto"/>
          </w:tcPr>
          <w:p w14:paraId="042D29D8" w14:textId="592AF1E3" w:rsidR="00D42770" w:rsidRPr="00D10FAD" w:rsidRDefault="00F31B05" w:rsidP="00735376">
            <w:pPr>
              <w:autoSpaceDE w:val="0"/>
              <w:autoSpaceDN w:val="0"/>
              <w:adjustRightInd w:val="0"/>
              <w:rPr>
                <w:sz w:val="22"/>
                <w:szCs w:val="22"/>
              </w:rPr>
            </w:pPr>
            <w:proofErr w:type="gramStart"/>
            <w:r>
              <w:rPr>
                <w:sz w:val="22"/>
                <w:szCs w:val="22"/>
              </w:rPr>
              <w:t>J:</w:t>
            </w:r>
            <w:r w:rsidR="00D42770" w:rsidRPr="00D10FAD">
              <w:rPr>
                <w:sz w:val="22"/>
                <w:szCs w:val="22"/>
              </w:rPr>
              <w:t>Benefit</w:t>
            </w:r>
            <w:proofErr w:type="gramEnd"/>
            <w:r w:rsidR="00D42770" w:rsidRPr="00D10FAD">
              <w:rPr>
                <w:sz w:val="22"/>
                <w:szCs w:val="22"/>
              </w:rPr>
              <w:t xml:space="preserve"> to debtors from improved social outcomes</w:t>
            </w:r>
          </w:p>
        </w:tc>
        <w:tc>
          <w:tcPr>
            <w:tcW w:w="1276" w:type="dxa"/>
            <w:shd w:val="clear" w:color="auto" w:fill="BFBFBF"/>
          </w:tcPr>
          <w:p w14:paraId="53AB082D" w14:textId="77777777" w:rsidR="00D42770" w:rsidRPr="00D10FAD" w:rsidRDefault="00D42770" w:rsidP="00735376">
            <w:pPr>
              <w:autoSpaceDE w:val="0"/>
              <w:autoSpaceDN w:val="0"/>
              <w:adjustRightInd w:val="0"/>
              <w:rPr>
                <w:sz w:val="22"/>
                <w:szCs w:val="22"/>
              </w:rPr>
            </w:pPr>
          </w:p>
        </w:tc>
        <w:tc>
          <w:tcPr>
            <w:tcW w:w="1417" w:type="dxa"/>
            <w:shd w:val="clear" w:color="auto" w:fill="BFBFBF"/>
          </w:tcPr>
          <w:p w14:paraId="636595D7" w14:textId="77777777" w:rsidR="00D42770" w:rsidRPr="00D10FAD" w:rsidRDefault="00D42770" w:rsidP="00735376">
            <w:pPr>
              <w:autoSpaceDE w:val="0"/>
              <w:autoSpaceDN w:val="0"/>
              <w:adjustRightInd w:val="0"/>
              <w:rPr>
                <w:sz w:val="22"/>
                <w:szCs w:val="22"/>
              </w:rPr>
            </w:pPr>
          </w:p>
        </w:tc>
        <w:tc>
          <w:tcPr>
            <w:tcW w:w="1553" w:type="dxa"/>
            <w:shd w:val="clear" w:color="auto" w:fill="BFBFBF"/>
          </w:tcPr>
          <w:p w14:paraId="4B323DBC" w14:textId="77777777" w:rsidR="00D42770" w:rsidRPr="00D10FAD" w:rsidRDefault="00D42770" w:rsidP="00735376">
            <w:pPr>
              <w:autoSpaceDE w:val="0"/>
              <w:autoSpaceDN w:val="0"/>
              <w:adjustRightInd w:val="0"/>
              <w:rPr>
                <w:sz w:val="22"/>
                <w:szCs w:val="22"/>
              </w:rPr>
            </w:pPr>
          </w:p>
        </w:tc>
        <w:tc>
          <w:tcPr>
            <w:tcW w:w="1689" w:type="dxa"/>
            <w:shd w:val="clear" w:color="auto" w:fill="BFBFBF"/>
          </w:tcPr>
          <w:p w14:paraId="61772CF6" w14:textId="77777777" w:rsidR="00D42770" w:rsidRPr="00D10FAD" w:rsidRDefault="00D42770" w:rsidP="00735376">
            <w:pPr>
              <w:autoSpaceDE w:val="0"/>
              <w:autoSpaceDN w:val="0"/>
              <w:adjustRightInd w:val="0"/>
              <w:rPr>
                <w:sz w:val="22"/>
                <w:szCs w:val="22"/>
              </w:rPr>
            </w:pPr>
          </w:p>
        </w:tc>
      </w:tr>
      <w:tr w:rsidR="00735376" w:rsidRPr="00633593" w14:paraId="2889154A" w14:textId="77777777" w:rsidTr="00735376">
        <w:tc>
          <w:tcPr>
            <w:tcW w:w="4361" w:type="dxa"/>
            <w:gridSpan w:val="2"/>
            <w:shd w:val="clear" w:color="auto" w:fill="auto"/>
          </w:tcPr>
          <w:p w14:paraId="36586787" w14:textId="790A3AB9" w:rsidR="00D42770" w:rsidRPr="00D10FAD" w:rsidRDefault="00F31B05" w:rsidP="00735376">
            <w:pPr>
              <w:autoSpaceDE w:val="0"/>
              <w:autoSpaceDN w:val="0"/>
              <w:adjustRightInd w:val="0"/>
              <w:rPr>
                <w:sz w:val="22"/>
                <w:szCs w:val="22"/>
              </w:rPr>
            </w:pPr>
            <w:proofErr w:type="gramStart"/>
            <w:r>
              <w:rPr>
                <w:sz w:val="22"/>
                <w:szCs w:val="22"/>
              </w:rPr>
              <w:t>K:</w:t>
            </w:r>
            <w:r w:rsidR="00D42770" w:rsidRPr="00D10FAD">
              <w:rPr>
                <w:sz w:val="22"/>
                <w:szCs w:val="22"/>
              </w:rPr>
              <w:t>Net</w:t>
            </w:r>
            <w:proofErr w:type="gramEnd"/>
            <w:r w:rsidR="00D42770" w:rsidRPr="00D10FAD">
              <w:rPr>
                <w:sz w:val="22"/>
                <w:szCs w:val="22"/>
              </w:rPr>
              <w:t xml:space="preserve"> benefit to the Insolvency Service</w:t>
            </w:r>
          </w:p>
        </w:tc>
        <w:tc>
          <w:tcPr>
            <w:tcW w:w="1276" w:type="dxa"/>
            <w:shd w:val="clear" w:color="auto" w:fill="BFBFBF"/>
          </w:tcPr>
          <w:p w14:paraId="78886966" w14:textId="77777777" w:rsidR="00D42770" w:rsidRPr="00D10FAD" w:rsidRDefault="00D42770" w:rsidP="00735376">
            <w:pPr>
              <w:autoSpaceDE w:val="0"/>
              <w:autoSpaceDN w:val="0"/>
              <w:adjustRightInd w:val="0"/>
              <w:rPr>
                <w:sz w:val="22"/>
                <w:szCs w:val="22"/>
              </w:rPr>
            </w:pPr>
          </w:p>
        </w:tc>
        <w:tc>
          <w:tcPr>
            <w:tcW w:w="1417" w:type="dxa"/>
            <w:shd w:val="clear" w:color="auto" w:fill="BFBFBF"/>
          </w:tcPr>
          <w:p w14:paraId="24407993" w14:textId="77777777" w:rsidR="00D42770" w:rsidRPr="00D10FAD" w:rsidRDefault="00D42770" w:rsidP="00735376">
            <w:pPr>
              <w:autoSpaceDE w:val="0"/>
              <w:autoSpaceDN w:val="0"/>
              <w:adjustRightInd w:val="0"/>
              <w:rPr>
                <w:sz w:val="22"/>
                <w:szCs w:val="22"/>
              </w:rPr>
            </w:pPr>
          </w:p>
        </w:tc>
        <w:tc>
          <w:tcPr>
            <w:tcW w:w="1553" w:type="dxa"/>
            <w:shd w:val="clear" w:color="auto" w:fill="auto"/>
          </w:tcPr>
          <w:p w14:paraId="5884B845" w14:textId="69040532" w:rsidR="00D42770" w:rsidRPr="00D10FAD" w:rsidRDefault="00DB5900" w:rsidP="00735376">
            <w:pPr>
              <w:autoSpaceDE w:val="0"/>
              <w:autoSpaceDN w:val="0"/>
              <w:adjustRightInd w:val="0"/>
              <w:rPr>
                <w:sz w:val="22"/>
                <w:szCs w:val="22"/>
              </w:rPr>
            </w:pPr>
            <w:r w:rsidRPr="00D10FAD">
              <w:rPr>
                <w:sz w:val="22"/>
                <w:szCs w:val="22"/>
              </w:rPr>
              <w:t>4</w:t>
            </w:r>
            <w:r w:rsidR="00EE62FF">
              <w:rPr>
                <w:sz w:val="22"/>
                <w:szCs w:val="22"/>
              </w:rPr>
              <w:t>5</w:t>
            </w:r>
            <w:r w:rsidRPr="00D10FAD">
              <w:rPr>
                <w:sz w:val="22"/>
                <w:szCs w:val="22"/>
              </w:rPr>
              <w:t>,</w:t>
            </w:r>
            <w:r w:rsidR="00F11CB2">
              <w:rPr>
                <w:sz w:val="22"/>
                <w:szCs w:val="22"/>
              </w:rPr>
              <w:t>0</w:t>
            </w:r>
            <w:r w:rsidR="00EE62FF">
              <w:rPr>
                <w:sz w:val="22"/>
                <w:szCs w:val="22"/>
              </w:rPr>
              <w:t>79</w:t>
            </w:r>
          </w:p>
        </w:tc>
        <w:tc>
          <w:tcPr>
            <w:tcW w:w="1689" w:type="dxa"/>
            <w:shd w:val="clear" w:color="auto" w:fill="auto"/>
          </w:tcPr>
          <w:p w14:paraId="769E0DEC" w14:textId="77777777" w:rsidR="00D42770" w:rsidRPr="00D10FAD" w:rsidRDefault="00C63BAA" w:rsidP="00735376">
            <w:pPr>
              <w:autoSpaceDE w:val="0"/>
              <w:autoSpaceDN w:val="0"/>
              <w:adjustRightInd w:val="0"/>
              <w:rPr>
                <w:sz w:val="22"/>
                <w:szCs w:val="22"/>
              </w:rPr>
            </w:pPr>
            <w:r w:rsidRPr="00D10FAD">
              <w:rPr>
                <w:sz w:val="22"/>
                <w:szCs w:val="22"/>
              </w:rPr>
              <w:t>No</w:t>
            </w:r>
          </w:p>
        </w:tc>
      </w:tr>
      <w:tr w:rsidR="00735376" w:rsidRPr="00633593" w14:paraId="63270531" w14:textId="77777777" w:rsidTr="00735376">
        <w:tc>
          <w:tcPr>
            <w:tcW w:w="4361" w:type="dxa"/>
            <w:gridSpan w:val="2"/>
            <w:shd w:val="clear" w:color="auto" w:fill="auto"/>
          </w:tcPr>
          <w:p w14:paraId="2E0289C8" w14:textId="61510037" w:rsidR="00D42770" w:rsidRPr="00D10FAD" w:rsidRDefault="00F31B05" w:rsidP="00735376">
            <w:pPr>
              <w:autoSpaceDE w:val="0"/>
              <w:autoSpaceDN w:val="0"/>
              <w:adjustRightInd w:val="0"/>
              <w:rPr>
                <w:b/>
                <w:sz w:val="22"/>
                <w:szCs w:val="22"/>
              </w:rPr>
            </w:pPr>
            <w:proofErr w:type="gramStart"/>
            <w:r>
              <w:rPr>
                <w:b/>
                <w:sz w:val="22"/>
                <w:szCs w:val="22"/>
              </w:rPr>
              <w:t>L:</w:t>
            </w:r>
            <w:r w:rsidR="00D42770" w:rsidRPr="00D10FAD">
              <w:rPr>
                <w:b/>
                <w:sz w:val="22"/>
                <w:szCs w:val="22"/>
              </w:rPr>
              <w:t>Total</w:t>
            </w:r>
            <w:proofErr w:type="gramEnd"/>
            <w:r w:rsidR="00D42770" w:rsidRPr="00D10FAD">
              <w:rPr>
                <w:b/>
                <w:sz w:val="22"/>
                <w:szCs w:val="22"/>
              </w:rPr>
              <w:t xml:space="preserve"> benefit to business </w:t>
            </w:r>
          </w:p>
        </w:tc>
        <w:tc>
          <w:tcPr>
            <w:tcW w:w="1276" w:type="dxa"/>
            <w:shd w:val="clear" w:color="auto" w:fill="BFBFBF"/>
          </w:tcPr>
          <w:p w14:paraId="326C8597" w14:textId="77777777" w:rsidR="00D42770" w:rsidRPr="00D10FAD" w:rsidRDefault="00D42770" w:rsidP="00735376">
            <w:pPr>
              <w:autoSpaceDE w:val="0"/>
              <w:autoSpaceDN w:val="0"/>
              <w:adjustRightInd w:val="0"/>
              <w:rPr>
                <w:sz w:val="22"/>
                <w:szCs w:val="22"/>
              </w:rPr>
            </w:pPr>
          </w:p>
        </w:tc>
        <w:tc>
          <w:tcPr>
            <w:tcW w:w="1417" w:type="dxa"/>
            <w:shd w:val="clear" w:color="auto" w:fill="BFBFBF"/>
          </w:tcPr>
          <w:p w14:paraId="084DB3B9" w14:textId="77777777" w:rsidR="00D42770" w:rsidRPr="00D10FAD" w:rsidRDefault="00D42770" w:rsidP="00735376">
            <w:pPr>
              <w:autoSpaceDE w:val="0"/>
              <w:autoSpaceDN w:val="0"/>
              <w:adjustRightInd w:val="0"/>
              <w:rPr>
                <w:sz w:val="22"/>
                <w:szCs w:val="22"/>
              </w:rPr>
            </w:pPr>
          </w:p>
        </w:tc>
        <w:tc>
          <w:tcPr>
            <w:tcW w:w="1553" w:type="dxa"/>
            <w:shd w:val="clear" w:color="auto" w:fill="auto"/>
          </w:tcPr>
          <w:p w14:paraId="27F466B9" w14:textId="06368E4F" w:rsidR="00D42770" w:rsidRPr="00D10FAD" w:rsidRDefault="0037692C" w:rsidP="00735376">
            <w:pPr>
              <w:autoSpaceDE w:val="0"/>
              <w:autoSpaceDN w:val="0"/>
              <w:adjustRightInd w:val="0"/>
              <w:rPr>
                <w:sz w:val="22"/>
                <w:szCs w:val="22"/>
              </w:rPr>
            </w:pPr>
            <w:r>
              <w:rPr>
                <w:sz w:val="22"/>
                <w:szCs w:val="22"/>
              </w:rPr>
              <w:t>0</w:t>
            </w:r>
          </w:p>
        </w:tc>
        <w:tc>
          <w:tcPr>
            <w:tcW w:w="1689" w:type="dxa"/>
            <w:shd w:val="clear" w:color="auto" w:fill="auto"/>
          </w:tcPr>
          <w:p w14:paraId="6615889E" w14:textId="77777777" w:rsidR="00D42770" w:rsidRPr="00D10FAD" w:rsidRDefault="00D42770" w:rsidP="00735376">
            <w:pPr>
              <w:autoSpaceDE w:val="0"/>
              <w:autoSpaceDN w:val="0"/>
              <w:adjustRightInd w:val="0"/>
              <w:rPr>
                <w:sz w:val="22"/>
                <w:szCs w:val="22"/>
              </w:rPr>
            </w:pPr>
          </w:p>
        </w:tc>
      </w:tr>
    </w:tbl>
    <w:p w14:paraId="6AFF02F0" w14:textId="77777777" w:rsidR="00425FCB" w:rsidRPr="00D10FAD" w:rsidRDefault="00425FCB" w:rsidP="00D10FAD">
      <w:pPr>
        <w:autoSpaceDE w:val="0"/>
        <w:autoSpaceDN w:val="0"/>
        <w:adjustRightInd w:val="0"/>
        <w:spacing w:after="120"/>
        <w:rPr>
          <w:sz w:val="22"/>
          <w:szCs w:val="22"/>
        </w:rPr>
      </w:pPr>
    </w:p>
    <w:p w14:paraId="119B695C" w14:textId="77777777" w:rsidR="00052921" w:rsidRPr="00D10FAD" w:rsidRDefault="00052921" w:rsidP="00D10FAD">
      <w:pPr>
        <w:autoSpaceDE w:val="0"/>
        <w:autoSpaceDN w:val="0"/>
        <w:adjustRightInd w:val="0"/>
        <w:spacing w:after="120"/>
        <w:rPr>
          <w:sz w:val="22"/>
          <w:szCs w:val="22"/>
          <w:u w:val="single"/>
        </w:rPr>
      </w:pPr>
      <w:r w:rsidRPr="00D10FAD">
        <w:rPr>
          <w:sz w:val="22"/>
          <w:szCs w:val="22"/>
          <w:u w:val="single"/>
        </w:rPr>
        <w:t>Monetised costs</w:t>
      </w:r>
    </w:p>
    <w:p w14:paraId="490B99DE" w14:textId="77777777" w:rsidR="00052921" w:rsidRPr="00D10FAD" w:rsidRDefault="00052921" w:rsidP="00D10FAD">
      <w:pPr>
        <w:autoSpaceDE w:val="0"/>
        <w:autoSpaceDN w:val="0"/>
        <w:adjustRightInd w:val="0"/>
        <w:spacing w:after="120"/>
        <w:rPr>
          <w:sz w:val="22"/>
          <w:szCs w:val="22"/>
        </w:rPr>
      </w:pPr>
      <w:r w:rsidRPr="00D10FAD">
        <w:rPr>
          <w:sz w:val="22"/>
          <w:szCs w:val="22"/>
        </w:rPr>
        <w:t xml:space="preserve">Cost to intermediaries </w:t>
      </w:r>
    </w:p>
    <w:p w14:paraId="642836CC" w14:textId="7C236440" w:rsidR="00052921" w:rsidRPr="00D10FAD" w:rsidRDefault="00052921" w:rsidP="00D10FAD">
      <w:pPr>
        <w:autoSpaceDE w:val="0"/>
        <w:autoSpaceDN w:val="0"/>
        <w:adjustRightInd w:val="0"/>
        <w:spacing w:after="120"/>
        <w:rPr>
          <w:sz w:val="22"/>
          <w:szCs w:val="22"/>
        </w:rPr>
      </w:pPr>
      <w:r w:rsidRPr="00D10FAD">
        <w:rPr>
          <w:sz w:val="22"/>
          <w:szCs w:val="22"/>
        </w:rPr>
        <w:t>6</w:t>
      </w:r>
      <w:r w:rsidR="00F17A98">
        <w:rPr>
          <w:sz w:val="22"/>
          <w:szCs w:val="22"/>
        </w:rPr>
        <w:t>6</w:t>
      </w:r>
      <w:r w:rsidRPr="00D10FAD">
        <w:rPr>
          <w:sz w:val="22"/>
          <w:szCs w:val="22"/>
        </w:rPr>
        <w:t xml:space="preserve">. DRO applications are made through authorised intermediaries. These are highly trained debt advisors funded and authorised by competent authorities. </w:t>
      </w:r>
    </w:p>
    <w:p w14:paraId="0AB0D0C9" w14:textId="7DE53AB7" w:rsidR="00895704" w:rsidRPr="00D10FAD" w:rsidRDefault="00052921" w:rsidP="00D10FAD">
      <w:pPr>
        <w:autoSpaceDE w:val="0"/>
        <w:autoSpaceDN w:val="0"/>
        <w:adjustRightInd w:val="0"/>
        <w:spacing w:after="120"/>
        <w:rPr>
          <w:sz w:val="22"/>
          <w:szCs w:val="22"/>
        </w:rPr>
      </w:pPr>
      <w:r w:rsidRPr="00D10FAD">
        <w:rPr>
          <w:sz w:val="22"/>
          <w:szCs w:val="22"/>
        </w:rPr>
        <w:t>6</w:t>
      </w:r>
      <w:r w:rsidR="00F17A98">
        <w:rPr>
          <w:sz w:val="22"/>
          <w:szCs w:val="22"/>
        </w:rPr>
        <w:t>7</w:t>
      </w:r>
      <w:r w:rsidRPr="00D10FAD">
        <w:rPr>
          <w:sz w:val="22"/>
          <w:szCs w:val="22"/>
        </w:rPr>
        <w:t xml:space="preserve">. Debt advice can be provided through several channels but only intermediaries working for one of the competent authorities recognised by the </w:t>
      </w:r>
      <w:r w:rsidR="00895704" w:rsidRPr="00D10FAD">
        <w:rPr>
          <w:sz w:val="22"/>
          <w:szCs w:val="22"/>
        </w:rPr>
        <w:t xml:space="preserve">Department for the Economy </w:t>
      </w:r>
      <w:r w:rsidRPr="00D10FAD">
        <w:rPr>
          <w:sz w:val="22"/>
          <w:szCs w:val="22"/>
        </w:rPr>
        <w:t xml:space="preserve">are authorised to process DRO applications. </w:t>
      </w:r>
    </w:p>
    <w:p w14:paraId="59079A8D" w14:textId="55264040" w:rsidR="00895704" w:rsidRPr="00D10FAD" w:rsidRDefault="00895704" w:rsidP="00D10FAD">
      <w:pPr>
        <w:autoSpaceDE w:val="0"/>
        <w:autoSpaceDN w:val="0"/>
        <w:adjustRightInd w:val="0"/>
        <w:spacing w:after="120"/>
        <w:rPr>
          <w:sz w:val="22"/>
          <w:szCs w:val="22"/>
        </w:rPr>
      </w:pPr>
      <w:r w:rsidRPr="00D10FAD">
        <w:rPr>
          <w:sz w:val="22"/>
          <w:szCs w:val="22"/>
        </w:rPr>
        <w:t>6</w:t>
      </w:r>
      <w:r w:rsidR="00F17A98">
        <w:rPr>
          <w:sz w:val="22"/>
          <w:szCs w:val="22"/>
        </w:rPr>
        <w:t>8</w:t>
      </w:r>
      <w:r w:rsidR="00052921" w:rsidRPr="00D10FAD">
        <w:rPr>
          <w:sz w:val="22"/>
          <w:szCs w:val="22"/>
        </w:rPr>
        <w:t xml:space="preserve">. Changing the eligibility criteria for DROs to make more people eligible </w:t>
      </w:r>
      <w:r w:rsidR="009642B8">
        <w:rPr>
          <w:sz w:val="22"/>
          <w:szCs w:val="22"/>
        </w:rPr>
        <w:t xml:space="preserve">can be expected to </w:t>
      </w:r>
      <w:r w:rsidR="00052921" w:rsidRPr="00D10FAD">
        <w:rPr>
          <w:sz w:val="22"/>
          <w:szCs w:val="22"/>
        </w:rPr>
        <w:t>lead to an increase in demand for DROs. T</w:t>
      </w:r>
      <w:r w:rsidR="00C7215D">
        <w:rPr>
          <w:sz w:val="22"/>
          <w:szCs w:val="22"/>
        </w:rPr>
        <w:t xml:space="preserve">o understand the impact of the newly eligible cases on costs, we need to know </w:t>
      </w:r>
      <w:r w:rsidR="00052921" w:rsidRPr="00D10FAD">
        <w:rPr>
          <w:sz w:val="22"/>
          <w:szCs w:val="22"/>
        </w:rPr>
        <w:t>the impact of the changes on DRO case number</w:t>
      </w:r>
      <w:r w:rsidR="00C7215D">
        <w:rPr>
          <w:sz w:val="22"/>
          <w:szCs w:val="22"/>
        </w:rPr>
        <w:t>s.</w:t>
      </w:r>
      <w:r w:rsidRPr="00D10FAD">
        <w:rPr>
          <w:sz w:val="22"/>
          <w:szCs w:val="22"/>
        </w:rPr>
        <w:t xml:space="preserve"> </w:t>
      </w:r>
    </w:p>
    <w:p w14:paraId="6D7E1786" w14:textId="1F3731AD" w:rsidR="00895704" w:rsidRPr="00D10FAD" w:rsidRDefault="00895704" w:rsidP="00D10FAD">
      <w:pPr>
        <w:autoSpaceDE w:val="0"/>
        <w:autoSpaceDN w:val="0"/>
        <w:adjustRightInd w:val="0"/>
        <w:spacing w:after="120"/>
        <w:rPr>
          <w:sz w:val="22"/>
          <w:szCs w:val="22"/>
        </w:rPr>
      </w:pPr>
      <w:r w:rsidRPr="00D10FAD">
        <w:rPr>
          <w:sz w:val="22"/>
          <w:szCs w:val="22"/>
        </w:rPr>
        <w:t>6</w:t>
      </w:r>
      <w:r w:rsidR="00F17A98">
        <w:rPr>
          <w:sz w:val="22"/>
          <w:szCs w:val="22"/>
        </w:rPr>
        <w:t>9</w:t>
      </w:r>
      <w:r w:rsidR="00052921" w:rsidRPr="00D10FAD">
        <w:rPr>
          <w:sz w:val="22"/>
          <w:szCs w:val="22"/>
        </w:rPr>
        <w:t xml:space="preserve">. The </w:t>
      </w:r>
      <w:r w:rsidR="004D028E">
        <w:rPr>
          <w:sz w:val="22"/>
          <w:szCs w:val="22"/>
        </w:rPr>
        <w:t>individuals who will benefit through being able to access debt relief under the new limits will fall into two groups</w:t>
      </w:r>
      <w:r w:rsidR="00052921" w:rsidRPr="00D10FAD">
        <w:rPr>
          <w:sz w:val="22"/>
          <w:szCs w:val="22"/>
        </w:rPr>
        <w:t xml:space="preserve">: </w:t>
      </w:r>
    </w:p>
    <w:p w14:paraId="12DED433" w14:textId="42396AAF" w:rsidR="00895704" w:rsidRPr="00D10FAD" w:rsidRDefault="004D028E" w:rsidP="00D10FAD">
      <w:pPr>
        <w:numPr>
          <w:ilvl w:val="0"/>
          <w:numId w:val="7"/>
        </w:numPr>
        <w:autoSpaceDE w:val="0"/>
        <w:autoSpaceDN w:val="0"/>
        <w:adjustRightInd w:val="0"/>
        <w:spacing w:after="120"/>
        <w:rPr>
          <w:sz w:val="22"/>
          <w:szCs w:val="22"/>
        </w:rPr>
      </w:pPr>
      <w:r>
        <w:rPr>
          <w:sz w:val="22"/>
          <w:szCs w:val="22"/>
        </w:rPr>
        <w:t xml:space="preserve">Those </w:t>
      </w:r>
      <w:r w:rsidR="00052921" w:rsidRPr="00D10FAD">
        <w:rPr>
          <w:sz w:val="22"/>
          <w:szCs w:val="22"/>
        </w:rPr>
        <w:t xml:space="preserve">able to access DROs for the first time through debt </w:t>
      </w:r>
      <w:proofErr w:type="gramStart"/>
      <w:r w:rsidR="00052921" w:rsidRPr="00D10FAD">
        <w:rPr>
          <w:sz w:val="22"/>
          <w:szCs w:val="22"/>
        </w:rPr>
        <w:t>advice</w:t>
      </w:r>
      <w:proofErr w:type="gramEnd"/>
      <w:r w:rsidR="00052921" w:rsidRPr="00D10FAD">
        <w:rPr>
          <w:sz w:val="22"/>
          <w:szCs w:val="22"/>
        </w:rPr>
        <w:t xml:space="preserve"> </w:t>
      </w:r>
    </w:p>
    <w:p w14:paraId="7794718A" w14:textId="1A884553" w:rsidR="00895704" w:rsidRPr="00D10FAD" w:rsidRDefault="004D028E" w:rsidP="00D10FAD">
      <w:pPr>
        <w:numPr>
          <w:ilvl w:val="0"/>
          <w:numId w:val="7"/>
        </w:numPr>
        <w:autoSpaceDE w:val="0"/>
        <w:autoSpaceDN w:val="0"/>
        <w:adjustRightInd w:val="0"/>
        <w:spacing w:after="120"/>
        <w:rPr>
          <w:sz w:val="22"/>
          <w:szCs w:val="22"/>
        </w:rPr>
      </w:pPr>
      <w:r>
        <w:rPr>
          <w:sz w:val="22"/>
          <w:szCs w:val="22"/>
        </w:rPr>
        <w:t>Those</w:t>
      </w:r>
      <w:r w:rsidR="00052921" w:rsidRPr="00D10FAD">
        <w:rPr>
          <w:sz w:val="22"/>
          <w:szCs w:val="22"/>
        </w:rPr>
        <w:t xml:space="preserve"> </w:t>
      </w:r>
      <w:r>
        <w:rPr>
          <w:sz w:val="22"/>
          <w:szCs w:val="22"/>
        </w:rPr>
        <w:t xml:space="preserve">who </w:t>
      </w:r>
      <w:r w:rsidR="00052921" w:rsidRPr="00D10FAD">
        <w:rPr>
          <w:sz w:val="22"/>
          <w:szCs w:val="22"/>
        </w:rPr>
        <w:t xml:space="preserve">no longer need to access debtor bankruptcy for debt relief and can use </w:t>
      </w:r>
      <w:proofErr w:type="gramStart"/>
      <w:r w:rsidR="00052921" w:rsidRPr="00D10FAD">
        <w:rPr>
          <w:sz w:val="22"/>
          <w:szCs w:val="22"/>
        </w:rPr>
        <w:t>DROs</w:t>
      </w:r>
      <w:proofErr w:type="gramEnd"/>
    </w:p>
    <w:p w14:paraId="3DFE9C9E" w14:textId="0769180A" w:rsidR="00895704" w:rsidRPr="00D10FAD" w:rsidRDefault="00895704" w:rsidP="00D10FAD">
      <w:pPr>
        <w:autoSpaceDE w:val="0"/>
        <w:autoSpaceDN w:val="0"/>
        <w:adjustRightInd w:val="0"/>
        <w:spacing w:after="120"/>
        <w:rPr>
          <w:sz w:val="22"/>
          <w:szCs w:val="22"/>
        </w:rPr>
      </w:pPr>
      <w:r w:rsidRPr="00D10FAD">
        <w:rPr>
          <w:sz w:val="22"/>
          <w:szCs w:val="22"/>
        </w:rPr>
        <w:t>7</w:t>
      </w:r>
      <w:r w:rsidR="00F17A98">
        <w:rPr>
          <w:sz w:val="22"/>
          <w:szCs w:val="22"/>
        </w:rPr>
        <w:t>0</w:t>
      </w:r>
      <w:r w:rsidR="00052921" w:rsidRPr="00D10FAD">
        <w:rPr>
          <w:sz w:val="22"/>
          <w:szCs w:val="22"/>
        </w:rPr>
        <w:t xml:space="preserve">. People able to access DROs for the first time under the changes can be calculated using debt advice data from </w:t>
      </w:r>
      <w:proofErr w:type="spellStart"/>
      <w:r w:rsidR="00052921" w:rsidRPr="00D10FAD">
        <w:rPr>
          <w:sz w:val="22"/>
          <w:szCs w:val="22"/>
        </w:rPr>
        <w:t>StepChange</w:t>
      </w:r>
      <w:proofErr w:type="spellEnd"/>
      <w:r w:rsidR="00052921" w:rsidRPr="00D10FAD">
        <w:rPr>
          <w:sz w:val="22"/>
          <w:szCs w:val="22"/>
        </w:rPr>
        <w:t>, a large debt charity with a 22% share of DROs</w:t>
      </w:r>
      <w:r w:rsidRPr="00D10FAD">
        <w:rPr>
          <w:sz w:val="22"/>
          <w:szCs w:val="22"/>
        </w:rPr>
        <w:t xml:space="preserve"> in England and Wales.</w:t>
      </w:r>
    </w:p>
    <w:p w14:paraId="6AA23D8D" w14:textId="55ED6CAD" w:rsidR="00895704" w:rsidRPr="00D10FAD" w:rsidRDefault="00F17A98" w:rsidP="00D10FAD">
      <w:pPr>
        <w:autoSpaceDE w:val="0"/>
        <w:autoSpaceDN w:val="0"/>
        <w:adjustRightInd w:val="0"/>
        <w:spacing w:after="120"/>
        <w:rPr>
          <w:sz w:val="22"/>
          <w:szCs w:val="22"/>
        </w:rPr>
      </w:pPr>
      <w:r>
        <w:rPr>
          <w:sz w:val="22"/>
          <w:szCs w:val="22"/>
        </w:rPr>
        <w:t>71</w:t>
      </w:r>
      <w:r w:rsidR="00052921" w:rsidRPr="00D10FAD">
        <w:rPr>
          <w:sz w:val="22"/>
          <w:szCs w:val="22"/>
        </w:rPr>
        <w:t xml:space="preserve">. The flow from debtor bankruptcy to Debt Relief Order can be calculated by reviewing Insolvency Service 2016-19 Bankruptcy data. </w:t>
      </w:r>
    </w:p>
    <w:p w14:paraId="060B805E" w14:textId="7318DA16" w:rsidR="009657EB" w:rsidRPr="00D10FAD" w:rsidRDefault="00F17A98" w:rsidP="00D10FAD">
      <w:pPr>
        <w:autoSpaceDE w:val="0"/>
        <w:autoSpaceDN w:val="0"/>
        <w:adjustRightInd w:val="0"/>
        <w:spacing w:after="120"/>
        <w:rPr>
          <w:sz w:val="22"/>
          <w:szCs w:val="22"/>
        </w:rPr>
      </w:pPr>
      <w:r>
        <w:rPr>
          <w:sz w:val="22"/>
          <w:szCs w:val="22"/>
        </w:rPr>
        <w:lastRenderedPageBreak/>
        <w:t>72</w:t>
      </w:r>
      <w:r w:rsidR="00052921" w:rsidRPr="00D10FAD">
        <w:rPr>
          <w:sz w:val="22"/>
          <w:szCs w:val="22"/>
        </w:rPr>
        <w:t xml:space="preserve">. Table </w:t>
      </w:r>
      <w:r w:rsidR="007C18C4">
        <w:rPr>
          <w:sz w:val="22"/>
          <w:szCs w:val="22"/>
        </w:rPr>
        <w:t>5</w:t>
      </w:r>
      <w:r w:rsidR="00052921" w:rsidRPr="00D10FAD">
        <w:rPr>
          <w:sz w:val="22"/>
          <w:szCs w:val="22"/>
        </w:rPr>
        <w:t xml:space="preserve"> below shows the impact on DRO case numb</w:t>
      </w:r>
      <w:r w:rsidR="00951AD1" w:rsidRPr="00D10FAD">
        <w:rPr>
          <w:sz w:val="22"/>
          <w:szCs w:val="22"/>
        </w:rPr>
        <w:t>ers using both data sources.</w:t>
      </w:r>
    </w:p>
    <w:p w14:paraId="0248400A" w14:textId="77777777" w:rsidR="009657EB" w:rsidRPr="00D10FAD" w:rsidRDefault="009657EB" w:rsidP="00895704">
      <w:pPr>
        <w:autoSpaceDE w:val="0"/>
        <w:autoSpaceDN w:val="0"/>
        <w:adjustRightInd w:val="0"/>
        <w:rPr>
          <w:sz w:val="22"/>
          <w:szCs w:val="22"/>
        </w:rPr>
      </w:pPr>
    </w:p>
    <w:p w14:paraId="41AA392A" w14:textId="77777777" w:rsidR="00546F3A" w:rsidRDefault="00546F3A" w:rsidP="00895704">
      <w:pPr>
        <w:autoSpaceDE w:val="0"/>
        <w:autoSpaceDN w:val="0"/>
        <w:adjustRightInd w:val="0"/>
        <w:rPr>
          <w:b/>
          <w:sz w:val="22"/>
          <w:szCs w:val="22"/>
        </w:rPr>
      </w:pPr>
    </w:p>
    <w:p w14:paraId="28CD615A" w14:textId="08E2F268" w:rsidR="009657EB" w:rsidRPr="00D10FAD" w:rsidRDefault="009657EB" w:rsidP="00895704">
      <w:pPr>
        <w:autoSpaceDE w:val="0"/>
        <w:autoSpaceDN w:val="0"/>
        <w:adjustRightInd w:val="0"/>
        <w:rPr>
          <w:b/>
          <w:sz w:val="22"/>
          <w:szCs w:val="22"/>
        </w:rPr>
      </w:pPr>
      <w:r w:rsidRPr="00D10FAD">
        <w:rPr>
          <w:b/>
          <w:sz w:val="22"/>
          <w:szCs w:val="22"/>
        </w:rPr>
        <w:t xml:space="preserve">Table </w:t>
      </w:r>
      <w:r w:rsidR="00546F3A">
        <w:rPr>
          <w:b/>
          <w:sz w:val="22"/>
          <w:szCs w:val="22"/>
        </w:rPr>
        <w:t>5</w:t>
      </w:r>
      <w:r w:rsidRPr="00D10FAD">
        <w:rPr>
          <w:b/>
          <w:sz w:val="22"/>
          <w:szCs w:val="22"/>
        </w:rPr>
        <w:t xml:space="preserve">: The impact on the proposed changes to DRO case numbers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59"/>
        <w:gridCol w:w="2059"/>
        <w:gridCol w:w="2059"/>
        <w:gridCol w:w="2060"/>
      </w:tblGrid>
      <w:tr w:rsidR="00735376" w:rsidRPr="00633593" w14:paraId="6B4C3C24" w14:textId="77777777" w:rsidTr="00735376">
        <w:tc>
          <w:tcPr>
            <w:tcW w:w="2059" w:type="dxa"/>
            <w:shd w:val="clear" w:color="auto" w:fill="auto"/>
          </w:tcPr>
          <w:p w14:paraId="4669268A" w14:textId="77777777" w:rsidR="009657EB" w:rsidRPr="00D10FAD" w:rsidRDefault="009657EB" w:rsidP="00735376">
            <w:pPr>
              <w:autoSpaceDE w:val="0"/>
              <w:autoSpaceDN w:val="0"/>
              <w:adjustRightInd w:val="0"/>
              <w:rPr>
                <w:sz w:val="22"/>
                <w:szCs w:val="22"/>
              </w:rPr>
            </w:pPr>
            <w:r w:rsidRPr="00D10FAD">
              <w:rPr>
                <w:sz w:val="22"/>
                <w:szCs w:val="22"/>
              </w:rPr>
              <w:t>Option</w:t>
            </w:r>
          </w:p>
        </w:tc>
        <w:tc>
          <w:tcPr>
            <w:tcW w:w="2059" w:type="dxa"/>
            <w:shd w:val="clear" w:color="auto" w:fill="auto"/>
          </w:tcPr>
          <w:p w14:paraId="4AF85359" w14:textId="4C5B2849" w:rsidR="009657EB" w:rsidRPr="00D10FAD" w:rsidRDefault="009657EB" w:rsidP="00735376">
            <w:pPr>
              <w:autoSpaceDE w:val="0"/>
              <w:autoSpaceDN w:val="0"/>
              <w:adjustRightInd w:val="0"/>
              <w:rPr>
                <w:b/>
                <w:sz w:val="22"/>
                <w:szCs w:val="22"/>
              </w:rPr>
            </w:pPr>
            <w:r w:rsidRPr="00D10FAD">
              <w:rPr>
                <w:b/>
                <w:sz w:val="22"/>
                <w:szCs w:val="22"/>
              </w:rPr>
              <w:t>People able to obtain a DRO for the first time through debt advice</w:t>
            </w:r>
            <w:r w:rsidR="00476FB9">
              <w:rPr>
                <w:rStyle w:val="FootnoteReference"/>
                <w:b/>
                <w:sz w:val="22"/>
                <w:szCs w:val="22"/>
              </w:rPr>
              <w:footnoteReference w:id="14"/>
            </w:r>
          </w:p>
        </w:tc>
        <w:tc>
          <w:tcPr>
            <w:tcW w:w="2059" w:type="dxa"/>
            <w:shd w:val="clear" w:color="auto" w:fill="auto"/>
          </w:tcPr>
          <w:p w14:paraId="33A267A8" w14:textId="60256863" w:rsidR="009657EB" w:rsidRPr="00D10FAD" w:rsidRDefault="009657EB" w:rsidP="00735376">
            <w:pPr>
              <w:autoSpaceDE w:val="0"/>
              <w:autoSpaceDN w:val="0"/>
              <w:adjustRightInd w:val="0"/>
              <w:rPr>
                <w:b/>
                <w:sz w:val="22"/>
                <w:szCs w:val="22"/>
              </w:rPr>
            </w:pPr>
            <w:r w:rsidRPr="00D10FAD">
              <w:rPr>
                <w:b/>
                <w:sz w:val="22"/>
                <w:szCs w:val="22"/>
              </w:rPr>
              <w:t>New debtor bankruptcy cases eligible for DRO</w:t>
            </w:r>
            <w:r w:rsidR="00476FB9">
              <w:rPr>
                <w:rStyle w:val="FootnoteReference"/>
                <w:b/>
                <w:sz w:val="22"/>
                <w:szCs w:val="22"/>
              </w:rPr>
              <w:footnoteReference w:id="15"/>
            </w:r>
          </w:p>
        </w:tc>
        <w:tc>
          <w:tcPr>
            <w:tcW w:w="2059" w:type="dxa"/>
            <w:shd w:val="clear" w:color="auto" w:fill="auto"/>
          </w:tcPr>
          <w:p w14:paraId="786F6834" w14:textId="2B916625" w:rsidR="009657EB" w:rsidRPr="00D10FAD" w:rsidRDefault="009657EB" w:rsidP="00476FB9">
            <w:pPr>
              <w:autoSpaceDE w:val="0"/>
              <w:autoSpaceDN w:val="0"/>
              <w:adjustRightInd w:val="0"/>
              <w:rPr>
                <w:b/>
                <w:sz w:val="22"/>
                <w:szCs w:val="22"/>
              </w:rPr>
            </w:pPr>
            <w:r w:rsidRPr="00D10FAD">
              <w:rPr>
                <w:b/>
                <w:sz w:val="22"/>
                <w:szCs w:val="22"/>
              </w:rPr>
              <w:t>Number of debtor bankruptcy cases expected to enter a DRO</w:t>
            </w:r>
            <w:r w:rsidR="00476FB9">
              <w:rPr>
                <w:rStyle w:val="FootnoteReference"/>
                <w:b/>
                <w:sz w:val="22"/>
                <w:szCs w:val="22"/>
              </w:rPr>
              <w:footnoteReference w:id="16"/>
            </w:r>
            <w:r w:rsidR="003C5AEF" w:rsidRPr="00D10FAD">
              <w:rPr>
                <w:b/>
                <w:sz w:val="22"/>
                <w:szCs w:val="22"/>
              </w:rPr>
              <w:t xml:space="preserve"> </w:t>
            </w:r>
            <w:r w:rsidRPr="00D10FAD">
              <w:rPr>
                <w:b/>
                <w:sz w:val="22"/>
                <w:szCs w:val="22"/>
              </w:rPr>
              <w:t>(</w:t>
            </w:r>
            <w:r w:rsidR="00696FF5">
              <w:rPr>
                <w:b/>
                <w:sz w:val="22"/>
                <w:szCs w:val="22"/>
              </w:rPr>
              <w:t>10</w:t>
            </w:r>
            <w:r w:rsidRPr="00D10FAD">
              <w:rPr>
                <w:b/>
                <w:sz w:val="22"/>
                <w:szCs w:val="22"/>
              </w:rPr>
              <w:t>%)</w:t>
            </w:r>
          </w:p>
        </w:tc>
        <w:tc>
          <w:tcPr>
            <w:tcW w:w="2060" w:type="dxa"/>
            <w:shd w:val="clear" w:color="auto" w:fill="auto"/>
          </w:tcPr>
          <w:p w14:paraId="64FD7A5D" w14:textId="77777777" w:rsidR="009657EB" w:rsidRPr="00D10FAD" w:rsidRDefault="009657EB" w:rsidP="00735376">
            <w:pPr>
              <w:autoSpaceDE w:val="0"/>
              <w:autoSpaceDN w:val="0"/>
              <w:adjustRightInd w:val="0"/>
              <w:rPr>
                <w:b/>
                <w:sz w:val="22"/>
                <w:szCs w:val="22"/>
              </w:rPr>
            </w:pPr>
            <w:r w:rsidRPr="00D10FAD">
              <w:rPr>
                <w:b/>
                <w:sz w:val="22"/>
                <w:szCs w:val="22"/>
              </w:rPr>
              <w:t>Total new DRO cases</w:t>
            </w:r>
          </w:p>
        </w:tc>
      </w:tr>
      <w:tr w:rsidR="00735376" w:rsidRPr="00633593" w14:paraId="5C8E51AF" w14:textId="77777777" w:rsidTr="00735376">
        <w:tc>
          <w:tcPr>
            <w:tcW w:w="2059" w:type="dxa"/>
            <w:shd w:val="clear" w:color="auto" w:fill="auto"/>
          </w:tcPr>
          <w:p w14:paraId="66AC22AB" w14:textId="77777777" w:rsidR="009657EB" w:rsidRPr="00D10FAD" w:rsidRDefault="009657EB" w:rsidP="00735376">
            <w:pPr>
              <w:autoSpaceDE w:val="0"/>
              <w:autoSpaceDN w:val="0"/>
              <w:adjustRightInd w:val="0"/>
              <w:rPr>
                <w:sz w:val="22"/>
                <w:szCs w:val="22"/>
              </w:rPr>
            </w:pPr>
            <w:r w:rsidRPr="00D10FAD">
              <w:rPr>
                <w:sz w:val="22"/>
                <w:szCs w:val="22"/>
              </w:rPr>
              <w:t>Do Nothing</w:t>
            </w:r>
          </w:p>
        </w:tc>
        <w:tc>
          <w:tcPr>
            <w:tcW w:w="2059" w:type="dxa"/>
            <w:shd w:val="clear" w:color="auto" w:fill="auto"/>
          </w:tcPr>
          <w:p w14:paraId="74BAE20B" w14:textId="77777777" w:rsidR="009657EB" w:rsidRPr="00D10FAD" w:rsidRDefault="009657EB" w:rsidP="00735376">
            <w:pPr>
              <w:autoSpaceDE w:val="0"/>
              <w:autoSpaceDN w:val="0"/>
              <w:adjustRightInd w:val="0"/>
              <w:jc w:val="right"/>
              <w:rPr>
                <w:sz w:val="22"/>
                <w:szCs w:val="22"/>
              </w:rPr>
            </w:pPr>
            <w:r w:rsidRPr="00D10FAD">
              <w:rPr>
                <w:sz w:val="22"/>
                <w:szCs w:val="22"/>
              </w:rPr>
              <w:t>0</w:t>
            </w:r>
          </w:p>
        </w:tc>
        <w:tc>
          <w:tcPr>
            <w:tcW w:w="2059" w:type="dxa"/>
            <w:shd w:val="clear" w:color="auto" w:fill="auto"/>
          </w:tcPr>
          <w:p w14:paraId="407EBDBA" w14:textId="77777777" w:rsidR="009657EB" w:rsidRPr="00D10FAD" w:rsidRDefault="009657EB" w:rsidP="00735376">
            <w:pPr>
              <w:autoSpaceDE w:val="0"/>
              <w:autoSpaceDN w:val="0"/>
              <w:adjustRightInd w:val="0"/>
              <w:jc w:val="right"/>
              <w:rPr>
                <w:sz w:val="22"/>
                <w:szCs w:val="22"/>
              </w:rPr>
            </w:pPr>
            <w:r w:rsidRPr="00D10FAD">
              <w:rPr>
                <w:sz w:val="22"/>
                <w:szCs w:val="22"/>
              </w:rPr>
              <w:t>0</w:t>
            </w:r>
          </w:p>
        </w:tc>
        <w:tc>
          <w:tcPr>
            <w:tcW w:w="2059" w:type="dxa"/>
            <w:shd w:val="clear" w:color="auto" w:fill="auto"/>
          </w:tcPr>
          <w:p w14:paraId="59415A9E" w14:textId="77777777" w:rsidR="009657EB" w:rsidRPr="00D10FAD" w:rsidRDefault="009657EB" w:rsidP="00735376">
            <w:pPr>
              <w:autoSpaceDE w:val="0"/>
              <w:autoSpaceDN w:val="0"/>
              <w:adjustRightInd w:val="0"/>
              <w:jc w:val="right"/>
              <w:rPr>
                <w:sz w:val="22"/>
                <w:szCs w:val="22"/>
              </w:rPr>
            </w:pPr>
            <w:r w:rsidRPr="00D10FAD">
              <w:rPr>
                <w:sz w:val="22"/>
                <w:szCs w:val="22"/>
              </w:rPr>
              <w:t>0</w:t>
            </w:r>
          </w:p>
        </w:tc>
        <w:tc>
          <w:tcPr>
            <w:tcW w:w="2060" w:type="dxa"/>
            <w:shd w:val="clear" w:color="auto" w:fill="auto"/>
          </w:tcPr>
          <w:p w14:paraId="3B3E3544" w14:textId="77777777" w:rsidR="009657EB" w:rsidRPr="00D10FAD" w:rsidRDefault="009657EB" w:rsidP="00735376">
            <w:pPr>
              <w:autoSpaceDE w:val="0"/>
              <w:autoSpaceDN w:val="0"/>
              <w:adjustRightInd w:val="0"/>
              <w:jc w:val="right"/>
              <w:rPr>
                <w:sz w:val="22"/>
                <w:szCs w:val="22"/>
              </w:rPr>
            </w:pPr>
            <w:r w:rsidRPr="00D10FAD">
              <w:rPr>
                <w:sz w:val="22"/>
                <w:szCs w:val="22"/>
              </w:rPr>
              <w:t>0</w:t>
            </w:r>
          </w:p>
        </w:tc>
      </w:tr>
      <w:tr w:rsidR="00735376" w:rsidRPr="00633593" w14:paraId="1F82B945" w14:textId="77777777" w:rsidTr="00735376">
        <w:tc>
          <w:tcPr>
            <w:tcW w:w="2059" w:type="dxa"/>
            <w:shd w:val="clear" w:color="auto" w:fill="auto"/>
          </w:tcPr>
          <w:p w14:paraId="5AE09A90" w14:textId="2D1C9DC0" w:rsidR="009657EB" w:rsidRPr="00D10FAD" w:rsidRDefault="002501A8" w:rsidP="00735376">
            <w:pPr>
              <w:autoSpaceDE w:val="0"/>
              <w:autoSpaceDN w:val="0"/>
              <w:adjustRightInd w:val="0"/>
              <w:rPr>
                <w:sz w:val="22"/>
                <w:szCs w:val="22"/>
              </w:rPr>
            </w:pPr>
            <w:r>
              <w:rPr>
                <w:sz w:val="22"/>
                <w:szCs w:val="22"/>
              </w:rPr>
              <w:t>Debts of up to £50,000, assets of up to £2,000, surplus monthly income of up to £75 and motor vehicle allowance up to £4,000</w:t>
            </w:r>
          </w:p>
        </w:tc>
        <w:tc>
          <w:tcPr>
            <w:tcW w:w="2059" w:type="dxa"/>
            <w:shd w:val="clear" w:color="auto" w:fill="auto"/>
          </w:tcPr>
          <w:p w14:paraId="7596670B" w14:textId="5C3444E4" w:rsidR="009657EB" w:rsidRPr="00D10FAD" w:rsidRDefault="009657EB" w:rsidP="00735376">
            <w:pPr>
              <w:autoSpaceDE w:val="0"/>
              <w:autoSpaceDN w:val="0"/>
              <w:adjustRightInd w:val="0"/>
              <w:jc w:val="right"/>
              <w:rPr>
                <w:sz w:val="22"/>
                <w:szCs w:val="22"/>
              </w:rPr>
            </w:pPr>
            <w:r w:rsidRPr="00D10FAD">
              <w:rPr>
                <w:sz w:val="22"/>
                <w:szCs w:val="22"/>
              </w:rPr>
              <w:t>2</w:t>
            </w:r>
            <w:r w:rsidR="007C18C4">
              <w:rPr>
                <w:sz w:val="22"/>
                <w:szCs w:val="22"/>
              </w:rPr>
              <w:t>6</w:t>
            </w:r>
            <w:r w:rsidRPr="00D10FAD">
              <w:rPr>
                <w:sz w:val="22"/>
                <w:szCs w:val="22"/>
              </w:rPr>
              <w:t>8</w:t>
            </w:r>
          </w:p>
        </w:tc>
        <w:tc>
          <w:tcPr>
            <w:tcW w:w="2059" w:type="dxa"/>
            <w:shd w:val="clear" w:color="auto" w:fill="auto"/>
          </w:tcPr>
          <w:p w14:paraId="25FBFDF2" w14:textId="797DDDFD" w:rsidR="009657EB" w:rsidRPr="00D10FAD" w:rsidRDefault="007C18C4" w:rsidP="00735376">
            <w:pPr>
              <w:autoSpaceDE w:val="0"/>
              <w:autoSpaceDN w:val="0"/>
              <w:adjustRightInd w:val="0"/>
              <w:jc w:val="right"/>
              <w:rPr>
                <w:sz w:val="22"/>
                <w:szCs w:val="22"/>
              </w:rPr>
            </w:pPr>
            <w:r>
              <w:rPr>
                <w:sz w:val="22"/>
                <w:szCs w:val="22"/>
              </w:rPr>
              <w:t>11</w:t>
            </w:r>
            <w:r w:rsidR="007F2B93">
              <w:rPr>
                <w:sz w:val="22"/>
                <w:szCs w:val="22"/>
              </w:rPr>
              <w:t>9</w:t>
            </w:r>
          </w:p>
        </w:tc>
        <w:tc>
          <w:tcPr>
            <w:tcW w:w="2059" w:type="dxa"/>
            <w:shd w:val="clear" w:color="auto" w:fill="auto"/>
          </w:tcPr>
          <w:p w14:paraId="4F49E496" w14:textId="4E647A91" w:rsidR="009657EB" w:rsidRPr="00D10FAD" w:rsidRDefault="00E74F6E" w:rsidP="00735376">
            <w:pPr>
              <w:autoSpaceDE w:val="0"/>
              <w:autoSpaceDN w:val="0"/>
              <w:adjustRightInd w:val="0"/>
              <w:jc w:val="right"/>
              <w:rPr>
                <w:sz w:val="22"/>
                <w:szCs w:val="22"/>
              </w:rPr>
            </w:pPr>
            <w:r w:rsidRPr="00D10FAD">
              <w:rPr>
                <w:sz w:val="22"/>
                <w:szCs w:val="22"/>
              </w:rPr>
              <w:t>1</w:t>
            </w:r>
            <w:r w:rsidR="00696FF5">
              <w:rPr>
                <w:sz w:val="22"/>
                <w:szCs w:val="22"/>
              </w:rPr>
              <w:t>2</w:t>
            </w:r>
          </w:p>
        </w:tc>
        <w:tc>
          <w:tcPr>
            <w:tcW w:w="2060" w:type="dxa"/>
            <w:shd w:val="clear" w:color="auto" w:fill="auto"/>
          </w:tcPr>
          <w:p w14:paraId="60D326C2" w14:textId="0C9FC9DC" w:rsidR="009657EB" w:rsidRPr="00D10FAD" w:rsidRDefault="00E74F6E" w:rsidP="00735376">
            <w:pPr>
              <w:autoSpaceDE w:val="0"/>
              <w:autoSpaceDN w:val="0"/>
              <w:adjustRightInd w:val="0"/>
              <w:jc w:val="right"/>
              <w:rPr>
                <w:sz w:val="22"/>
                <w:szCs w:val="22"/>
              </w:rPr>
            </w:pPr>
            <w:r w:rsidRPr="00D10FAD">
              <w:rPr>
                <w:sz w:val="22"/>
                <w:szCs w:val="22"/>
              </w:rPr>
              <w:t>2</w:t>
            </w:r>
            <w:r w:rsidR="00696FF5">
              <w:rPr>
                <w:sz w:val="22"/>
                <w:szCs w:val="22"/>
              </w:rPr>
              <w:t>80</w:t>
            </w:r>
          </w:p>
        </w:tc>
      </w:tr>
    </w:tbl>
    <w:p w14:paraId="750A48E8" w14:textId="77777777" w:rsidR="009657EB" w:rsidRPr="00D10FAD" w:rsidRDefault="009657EB" w:rsidP="00895704">
      <w:pPr>
        <w:autoSpaceDE w:val="0"/>
        <w:autoSpaceDN w:val="0"/>
        <w:adjustRightInd w:val="0"/>
        <w:rPr>
          <w:sz w:val="22"/>
          <w:szCs w:val="22"/>
        </w:rPr>
      </w:pPr>
    </w:p>
    <w:p w14:paraId="269BD901" w14:textId="36D74BD8" w:rsidR="00B35784" w:rsidRPr="00D10FAD" w:rsidRDefault="00951AD1" w:rsidP="00D10FAD">
      <w:pPr>
        <w:autoSpaceDE w:val="0"/>
        <w:autoSpaceDN w:val="0"/>
        <w:adjustRightInd w:val="0"/>
        <w:spacing w:after="120"/>
        <w:rPr>
          <w:sz w:val="22"/>
          <w:szCs w:val="22"/>
        </w:rPr>
      </w:pPr>
      <w:r w:rsidRPr="00D10FAD">
        <w:rPr>
          <w:sz w:val="22"/>
          <w:szCs w:val="22"/>
        </w:rPr>
        <w:t>7</w:t>
      </w:r>
      <w:r w:rsidR="00F17A98">
        <w:rPr>
          <w:sz w:val="22"/>
          <w:szCs w:val="22"/>
        </w:rPr>
        <w:t>3</w:t>
      </w:r>
      <w:r w:rsidRPr="00D10FAD">
        <w:rPr>
          <w:sz w:val="22"/>
          <w:szCs w:val="22"/>
        </w:rPr>
        <w:t xml:space="preserve">. </w:t>
      </w:r>
      <w:r w:rsidR="00DD5284">
        <w:rPr>
          <w:sz w:val="22"/>
          <w:szCs w:val="22"/>
        </w:rPr>
        <w:t>Based on the calculations above t</w:t>
      </w:r>
      <w:r w:rsidRPr="00D10FAD">
        <w:rPr>
          <w:sz w:val="22"/>
          <w:szCs w:val="22"/>
        </w:rPr>
        <w:t xml:space="preserve">he changes are expected to result in </w:t>
      </w:r>
      <w:r w:rsidR="00DD5284">
        <w:rPr>
          <w:sz w:val="22"/>
          <w:szCs w:val="22"/>
        </w:rPr>
        <w:t xml:space="preserve">an additional </w:t>
      </w:r>
      <w:r w:rsidRPr="00D10FAD">
        <w:rPr>
          <w:sz w:val="22"/>
          <w:szCs w:val="22"/>
        </w:rPr>
        <w:t>28</w:t>
      </w:r>
      <w:r w:rsidR="000A4066">
        <w:rPr>
          <w:sz w:val="22"/>
          <w:szCs w:val="22"/>
        </w:rPr>
        <w:t>0</w:t>
      </w:r>
      <w:r w:rsidRPr="00D10FAD">
        <w:rPr>
          <w:sz w:val="22"/>
          <w:szCs w:val="22"/>
        </w:rPr>
        <w:t xml:space="preserve"> </w:t>
      </w:r>
      <w:r w:rsidR="00DD5284">
        <w:rPr>
          <w:sz w:val="22"/>
          <w:szCs w:val="22"/>
        </w:rPr>
        <w:t>D</w:t>
      </w:r>
      <w:r w:rsidRPr="00D10FAD">
        <w:rPr>
          <w:sz w:val="22"/>
          <w:szCs w:val="22"/>
        </w:rPr>
        <w:t>ROs</w:t>
      </w:r>
      <w:r w:rsidR="00DD5284">
        <w:rPr>
          <w:sz w:val="22"/>
          <w:szCs w:val="22"/>
        </w:rPr>
        <w:t>.</w:t>
      </w:r>
      <w:r w:rsidR="00B35784" w:rsidRPr="00D10FAD">
        <w:rPr>
          <w:sz w:val="22"/>
          <w:szCs w:val="22"/>
        </w:rPr>
        <w:t xml:space="preserve"> </w:t>
      </w:r>
    </w:p>
    <w:p w14:paraId="6C1FA769" w14:textId="2467A418" w:rsidR="0005418C" w:rsidRPr="00D10FAD" w:rsidRDefault="00951AD1" w:rsidP="00D10FAD">
      <w:pPr>
        <w:autoSpaceDE w:val="0"/>
        <w:autoSpaceDN w:val="0"/>
        <w:adjustRightInd w:val="0"/>
        <w:spacing w:after="120"/>
        <w:rPr>
          <w:sz w:val="22"/>
          <w:szCs w:val="22"/>
        </w:rPr>
      </w:pPr>
      <w:r w:rsidRPr="00D10FAD">
        <w:rPr>
          <w:sz w:val="22"/>
          <w:szCs w:val="22"/>
        </w:rPr>
        <w:t>7</w:t>
      </w:r>
      <w:r w:rsidR="00F17A98">
        <w:rPr>
          <w:sz w:val="22"/>
          <w:szCs w:val="22"/>
        </w:rPr>
        <w:t>4</w:t>
      </w:r>
      <w:r w:rsidRPr="00D10FAD">
        <w:rPr>
          <w:sz w:val="22"/>
          <w:szCs w:val="22"/>
        </w:rPr>
        <w:t xml:space="preserve">. </w:t>
      </w:r>
      <w:r w:rsidR="00DD5284">
        <w:rPr>
          <w:sz w:val="22"/>
          <w:szCs w:val="22"/>
        </w:rPr>
        <w:t>In an impact assessment prepared for the increases to the eligibility limits in England and Wales in 2021, the</w:t>
      </w:r>
      <w:r w:rsidR="00771E1F" w:rsidRPr="00D10FAD">
        <w:rPr>
          <w:sz w:val="22"/>
          <w:szCs w:val="22"/>
        </w:rPr>
        <w:t xml:space="preserve"> cost of administering a DRO application was estimated to </w:t>
      </w:r>
      <w:r w:rsidR="00DD5284">
        <w:rPr>
          <w:sz w:val="22"/>
          <w:szCs w:val="22"/>
        </w:rPr>
        <w:t xml:space="preserve">be between </w:t>
      </w:r>
      <w:r w:rsidR="00771E1F" w:rsidRPr="00D10FAD">
        <w:rPr>
          <w:sz w:val="22"/>
          <w:szCs w:val="22"/>
        </w:rPr>
        <w:t>£2</w:t>
      </w:r>
      <w:r w:rsidR="00DD5284">
        <w:rPr>
          <w:sz w:val="22"/>
          <w:szCs w:val="22"/>
        </w:rPr>
        <w:t>22</w:t>
      </w:r>
      <w:r w:rsidR="00771E1F" w:rsidRPr="00D10FAD">
        <w:rPr>
          <w:sz w:val="22"/>
          <w:szCs w:val="22"/>
        </w:rPr>
        <w:t>-3</w:t>
      </w:r>
      <w:r w:rsidR="00DD5284">
        <w:rPr>
          <w:sz w:val="22"/>
          <w:szCs w:val="22"/>
        </w:rPr>
        <w:t>33</w:t>
      </w:r>
      <w:r w:rsidR="00771E1F" w:rsidRPr="00D10FAD">
        <w:rPr>
          <w:sz w:val="22"/>
          <w:szCs w:val="22"/>
        </w:rPr>
        <w:t xml:space="preserve"> per case</w:t>
      </w:r>
      <w:r w:rsidR="00DD5284">
        <w:rPr>
          <w:sz w:val="22"/>
          <w:szCs w:val="22"/>
        </w:rPr>
        <w:t xml:space="preserve"> There is no reason to believe that the cost would be different in Northern Ireland</w:t>
      </w:r>
      <w:r w:rsidR="00771E1F" w:rsidRPr="00D10FAD">
        <w:rPr>
          <w:sz w:val="22"/>
          <w:szCs w:val="22"/>
        </w:rPr>
        <w:t xml:space="preserve">.  </w:t>
      </w:r>
      <w:r w:rsidRPr="00D10FAD">
        <w:rPr>
          <w:sz w:val="22"/>
          <w:szCs w:val="22"/>
        </w:rPr>
        <w:t>Uprating using GDP deflators results in a range of £2</w:t>
      </w:r>
      <w:r w:rsidR="00EA39A7">
        <w:rPr>
          <w:sz w:val="22"/>
          <w:szCs w:val="22"/>
        </w:rPr>
        <w:t>50</w:t>
      </w:r>
      <w:r w:rsidRPr="00D10FAD">
        <w:rPr>
          <w:sz w:val="22"/>
          <w:szCs w:val="22"/>
        </w:rPr>
        <w:t xml:space="preserve"> to £3</w:t>
      </w:r>
      <w:r w:rsidR="00EA39A7">
        <w:rPr>
          <w:sz w:val="22"/>
          <w:szCs w:val="22"/>
        </w:rPr>
        <w:t>75</w:t>
      </w:r>
      <w:r w:rsidRPr="00D10FAD">
        <w:rPr>
          <w:sz w:val="22"/>
          <w:szCs w:val="22"/>
        </w:rPr>
        <w:t xml:space="preserve"> per case. </w:t>
      </w:r>
    </w:p>
    <w:p w14:paraId="142D37F1" w14:textId="4094C4FF" w:rsidR="00DB5B9A" w:rsidRPr="00D10FAD" w:rsidRDefault="00951AD1" w:rsidP="00D10FAD">
      <w:pPr>
        <w:autoSpaceDE w:val="0"/>
        <w:autoSpaceDN w:val="0"/>
        <w:adjustRightInd w:val="0"/>
        <w:spacing w:after="120"/>
        <w:rPr>
          <w:sz w:val="22"/>
          <w:szCs w:val="22"/>
        </w:rPr>
      </w:pPr>
      <w:r w:rsidRPr="00D10FAD">
        <w:rPr>
          <w:sz w:val="22"/>
          <w:szCs w:val="22"/>
        </w:rPr>
        <w:t>7</w:t>
      </w:r>
      <w:r w:rsidR="00F17A98">
        <w:rPr>
          <w:sz w:val="22"/>
          <w:szCs w:val="22"/>
        </w:rPr>
        <w:t>5</w:t>
      </w:r>
      <w:r w:rsidRPr="00D10FAD">
        <w:rPr>
          <w:sz w:val="22"/>
          <w:szCs w:val="22"/>
        </w:rPr>
        <w:t xml:space="preserve">. </w:t>
      </w:r>
      <w:r w:rsidR="00EA39A7">
        <w:rPr>
          <w:sz w:val="22"/>
          <w:szCs w:val="22"/>
        </w:rPr>
        <w:t>Mult</w:t>
      </w:r>
      <w:r w:rsidRPr="00D10FAD">
        <w:rPr>
          <w:sz w:val="22"/>
          <w:szCs w:val="22"/>
        </w:rPr>
        <w:t>iplying the</w:t>
      </w:r>
      <w:r w:rsidR="00EA39A7">
        <w:rPr>
          <w:sz w:val="22"/>
          <w:szCs w:val="22"/>
        </w:rPr>
        <w:t>se figures by the number of newly eligible cases (2</w:t>
      </w:r>
      <w:r w:rsidR="00AC6290">
        <w:rPr>
          <w:sz w:val="22"/>
          <w:szCs w:val="22"/>
        </w:rPr>
        <w:t>8</w:t>
      </w:r>
      <w:r w:rsidR="003A2D4E">
        <w:rPr>
          <w:sz w:val="22"/>
          <w:szCs w:val="22"/>
        </w:rPr>
        <w:t>0</w:t>
      </w:r>
      <w:r w:rsidR="00EA39A7">
        <w:rPr>
          <w:sz w:val="22"/>
          <w:szCs w:val="22"/>
        </w:rPr>
        <w:t>), the total cost per annum is between</w:t>
      </w:r>
      <w:r w:rsidRPr="00D10FAD">
        <w:rPr>
          <w:sz w:val="22"/>
          <w:szCs w:val="22"/>
        </w:rPr>
        <w:t xml:space="preserve"> </w:t>
      </w:r>
      <w:r w:rsidR="0005418C" w:rsidRPr="00D10FAD">
        <w:rPr>
          <w:sz w:val="22"/>
          <w:szCs w:val="22"/>
        </w:rPr>
        <w:t>£</w:t>
      </w:r>
      <w:r w:rsidR="00C36EF5" w:rsidRPr="00D10FAD">
        <w:rPr>
          <w:sz w:val="22"/>
          <w:szCs w:val="22"/>
        </w:rPr>
        <w:t>7</w:t>
      </w:r>
      <w:r w:rsidR="003A2D4E">
        <w:rPr>
          <w:sz w:val="22"/>
          <w:szCs w:val="22"/>
        </w:rPr>
        <w:t>0</w:t>
      </w:r>
      <w:r w:rsidR="00C36EF5" w:rsidRPr="00D10FAD">
        <w:rPr>
          <w:sz w:val="22"/>
          <w:szCs w:val="22"/>
        </w:rPr>
        <w:t>,</w:t>
      </w:r>
      <w:r w:rsidR="003A2D4E">
        <w:rPr>
          <w:sz w:val="22"/>
          <w:szCs w:val="22"/>
        </w:rPr>
        <w:t>0</w:t>
      </w:r>
      <w:r w:rsidR="00EA39A7">
        <w:rPr>
          <w:sz w:val="22"/>
          <w:szCs w:val="22"/>
        </w:rPr>
        <w:t>00</w:t>
      </w:r>
      <w:r w:rsidRPr="00D10FAD">
        <w:rPr>
          <w:sz w:val="22"/>
          <w:szCs w:val="22"/>
        </w:rPr>
        <w:t xml:space="preserve"> and £</w:t>
      </w:r>
      <w:r w:rsidR="00EA39A7">
        <w:rPr>
          <w:sz w:val="22"/>
          <w:szCs w:val="22"/>
        </w:rPr>
        <w:t>1</w:t>
      </w:r>
      <w:r w:rsidR="003A2D4E">
        <w:rPr>
          <w:sz w:val="22"/>
          <w:szCs w:val="22"/>
        </w:rPr>
        <w:t>05</w:t>
      </w:r>
      <w:r w:rsidR="00094EAC" w:rsidRPr="00D10FAD">
        <w:rPr>
          <w:sz w:val="22"/>
          <w:szCs w:val="22"/>
        </w:rPr>
        <w:t>,</w:t>
      </w:r>
      <w:r w:rsidR="003A2D4E">
        <w:rPr>
          <w:sz w:val="22"/>
          <w:szCs w:val="22"/>
        </w:rPr>
        <w:t>00</w:t>
      </w:r>
      <w:r w:rsidR="00EA39A7">
        <w:rPr>
          <w:sz w:val="22"/>
          <w:szCs w:val="22"/>
        </w:rPr>
        <w:t>0</w:t>
      </w:r>
      <w:r w:rsidRPr="00D10FAD">
        <w:rPr>
          <w:sz w:val="22"/>
          <w:szCs w:val="22"/>
        </w:rPr>
        <w:t xml:space="preserve"> with a best estimate of </w:t>
      </w:r>
      <w:r w:rsidR="00094EAC" w:rsidRPr="00D10FAD">
        <w:rPr>
          <w:b/>
          <w:sz w:val="22"/>
          <w:szCs w:val="22"/>
        </w:rPr>
        <w:t>£</w:t>
      </w:r>
      <w:r w:rsidR="0093607E">
        <w:rPr>
          <w:b/>
          <w:sz w:val="22"/>
          <w:szCs w:val="22"/>
        </w:rPr>
        <w:t>87</w:t>
      </w:r>
      <w:r w:rsidR="00094EAC" w:rsidRPr="00D10FAD">
        <w:rPr>
          <w:b/>
          <w:sz w:val="22"/>
          <w:szCs w:val="22"/>
        </w:rPr>
        <w:t>,</w:t>
      </w:r>
      <w:r w:rsidR="0093607E">
        <w:rPr>
          <w:b/>
          <w:sz w:val="22"/>
          <w:szCs w:val="22"/>
        </w:rPr>
        <w:t>500</w:t>
      </w:r>
      <w:r w:rsidR="00094EAC" w:rsidRPr="00D10FAD">
        <w:rPr>
          <w:b/>
          <w:sz w:val="22"/>
          <w:szCs w:val="22"/>
        </w:rPr>
        <w:t>.</w:t>
      </w:r>
      <w:r w:rsidRPr="00D10FAD">
        <w:rPr>
          <w:sz w:val="22"/>
          <w:szCs w:val="22"/>
        </w:rPr>
        <w:t xml:space="preserve"> </w:t>
      </w:r>
    </w:p>
    <w:p w14:paraId="4D7CFD1C" w14:textId="77777777" w:rsidR="009657EB" w:rsidRDefault="00951AD1" w:rsidP="00D10FAD">
      <w:pPr>
        <w:autoSpaceDE w:val="0"/>
        <w:autoSpaceDN w:val="0"/>
        <w:adjustRightInd w:val="0"/>
        <w:spacing w:after="120"/>
        <w:rPr>
          <w:sz w:val="22"/>
          <w:szCs w:val="22"/>
        </w:rPr>
      </w:pPr>
      <w:r w:rsidRPr="00D10FAD">
        <w:rPr>
          <w:sz w:val="22"/>
          <w:szCs w:val="22"/>
        </w:rPr>
        <w:t xml:space="preserve">Cost to creditors from individuals able to access debt </w:t>
      </w:r>
      <w:proofErr w:type="gramStart"/>
      <w:r w:rsidRPr="00D10FAD">
        <w:rPr>
          <w:sz w:val="22"/>
          <w:szCs w:val="22"/>
        </w:rPr>
        <w:t>relie</w:t>
      </w:r>
      <w:r w:rsidR="00DB5B9A" w:rsidRPr="00D10FAD">
        <w:rPr>
          <w:sz w:val="22"/>
          <w:szCs w:val="22"/>
        </w:rPr>
        <w:t>f</w:t>
      </w:r>
      <w:proofErr w:type="gramEnd"/>
    </w:p>
    <w:p w14:paraId="6415BAEC" w14:textId="017AD209" w:rsidR="000B1A98" w:rsidRPr="00D10FAD" w:rsidRDefault="000B1A98" w:rsidP="00D10FAD">
      <w:pPr>
        <w:autoSpaceDE w:val="0"/>
        <w:autoSpaceDN w:val="0"/>
        <w:adjustRightInd w:val="0"/>
        <w:spacing w:after="120"/>
        <w:rPr>
          <w:sz w:val="22"/>
          <w:szCs w:val="22"/>
        </w:rPr>
      </w:pPr>
      <w:r>
        <w:rPr>
          <w:sz w:val="22"/>
          <w:szCs w:val="22"/>
        </w:rPr>
        <w:t xml:space="preserve">76. The enlargement of the criteria may divert cases from individual voluntary arrangements (IVAs) and det management </w:t>
      </w:r>
      <w:proofErr w:type="gramStart"/>
      <w:r>
        <w:rPr>
          <w:sz w:val="22"/>
          <w:szCs w:val="22"/>
        </w:rPr>
        <w:t>plans(</w:t>
      </w:r>
      <w:proofErr w:type="gramEnd"/>
      <w:r>
        <w:rPr>
          <w:sz w:val="22"/>
          <w:szCs w:val="22"/>
        </w:rPr>
        <w:t xml:space="preserve">DMPs). </w:t>
      </w:r>
    </w:p>
    <w:p w14:paraId="5AD53009" w14:textId="07A1C4CA" w:rsidR="0074428C" w:rsidRPr="00D10FAD" w:rsidRDefault="0074428C" w:rsidP="00D10FAD">
      <w:pPr>
        <w:autoSpaceDE w:val="0"/>
        <w:autoSpaceDN w:val="0"/>
        <w:adjustRightInd w:val="0"/>
        <w:spacing w:after="120"/>
        <w:rPr>
          <w:sz w:val="22"/>
          <w:szCs w:val="22"/>
        </w:rPr>
      </w:pPr>
      <w:r w:rsidRPr="00D10FAD">
        <w:rPr>
          <w:sz w:val="22"/>
          <w:szCs w:val="22"/>
        </w:rPr>
        <w:t>7</w:t>
      </w:r>
      <w:r w:rsidR="000B1A98">
        <w:rPr>
          <w:sz w:val="22"/>
          <w:szCs w:val="22"/>
        </w:rPr>
        <w:t>7</w:t>
      </w:r>
      <w:r w:rsidRPr="00D10FAD">
        <w:rPr>
          <w:sz w:val="22"/>
          <w:szCs w:val="22"/>
        </w:rPr>
        <w:t>. In a DRO the debts of the debtor are completely written off and so no distribution is</w:t>
      </w:r>
      <w:r w:rsidR="000C4E94" w:rsidRPr="00D10FAD">
        <w:rPr>
          <w:sz w:val="22"/>
          <w:szCs w:val="22"/>
        </w:rPr>
        <w:t xml:space="preserve"> </w:t>
      </w:r>
      <w:r w:rsidRPr="00D10FAD">
        <w:rPr>
          <w:sz w:val="22"/>
          <w:szCs w:val="22"/>
        </w:rPr>
        <w:t>made to creditors. This differs to other solutions for example an Individual Voluntary</w:t>
      </w:r>
      <w:r w:rsidR="000C4E94" w:rsidRPr="00D10FAD">
        <w:rPr>
          <w:sz w:val="22"/>
          <w:szCs w:val="22"/>
        </w:rPr>
        <w:t xml:space="preserve"> </w:t>
      </w:r>
      <w:r w:rsidRPr="00D10FAD">
        <w:rPr>
          <w:sz w:val="22"/>
          <w:szCs w:val="22"/>
        </w:rPr>
        <w:t>Arrangement (IVA) or Debt Management Plan (DMP) where a sum of money is</w:t>
      </w:r>
      <w:r w:rsidR="000C4E94" w:rsidRPr="00D10FAD">
        <w:rPr>
          <w:sz w:val="22"/>
          <w:szCs w:val="22"/>
        </w:rPr>
        <w:t xml:space="preserve"> </w:t>
      </w:r>
      <w:r w:rsidRPr="00D10FAD">
        <w:rPr>
          <w:sz w:val="22"/>
          <w:szCs w:val="22"/>
        </w:rPr>
        <w:t>repaid to creditors over a period, or bankruptcy</w:t>
      </w:r>
      <w:r w:rsidR="000808B6">
        <w:rPr>
          <w:sz w:val="22"/>
          <w:szCs w:val="22"/>
        </w:rPr>
        <w:t>,</w:t>
      </w:r>
      <w:r w:rsidRPr="00D10FAD">
        <w:rPr>
          <w:sz w:val="22"/>
          <w:szCs w:val="22"/>
        </w:rPr>
        <w:t xml:space="preserve"> where</w:t>
      </w:r>
      <w:r w:rsidR="000808B6">
        <w:rPr>
          <w:sz w:val="22"/>
          <w:szCs w:val="22"/>
        </w:rPr>
        <w:t>,</w:t>
      </w:r>
      <w:r w:rsidRPr="00D10FAD">
        <w:rPr>
          <w:sz w:val="22"/>
          <w:szCs w:val="22"/>
        </w:rPr>
        <w:t xml:space="preserve"> after accounting for the costs</w:t>
      </w:r>
      <w:r w:rsidR="000C4E94" w:rsidRPr="00D10FAD">
        <w:rPr>
          <w:sz w:val="22"/>
          <w:szCs w:val="22"/>
        </w:rPr>
        <w:t xml:space="preserve"> </w:t>
      </w:r>
      <w:r w:rsidRPr="00D10FAD">
        <w:rPr>
          <w:sz w:val="22"/>
          <w:szCs w:val="22"/>
        </w:rPr>
        <w:t xml:space="preserve">of completing the </w:t>
      </w:r>
      <w:proofErr w:type="gramStart"/>
      <w:r w:rsidRPr="00D10FAD">
        <w:rPr>
          <w:sz w:val="22"/>
          <w:szCs w:val="22"/>
        </w:rPr>
        <w:t>process</w:t>
      </w:r>
      <w:proofErr w:type="gramEnd"/>
      <w:r w:rsidRPr="00D10FAD">
        <w:rPr>
          <w:sz w:val="22"/>
          <w:szCs w:val="22"/>
        </w:rPr>
        <w:t xml:space="preserve"> the trustee distributes any assets left to creditors.</w:t>
      </w:r>
    </w:p>
    <w:p w14:paraId="1047FEBA" w14:textId="043C4F7C" w:rsidR="0074428C" w:rsidRPr="00D10FAD" w:rsidRDefault="0074428C" w:rsidP="00D10FAD">
      <w:pPr>
        <w:autoSpaceDE w:val="0"/>
        <w:autoSpaceDN w:val="0"/>
        <w:adjustRightInd w:val="0"/>
        <w:spacing w:after="120"/>
        <w:rPr>
          <w:sz w:val="22"/>
          <w:szCs w:val="22"/>
        </w:rPr>
      </w:pPr>
      <w:r w:rsidRPr="00D10FAD">
        <w:rPr>
          <w:sz w:val="22"/>
          <w:szCs w:val="22"/>
        </w:rPr>
        <w:t>7</w:t>
      </w:r>
      <w:r w:rsidR="000B1A98">
        <w:rPr>
          <w:sz w:val="22"/>
          <w:szCs w:val="22"/>
        </w:rPr>
        <w:t>8</w:t>
      </w:r>
      <w:r w:rsidRPr="00D10FAD">
        <w:rPr>
          <w:sz w:val="22"/>
          <w:szCs w:val="22"/>
        </w:rPr>
        <w:t xml:space="preserve">. In Table </w:t>
      </w:r>
      <w:r w:rsidR="000808B6">
        <w:rPr>
          <w:sz w:val="22"/>
          <w:szCs w:val="22"/>
        </w:rPr>
        <w:t>5</w:t>
      </w:r>
      <w:r w:rsidRPr="00D10FAD">
        <w:rPr>
          <w:sz w:val="22"/>
          <w:szCs w:val="22"/>
        </w:rPr>
        <w:t xml:space="preserve"> we estimated that there would be </w:t>
      </w:r>
      <w:r w:rsidR="00E036F6" w:rsidRPr="00D10FAD">
        <w:rPr>
          <w:sz w:val="22"/>
          <w:szCs w:val="22"/>
        </w:rPr>
        <w:t>1</w:t>
      </w:r>
      <w:r w:rsidR="000808B6">
        <w:rPr>
          <w:sz w:val="22"/>
          <w:szCs w:val="22"/>
        </w:rPr>
        <w:t>2</w:t>
      </w:r>
      <w:r w:rsidRPr="00D10FAD">
        <w:rPr>
          <w:sz w:val="22"/>
          <w:szCs w:val="22"/>
        </w:rPr>
        <w:t xml:space="preserve"> fewer debtor</w:t>
      </w:r>
      <w:r w:rsidR="00E036F6" w:rsidRPr="00D10FAD">
        <w:rPr>
          <w:sz w:val="22"/>
          <w:szCs w:val="22"/>
        </w:rPr>
        <w:t xml:space="preserve"> </w:t>
      </w:r>
      <w:r w:rsidRPr="00D10FAD">
        <w:rPr>
          <w:sz w:val="22"/>
          <w:szCs w:val="22"/>
        </w:rPr>
        <w:t>bankruptcies, which would move to DROs. There will be no cost to creditors for these</w:t>
      </w:r>
      <w:r w:rsidR="00E036F6" w:rsidRPr="00D10FAD">
        <w:rPr>
          <w:sz w:val="22"/>
          <w:szCs w:val="22"/>
        </w:rPr>
        <w:t xml:space="preserve"> </w:t>
      </w:r>
      <w:r w:rsidRPr="00D10FAD">
        <w:rPr>
          <w:sz w:val="22"/>
          <w:szCs w:val="22"/>
        </w:rPr>
        <w:t xml:space="preserve">cases because the </w:t>
      </w:r>
      <w:r w:rsidR="005F3E05" w:rsidRPr="00D10FAD">
        <w:rPr>
          <w:sz w:val="22"/>
          <w:szCs w:val="22"/>
        </w:rPr>
        <w:t>Official Receiver charges a £1,050 a</w:t>
      </w:r>
      <w:r w:rsidRPr="00D10FAD">
        <w:rPr>
          <w:sz w:val="22"/>
          <w:szCs w:val="22"/>
        </w:rPr>
        <w:t>dministration fee in a</w:t>
      </w:r>
      <w:r w:rsidR="005F3E05" w:rsidRPr="00D10FAD">
        <w:rPr>
          <w:sz w:val="22"/>
          <w:szCs w:val="22"/>
        </w:rPr>
        <w:t xml:space="preserve">ll bankruptcies, and this together with the petitioner’s costs averaging £1,700 and </w:t>
      </w:r>
      <w:r w:rsidR="00414BD6" w:rsidRPr="00D10FAD">
        <w:rPr>
          <w:sz w:val="22"/>
          <w:szCs w:val="22"/>
        </w:rPr>
        <w:t xml:space="preserve">the £125 cost of an advertisement plus the charge which would be made for the time spent by the Official Receiver’s staff making any distribution  would </w:t>
      </w:r>
      <w:r w:rsidRPr="00D10FAD">
        <w:rPr>
          <w:sz w:val="22"/>
          <w:szCs w:val="22"/>
        </w:rPr>
        <w:t>outweigh all assets (which are used to defray costs before any distribution) for the</w:t>
      </w:r>
      <w:r w:rsidR="00DE4DF4" w:rsidRPr="00D10FAD">
        <w:rPr>
          <w:sz w:val="22"/>
          <w:szCs w:val="22"/>
        </w:rPr>
        <w:t xml:space="preserve"> </w:t>
      </w:r>
      <w:r w:rsidRPr="00D10FAD">
        <w:rPr>
          <w:sz w:val="22"/>
          <w:szCs w:val="22"/>
        </w:rPr>
        <w:t>option under consideration (assets &lt;£2,000).</w:t>
      </w:r>
    </w:p>
    <w:p w14:paraId="70E0E510" w14:textId="62AA8E91" w:rsidR="0074428C" w:rsidRDefault="00414BD6" w:rsidP="00D10FAD">
      <w:pPr>
        <w:autoSpaceDE w:val="0"/>
        <w:autoSpaceDN w:val="0"/>
        <w:adjustRightInd w:val="0"/>
        <w:spacing w:after="120"/>
        <w:rPr>
          <w:sz w:val="22"/>
          <w:szCs w:val="22"/>
        </w:rPr>
      </w:pPr>
      <w:r w:rsidRPr="00D10FAD">
        <w:rPr>
          <w:sz w:val="22"/>
          <w:szCs w:val="22"/>
        </w:rPr>
        <w:t>7</w:t>
      </w:r>
      <w:r w:rsidR="000B1A98">
        <w:rPr>
          <w:sz w:val="22"/>
          <w:szCs w:val="22"/>
        </w:rPr>
        <w:t>9</w:t>
      </w:r>
      <w:r w:rsidR="0074428C" w:rsidRPr="00D10FAD">
        <w:rPr>
          <w:sz w:val="22"/>
          <w:szCs w:val="22"/>
        </w:rPr>
        <w:t xml:space="preserve">. As a result of the changes an expected </w:t>
      </w:r>
      <w:r w:rsidR="00E036F6" w:rsidRPr="00D10FAD">
        <w:rPr>
          <w:sz w:val="22"/>
          <w:szCs w:val="22"/>
        </w:rPr>
        <w:t>2</w:t>
      </w:r>
      <w:r w:rsidR="000808B6">
        <w:rPr>
          <w:sz w:val="22"/>
          <w:szCs w:val="22"/>
        </w:rPr>
        <w:t>80</w:t>
      </w:r>
      <w:r w:rsidR="0074428C" w:rsidRPr="00D10FAD">
        <w:rPr>
          <w:sz w:val="22"/>
          <w:szCs w:val="22"/>
        </w:rPr>
        <w:t xml:space="preserve"> </w:t>
      </w:r>
      <w:r w:rsidRPr="00D10FAD">
        <w:rPr>
          <w:sz w:val="22"/>
          <w:szCs w:val="22"/>
        </w:rPr>
        <w:t xml:space="preserve">additional </w:t>
      </w:r>
      <w:r w:rsidR="0074428C" w:rsidRPr="00D10FAD">
        <w:rPr>
          <w:sz w:val="22"/>
          <w:szCs w:val="22"/>
        </w:rPr>
        <w:t>individuals will obtain a</w:t>
      </w:r>
      <w:r w:rsidR="00DE4DF4" w:rsidRPr="00D10FAD">
        <w:rPr>
          <w:sz w:val="22"/>
          <w:szCs w:val="22"/>
        </w:rPr>
        <w:t xml:space="preserve"> </w:t>
      </w:r>
      <w:r w:rsidR="0074428C" w:rsidRPr="00D10FAD">
        <w:rPr>
          <w:sz w:val="22"/>
          <w:szCs w:val="22"/>
        </w:rPr>
        <w:t>DRO</w:t>
      </w:r>
      <w:r w:rsidRPr="00D10FAD">
        <w:rPr>
          <w:sz w:val="22"/>
          <w:szCs w:val="22"/>
        </w:rPr>
        <w:t xml:space="preserve"> each year</w:t>
      </w:r>
      <w:r w:rsidR="0074428C" w:rsidRPr="00D10FAD">
        <w:rPr>
          <w:sz w:val="22"/>
          <w:szCs w:val="22"/>
        </w:rPr>
        <w:t>. These individuals would otherwise enter an alternative solution such as DMP,</w:t>
      </w:r>
      <w:r w:rsidR="00DE4DF4" w:rsidRPr="00D10FAD">
        <w:rPr>
          <w:sz w:val="22"/>
          <w:szCs w:val="22"/>
        </w:rPr>
        <w:t xml:space="preserve"> </w:t>
      </w:r>
      <w:r w:rsidR="0074428C" w:rsidRPr="00D10FAD">
        <w:rPr>
          <w:sz w:val="22"/>
          <w:szCs w:val="22"/>
        </w:rPr>
        <w:t>IVA, debtor bankruptcy or make token payments and there may be a loss to creditors</w:t>
      </w:r>
      <w:r w:rsidR="00DE4DF4" w:rsidRPr="00D10FAD">
        <w:rPr>
          <w:sz w:val="22"/>
          <w:szCs w:val="22"/>
        </w:rPr>
        <w:t xml:space="preserve"> </w:t>
      </w:r>
      <w:r w:rsidR="0074428C" w:rsidRPr="00D10FAD">
        <w:rPr>
          <w:sz w:val="22"/>
          <w:szCs w:val="22"/>
        </w:rPr>
        <w:t>as the alternative in some instances could provide a small return whilst a DRO would</w:t>
      </w:r>
      <w:r w:rsidR="00DE4DF4" w:rsidRPr="00D10FAD">
        <w:rPr>
          <w:sz w:val="22"/>
          <w:szCs w:val="22"/>
        </w:rPr>
        <w:t xml:space="preserve"> </w:t>
      </w:r>
      <w:r w:rsidR="0074428C" w:rsidRPr="00D10FAD">
        <w:rPr>
          <w:sz w:val="22"/>
          <w:szCs w:val="22"/>
        </w:rPr>
        <w:t>not.</w:t>
      </w:r>
    </w:p>
    <w:p w14:paraId="15C080F5" w14:textId="77777777" w:rsidR="00505F45" w:rsidRDefault="00505F45" w:rsidP="00D10FAD">
      <w:pPr>
        <w:autoSpaceDE w:val="0"/>
        <w:autoSpaceDN w:val="0"/>
        <w:adjustRightInd w:val="0"/>
        <w:spacing w:after="120"/>
        <w:rPr>
          <w:sz w:val="22"/>
          <w:szCs w:val="22"/>
        </w:rPr>
      </w:pPr>
    </w:p>
    <w:p w14:paraId="03B58AE5" w14:textId="77777777" w:rsidR="00505F45" w:rsidRDefault="00505F45" w:rsidP="00D10FAD">
      <w:pPr>
        <w:autoSpaceDE w:val="0"/>
        <w:autoSpaceDN w:val="0"/>
        <w:adjustRightInd w:val="0"/>
        <w:spacing w:after="120"/>
        <w:rPr>
          <w:sz w:val="22"/>
          <w:szCs w:val="22"/>
        </w:rPr>
      </w:pPr>
    </w:p>
    <w:p w14:paraId="5CB13A9E" w14:textId="77777777" w:rsidR="00505F45" w:rsidRDefault="00505F45" w:rsidP="00D10FAD">
      <w:pPr>
        <w:autoSpaceDE w:val="0"/>
        <w:autoSpaceDN w:val="0"/>
        <w:adjustRightInd w:val="0"/>
        <w:spacing w:after="120"/>
        <w:rPr>
          <w:sz w:val="22"/>
          <w:szCs w:val="22"/>
        </w:rPr>
      </w:pPr>
    </w:p>
    <w:p w14:paraId="39E7AECF" w14:textId="12D7414E" w:rsidR="0074428C" w:rsidRPr="00D10FAD" w:rsidRDefault="000B1A98" w:rsidP="00D10FAD">
      <w:pPr>
        <w:autoSpaceDE w:val="0"/>
        <w:autoSpaceDN w:val="0"/>
        <w:adjustRightInd w:val="0"/>
        <w:spacing w:after="120"/>
        <w:rPr>
          <w:sz w:val="22"/>
          <w:szCs w:val="22"/>
        </w:rPr>
      </w:pPr>
      <w:r>
        <w:rPr>
          <w:sz w:val="22"/>
          <w:szCs w:val="22"/>
        </w:rPr>
        <w:t>80</w:t>
      </w:r>
      <w:r w:rsidR="0074428C" w:rsidRPr="00D10FAD">
        <w:rPr>
          <w:sz w:val="22"/>
          <w:szCs w:val="22"/>
        </w:rPr>
        <w:t xml:space="preserve">. Table </w:t>
      </w:r>
      <w:r w:rsidR="000808B6">
        <w:rPr>
          <w:sz w:val="22"/>
          <w:szCs w:val="22"/>
        </w:rPr>
        <w:t>6</w:t>
      </w:r>
      <w:r w:rsidR="0074428C" w:rsidRPr="00D10FAD">
        <w:rPr>
          <w:sz w:val="22"/>
          <w:szCs w:val="22"/>
        </w:rPr>
        <w:t xml:space="preserve"> examines debt advice data from StepChange, a large provider of debt</w:t>
      </w:r>
      <w:r w:rsidR="00DE4DF4" w:rsidRPr="00D10FAD">
        <w:rPr>
          <w:sz w:val="22"/>
          <w:szCs w:val="22"/>
        </w:rPr>
        <w:t xml:space="preserve"> </w:t>
      </w:r>
      <w:r w:rsidR="0074428C" w:rsidRPr="00D10FAD">
        <w:rPr>
          <w:sz w:val="22"/>
          <w:szCs w:val="22"/>
        </w:rPr>
        <w:t>advice, which can be used to understand the recommendations for the newly eligible</w:t>
      </w:r>
      <w:r w:rsidR="00DE4DF4" w:rsidRPr="00D10FAD">
        <w:rPr>
          <w:sz w:val="22"/>
          <w:szCs w:val="22"/>
        </w:rPr>
        <w:t xml:space="preserve"> </w:t>
      </w:r>
      <w:r w:rsidR="0074428C" w:rsidRPr="00D10FAD">
        <w:rPr>
          <w:sz w:val="22"/>
          <w:szCs w:val="22"/>
        </w:rPr>
        <w:t>under the changes considered.</w:t>
      </w:r>
    </w:p>
    <w:p w14:paraId="675D466D" w14:textId="77777777" w:rsidR="00F17A98" w:rsidRDefault="00F17A98" w:rsidP="00BC79A8">
      <w:pPr>
        <w:autoSpaceDE w:val="0"/>
        <w:autoSpaceDN w:val="0"/>
        <w:adjustRightInd w:val="0"/>
        <w:rPr>
          <w:b/>
          <w:sz w:val="22"/>
          <w:szCs w:val="22"/>
        </w:rPr>
      </w:pPr>
    </w:p>
    <w:p w14:paraId="5A0E6452" w14:textId="0C4A78F2" w:rsidR="00BC79A8" w:rsidRPr="00D10FAD" w:rsidRDefault="00BC79A8" w:rsidP="00BC79A8">
      <w:pPr>
        <w:autoSpaceDE w:val="0"/>
        <w:autoSpaceDN w:val="0"/>
        <w:adjustRightInd w:val="0"/>
        <w:rPr>
          <w:b/>
          <w:sz w:val="22"/>
          <w:szCs w:val="22"/>
        </w:rPr>
      </w:pPr>
      <w:r w:rsidRPr="00D10FAD">
        <w:rPr>
          <w:b/>
          <w:sz w:val="22"/>
          <w:szCs w:val="22"/>
        </w:rPr>
        <w:t xml:space="preserve">Table </w:t>
      </w:r>
      <w:r w:rsidR="00F17A98">
        <w:rPr>
          <w:b/>
          <w:sz w:val="22"/>
          <w:szCs w:val="22"/>
        </w:rPr>
        <w:t>6</w:t>
      </w:r>
      <w:r w:rsidRPr="00D10FAD">
        <w:rPr>
          <w:b/>
          <w:sz w:val="22"/>
          <w:szCs w:val="22"/>
        </w:rPr>
        <w:t>: Debt Advice Recommendations for clients newly eligible under the proposed</w:t>
      </w:r>
    </w:p>
    <w:p w14:paraId="752B7E4B" w14:textId="77777777" w:rsidR="00595491" w:rsidRPr="00D10FAD" w:rsidRDefault="00BC79A8" w:rsidP="00895704">
      <w:pPr>
        <w:autoSpaceDE w:val="0"/>
        <w:autoSpaceDN w:val="0"/>
        <w:adjustRightInd w:val="0"/>
        <w:rPr>
          <w:b/>
          <w:sz w:val="22"/>
          <w:szCs w:val="22"/>
        </w:rPr>
      </w:pPr>
      <w:r w:rsidRPr="00D10FAD">
        <w:rPr>
          <w:b/>
          <w:sz w:val="22"/>
          <w:szCs w:val="22"/>
        </w:rPr>
        <w:t>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BC79A8" w:rsidRPr="00633593" w14:paraId="31FF5255" w14:textId="77777777" w:rsidTr="00735376">
        <w:tc>
          <w:tcPr>
            <w:tcW w:w="2574" w:type="dxa"/>
            <w:shd w:val="clear" w:color="auto" w:fill="auto"/>
          </w:tcPr>
          <w:p w14:paraId="60BA1BA9" w14:textId="7F00D6F4" w:rsidR="00BC79A8" w:rsidRPr="00D10FAD" w:rsidRDefault="00BC79A8" w:rsidP="00735376">
            <w:pPr>
              <w:autoSpaceDE w:val="0"/>
              <w:autoSpaceDN w:val="0"/>
              <w:adjustRightInd w:val="0"/>
              <w:rPr>
                <w:sz w:val="22"/>
                <w:szCs w:val="22"/>
              </w:rPr>
            </w:pPr>
            <w:r w:rsidRPr="00D10FAD">
              <w:rPr>
                <w:b/>
                <w:bCs/>
                <w:sz w:val="22"/>
                <w:szCs w:val="22"/>
              </w:rPr>
              <w:t>Recommendation</w:t>
            </w:r>
            <w:r w:rsidR="00476FB9">
              <w:rPr>
                <w:rStyle w:val="FootnoteReference"/>
                <w:b/>
                <w:bCs/>
                <w:sz w:val="22"/>
                <w:szCs w:val="22"/>
              </w:rPr>
              <w:footnoteReference w:id="17"/>
            </w:r>
          </w:p>
        </w:tc>
        <w:tc>
          <w:tcPr>
            <w:tcW w:w="2574" w:type="dxa"/>
            <w:shd w:val="clear" w:color="auto" w:fill="auto"/>
          </w:tcPr>
          <w:p w14:paraId="5EC409DE" w14:textId="77777777" w:rsidR="00BC79A8" w:rsidRPr="00D10FAD" w:rsidRDefault="00BC79A8" w:rsidP="00735376">
            <w:pPr>
              <w:autoSpaceDE w:val="0"/>
              <w:autoSpaceDN w:val="0"/>
              <w:adjustRightInd w:val="0"/>
              <w:rPr>
                <w:b/>
                <w:bCs/>
                <w:sz w:val="22"/>
                <w:szCs w:val="22"/>
              </w:rPr>
            </w:pPr>
            <w:r w:rsidRPr="00D10FAD">
              <w:rPr>
                <w:b/>
                <w:bCs/>
                <w:sz w:val="22"/>
                <w:szCs w:val="22"/>
              </w:rPr>
              <w:t>% of clients</w:t>
            </w:r>
          </w:p>
          <w:p w14:paraId="21BB83EF" w14:textId="77777777" w:rsidR="00BC79A8" w:rsidRPr="00D10FAD" w:rsidRDefault="00BC79A8" w:rsidP="00735376">
            <w:pPr>
              <w:autoSpaceDE w:val="0"/>
              <w:autoSpaceDN w:val="0"/>
              <w:adjustRightInd w:val="0"/>
              <w:rPr>
                <w:b/>
                <w:bCs/>
                <w:sz w:val="22"/>
                <w:szCs w:val="22"/>
              </w:rPr>
            </w:pPr>
            <w:r w:rsidRPr="00D10FAD">
              <w:rPr>
                <w:b/>
                <w:bCs/>
                <w:sz w:val="22"/>
                <w:szCs w:val="22"/>
              </w:rPr>
              <w:t>advised</w:t>
            </w:r>
          </w:p>
          <w:p w14:paraId="31C12C16" w14:textId="77777777" w:rsidR="00BC79A8" w:rsidRPr="00D10FAD" w:rsidRDefault="00BC79A8" w:rsidP="00735376">
            <w:pPr>
              <w:autoSpaceDE w:val="0"/>
              <w:autoSpaceDN w:val="0"/>
              <w:adjustRightInd w:val="0"/>
              <w:rPr>
                <w:sz w:val="22"/>
                <w:szCs w:val="22"/>
              </w:rPr>
            </w:pPr>
          </w:p>
        </w:tc>
        <w:tc>
          <w:tcPr>
            <w:tcW w:w="2574" w:type="dxa"/>
            <w:shd w:val="clear" w:color="auto" w:fill="auto"/>
          </w:tcPr>
          <w:p w14:paraId="5AC50DAD" w14:textId="77777777" w:rsidR="00BC79A8" w:rsidRPr="00D10FAD" w:rsidRDefault="00BC79A8" w:rsidP="00735376">
            <w:pPr>
              <w:autoSpaceDE w:val="0"/>
              <w:autoSpaceDN w:val="0"/>
              <w:adjustRightInd w:val="0"/>
              <w:rPr>
                <w:b/>
                <w:bCs/>
                <w:sz w:val="22"/>
                <w:szCs w:val="22"/>
              </w:rPr>
            </w:pPr>
            <w:r w:rsidRPr="00D10FAD">
              <w:rPr>
                <w:b/>
                <w:bCs/>
                <w:sz w:val="22"/>
                <w:szCs w:val="22"/>
              </w:rPr>
              <w:t>Returns to</w:t>
            </w:r>
          </w:p>
          <w:p w14:paraId="54AA7CD7" w14:textId="5E433883" w:rsidR="00BC79A8" w:rsidRPr="00D10FAD" w:rsidRDefault="00B47A35" w:rsidP="00735376">
            <w:pPr>
              <w:autoSpaceDE w:val="0"/>
              <w:autoSpaceDN w:val="0"/>
              <w:adjustRightInd w:val="0"/>
              <w:rPr>
                <w:sz w:val="22"/>
                <w:szCs w:val="22"/>
              </w:rPr>
            </w:pPr>
            <w:r w:rsidRPr="00D10FAD">
              <w:rPr>
                <w:b/>
                <w:bCs/>
                <w:sz w:val="22"/>
                <w:szCs w:val="22"/>
              </w:rPr>
              <w:t>C</w:t>
            </w:r>
            <w:r w:rsidR="00BC79A8" w:rsidRPr="00D10FAD">
              <w:rPr>
                <w:b/>
                <w:bCs/>
                <w:sz w:val="22"/>
                <w:szCs w:val="22"/>
              </w:rPr>
              <w:t>reditors</w:t>
            </w:r>
            <w:r w:rsidR="00476FB9">
              <w:rPr>
                <w:rStyle w:val="FootnoteReference"/>
                <w:b/>
                <w:bCs/>
                <w:sz w:val="22"/>
                <w:szCs w:val="22"/>
              </w:rPr>
              <w:footnoteReference w:id="18"/>
            </w:r>
          </w:p>
        </w:tc>
        <w:tc>
          <w:tcPr>
            <w:tcW w:w="2574" w:type="dxa"/>
            <w:shd w:val="clear" w:color="auto" w:fill="auto"/>
          </w:tcPr>
          <w:p w14:paraId="2B841986" w14:textId="77777777" w:rsidR="00BC79A8" w:rsidRPr="00D10FAD" w:rsidRDefault="00BC79A8" w:rsidP="00735376">
            <w:pPr>
              <w:autoSpaceDE w:val="0"/>
              <w:autoSpaceDN w:val="0"/>
              <w:adjustRightInd w:val="0"/>
              <w:rPr>
                <w:b/>
                <w:bCs/>
                <w:sz w:val="22"/>
                <w:szCs w:val="22"/>
              </w:rPr>
            </w:pPr>
            <w:r w:rsidRPr="00D10FAD">
              <w:rPr>
                <w:b/>
                <w:bCs/>
                <w:sz w:val="22"/>
                <w:szCs w:val="22"/>
              </w:rPr>
              <w:t>Comments</w:t>
            </w:r>
          </w:p>
          <w:p w14:paraId="05D40638" w14:textId="77777777" w:rsidR="00BC79A8" w:rsidRPr="00D10FAD" w:rsidRDefault="00BC79A8" w:rsidP="00735376">
            <w:pPr>
              <w:autoSpaceDE w:val="0"/>
              <w:autoSpaceDN w:val="0"/>
              <w:adjustRightInd w:val="0"/>
              <w:rPr>
                <w:sz w:val="22"/>
                <w:szCs w:val="22"/>
              </w:rPr>
            </w:pPr>
          </w:p>
        </w:tc>
      </w:tr>
      <w:tr w:rsidR="00BC79A8" w:rsidRPr="00633593" w14:paraId="3CA683CB" w14:textId="77777777" w:rsidTr="00735376">
        <w:tc>
          <w:tcPr>
            <w:tcW w:w="2574" w:type="dxa"/>
            <w:shd w:val="clear" w:color="auto" w:fill="auto"/>
          </w:tcPr>
          <w:p w14:paraId="2B06655D" w14:textId="77777777" w:rsidR="00BC79A8" w:rsidRPr="00D10FAD" w:rsidRDefault="00BC79A8" w:rsidP="00735376">
            <w:pPr>
              <w:autoSpaceDE w:val="0"/>
              <w:autoSpaceDN w:val="0"/>
              <w:adjustRightInd w:val="0"/>
              <w:rPr>
                <w:sz w:val="22"/>
                <w:szCs w:val="22"/>
              </w:rPr>
            </w:pPr>
            <w:r w:rsidRPr="00D10FAD">
              <w:rPr>
                <w:sz w:val="22"/>
                <w:szCs w:val="22"/>
              </w:rPr>
              <w:t>Income</w:t>
            </w:r>
          </w:p>
          <w:p w14:paraId="2F6B7C80" w14:textId="77777777" w:rsidR="00BC79A8" w:rsidRPr="00D10FAD" w:rsidRDefault="00BC79A8" w:rsidP="00735376">
            <w:pPr>
              <w:autoSpaceDE w:val="0"/>
              <w:autoSpaceDN w:val="0"/>
              <w:adjustRightInd w:val="0"/>
              <w:rPr>
                <w:sz w:val="22"/>
                <w:szCs w:val="22"/>
              </w:rPr>
            </w:pPr>
            <w:r w:rsidRPr="00D10FAD">
              <w:rPr>
                <w:sz w:val="22"/>
                <w:szCs w:val="22"/>
              </w:rPr>
              <w:t>Maximisation</w:t>
            </w:r>
          </w:p>
        </w:tc>
        <w:tc>
          <w:tcPr>
            <w:tcW w:w="2574" w:type="dxa"/>
            <w:shd w:val="clear" w:color="auto" w:fill="auto"/>
          </w:tcPr>
          <w:p w14:paraId="4993FA90" w14:textId="77777777" w:rsidR="00BC79A8" w:rsidRPr="00D10FAD" w:rsidRDefault="00BC79A8" w:rsidP="00735376">
            <w:pPr>
              <w:autoSpaceDE w:val="0"/>
              <w:autoSpaceDN w:val="0"/>
              <w:adjustRightInd w:val="0"/>
              <w:rPr>
                <w:sz w:val="22"/>
                <w:szCs w:val="22"/>
              </w:rPr>
            </w:pPr>
            <w:r w:rsidRPr="00D10FAD">
              <w:rPr>
                <w:sz w:val="22"/>
                <w:szCs w:val="22"/>
              </w:rPr>
              <w:t>30.2%</w:t>
            </w:r>
          </w:p>
          <w:p w14:paraId="4D004BC4" w14:textId="77777777" w:rsidR="00BC79A8" w:rsidRPr="00D10FAD" w:rsidRDefault="00BC79A8" w:rsidP="00735376">
            <w:pPr>
              <w:autoSpaceDE w:val="0"/>
              <w:autoSpaceDN w:val="0"/>
              <w:adjustRightInd w:val="0"/>
              <w:rPr>
                <w:sz w:val="22"/>
                <w:szCs w:val="22"/>
              </w:rPr>
            </w:pPr>
          </w:p>
        </w:tc>
        <w:tc>
          <w:tcPr>
            <w:tcW w:w="2574" w:type="dxa"/>
            <w:shd w:val="clear" w:color="auto" w:fill="auto"/>
          </w:tcPr>
          <w:p w14:paraId="1F6775CC" w14:textId="77777777" w:rsidR="00BC79A8" w:rsidRPr="00D10FAD" w:rsidRDefault="00BC79A8" w:rsidP="00735376">
            <w:pPr>
              <w:autoSpaceDE w:val="0"/>
              <w:autoSpaceDN w:val="0"/>
              <w:adjustRightInd w:val="0"/>
              <w:rPr>
                <w:sz w:val="22"/>
                <w:szCs w:val="22"/>
              </w:rPr>
            </w:pPr>
            <w:r w:rsidRPr="00D10FAD">
              <w:rPr>
                <w:sz w:val="22"/>
                <w:szCs w:val="22"/>
              </w:rPr>
              <w:t>0%</w:t>
            </w:r>
          </w:p>
        </w:tc>
        <w:tc>
          <w:tcPr>
            <w:tcW w:w="2574" w:type="dxa"/>
            <w:shd w:val="clear" w:color="auto" w:fill="auto"/>
          </w:tcPr>
          <w:p w14:paraId="5F1ED38C" w14:textId="77777777" w:rsidR="00BC79A8" w:rsidRPr="00D10FAD" w:rsidRDefault="00BC79A8" w:rsidP="00735376">
            <w:pPr>
              <w:autoSpaceDE w:val="0"/>
              <w:autoSpaceDN w:val="0"/>
              <w:adjustRightInd w:val="0"/>
              <w:rPr>
                <w:sz w:val="22"/>
                <w:szCs w:val="22"/>
              </w:rPr>
            </w:pPr>
            <w:r w:rsidRPr="00D10FAD">
              <w:rPr>
                <w:sz w:val="22"/>
                <w:szCs w:val="22"/>
              </w:rPr>
              <w:t>Budgeting help</w:t>
            </w:r>
          </w:p>
        </w:tc>
      </w:tr>
      <w:tr w:rsidR="00BC79A8" w:rsidRPr="00633593" w14:paraId="5822279D" w14:textId="77777777" w:rsidTr="00735376">
        <w:tc>
          <w:tcPr>
            <w:tcW w:w="2574" w:type="dxa"/>
            <w:shd w:val="clear" w:color="auto" w:fill="auto"/>
          </w:tcPr>
          <w:p w14:paraId="5B1AC5BB" w14:textId="77777777" w:rsidR="00BC79A8" w:rsidRPr="00D10FAD" w:rsidRDefault="00BC79A8" w:rsidP="00735376">
            <w:pPr>
              <w:autoSpaceDE w:val="0"/>
              <w:autoSpaceDN w:val="0"/>
              <w:adjustRightInd w:val="0"/>
              <w:rPr>
                <w:sz w:val="22"/>
                <w:szCs w:val="22"/>
              </w:rPr>
            </w:pPr>
            <w:r w:rsidRPr="00D10FAD">
              <w:rPr>
                <w:sz w:val="22"/>
                <w:szCs w:val="22"/>
              </w:rPr>
              <w:t>Bankruptcy</w:t>
            </w:r>
          </w:p>
        </w:tc>
        <w:tc>
          <w:tcPr>
            <w:tcW w:w="2574" w:type="dxa"/>
            <w:shd w:val="clear" w:color="auto" w:fill="auto"/>
          </w:tcPr>
          <w:p w14:paraId="2D207F9C" w14:textId="77777777" w:rsidR="00BC79A8" w:rsidRPr="00D10FAD" w:rsidRDefault="00BC79A8" w:rsidP="00735376">
            <w:pPr>
              <w:autoSpaceDE w:val="0"/>
              <w:autoSpaceDN w:val="0"/>
              <w:adjustRightInd w:val="0"/>
              <w:rPr>
                <w:sz w:val="22"/>
                <w:szCs w:val="22"/>
              </w:rPr>
            </w:pPr>
            <w:r w:rsidRPr="00D10FAD">
              <w:rPr>
                <w:sz w:val="22"/>
                <w:szCs w:val="22"/>
              </w:rPr>
              <w:t>21.2%</w:t>
            </w:r>
          </w:p>
        </w:tc>
        <w:tc>
          <w:tcPr>
            <w:tcW w:w="2574" w:type="dxa"/>
            <w:shd w:val="clear" w:color="auto" w:fill="auto"/>
          </w:tcPr>
          <w:p w14:paraId="52CC53FF" w14:textId="77777777" w:rsidR="00BC79A8" w:rsidRPr="00D10FAD" w:rsidRDefault="00BC79A8" w:rsidP="00735376">
            <w:pPr>
              <w:autoSpaceDE w:val="0"/>
              <w:autoSpaceDN w:val="0"/>
              <w:adjustRightInd w:val="0"/>
              <w:rPr>
                <w:sz w:val="22"/>
                <w:szCs w:val="22"/>
              </w:rPr>
            </w:pPr>
            <w:r w:rsidRPr="00D10FAD">
              <w:rPr>
                <w:sz w:val="22"/>
                <w:szCs w:val="22"/>
              </w:rPr>
              <w:t>0%</w:t>
            </w:r>
          </w:p>
        </w:tc>
        <w:tc>
          <w:tcPr>
            <w:tcW w:w="2574" w:type="dxa"/>
            <w:shd w:val="clear" w:color="auto" w:fill="auto"/>
          </w:tcPr>
          <w:p w14:paraId="03BF2CB1" w14:textId="0EC18CB9" w:rsidR="00BC79A8" w:rsidRPr="00D10FAD" w:rsidRDefault="00BC79A8" w:rsidP="00735376">
            <w:pPr>
              <w:autoSpaceDE w:val="0"/>
              <w:autoSpaceDN w:val="0"/>
              <w:adjustRightInd w:val="0"/>
              <w:rPr>
                <w:sz w:val="22"/>
                <w:szCs w:val="22"/>
              </w:rPr>
            </w:pPr>
            <w:r w:rsidRPr="00D10FAD">
              <w:rPr>
                <w:sz w:val="22"/>
                <w:szCs w:val="22"/>
              </w:rPr>
              <w:t xml:space="preserve">No return </w:t>
            </w:r>
            <w:proofErr w:type="gramStart"/>
            <w:r w:rsidRPr="00D10FAD">
              <w:rPr>
                <w:sz w:val="22"/>
                <w:szCs w:val="22"/>
              </w:rPr>
              <w:t>see</w:t>
            </w:r>
            <w:proofErr w:type="gramEnd"/>
            <w:r w:rsidRPr="00D10FAD">
              <w:rPr>
                <w:sz w:val="22"/>
                <w:szCs w:val="22"/>
              </w:rPr>
              <w:t xml:space="preserve"> point </w:t>
            </w:r>
            <w:r w:rsidR="00B47A35" w:rsidRPr="00D10FAD">
              <w:rPr>
                <w:sz w:val="22"/>
                <w:szCs w:val="22"/>
              </w:rPr>
              <w:t>7</w:t>
            </w:r>
            <w:r w:rsidR="00F17A98">
              <w:rPr>
                <w:sz w:val="22"/>
                <w:szCs w:val="22"/>
              </w:rPr>
              <w:t>7</w:t>
            </w:r>
          </w:p>
        </w:tc>
      </w:tr>
      <w:tr w:rsidR="00BC79A8" w:rsidRPr="00633593" w14:paraId="7CFC2179" w14:textId="77777777" w:rsidTr="00735376">
        <w:tc>
          <w:tcPr>
            <w:tcW w:w="2574" w:type="dxa"/>
            <w:shd w:val="clear" w:color="auto" w:fill="auto"/>
          </w:tcPr>
          <w:p w14:paraId="31569D69" w14:textId="77777777" w:rsidR="00BC79A8" w:rsidRPr="00D10FAD" w:rsidRDefault="00BC79A8" w:rsidP="00735376">
            <w:pPr>
              <w:autoSpaceDE w:val="0"/>
              <w:autoSpaceDN w:val="0"/>
              <w:adjustRightInd w:val="0"/>
              <w:rPr>
                <w:sz w:val="22"/>
                <w:szCs w:val="22"/>
              </w:rPr>
            </w:pPr>
            <w:r w:rsidRPr="00D10FAD">
              <w:rPr>
                <w:sz w:val="22"/>
                <w:szCs w:val="22"/>
              </w:rPr>
              <w:t>Managed TPA</w:t>
            </w:r>
          </w:p>
        </w:tc>
        <w:tc>
          <w:tcPr>
            <w:tcW w:w="2574" w:type="dxa"/>
            <w:shd w:val="clear" w:color="auto" w:fill="auto"/>
          </w:tcPr>
          <w:p w14:paraId="62E183C8" w14:textId="77777777" w:rsidR="00BC79A8" w:rsidRPr="00D10FAD" w:rsidRDefault="00BC79A8" w:rsidP="00735376">
            <w:pPr>
              <w:autoSpaceDE w:val="0"/>
              <w:autoSpaceDN w:val="0"/>
              <w:adjustRightInd w:val="0"/>
              <w:rPr>
                <w:sz w:val="22"/>
                <w:szCs w:val="22"/>
              </w:rPr>
            </w:pPr>
            <w:r w:rsidRPr="00D10FAD">
              <w:rPr>
                <w:sz w:val="22"/>
                <w:szCs w:val="22"/>
              </w:rPr>
              <w:t>13.1%</w:t>
            </w:r>
          </w:p>
        </w:tc>
        <w:tc>
          <w:tcPr>
            <w:tcW w:w="2574" w:type="dxa"/>
            <w:shd w:val="clear" w:color="auto" w:fill="auto"/>
          </w:tcPr>
          <w:p w14:paraId="00898A2B" w14:textId="77777777" w:rsidR="00BC79A8" w:rsidRPr="00D10FAD" w:rsidRDefault="00BC79A8" w:rsidP="00735376">
            <w:pPr>
              <w:autoSpaceDE w:val="0"/>
              <w:autoSpaceDN w:val="0"/>
              <w:adjustRightInd w:val="0"/>
              <w:rPr>
                <w:sz w:val="22"/>
                <w:szCs w:val="22"/>
              </w:rPr>
            </w:pPr>
            <w:r w:rsidRPr="00D10FAD">
              <w:rPr>
                <w:sz w:val="22"/>
                <w:szCs w:val="22"/>
              </w:rPr>
              <w:t xml:space="preserve">0% </w:t>
            </w:r>
          </w:p>
          <w:p w14:paraId="3786466C" w14:textId="77777777" w:rsidR="00BC79A8" w:rsidRPr="00D10FAD" w:rsidRDefault="00BC79A8" w:rsidP="00735376">
            <w:pPr>
              <w:autoSpaceDE w:val="0"/>
              <w:autoSpaceDN w:val="0"/>
              <w:adjustRightInd w:val="0"/>
              <w:rPr>
                <w:sz w:val="22"/>
                <w:szCs w:val="22"/>
              </w:rPr>
            </w:pPr>
          </w:p>
        </w:tc>
        <w:tc>
          <w:tcPr>
            <w:tcW w:w="2574" w:type="dxa"/>
            <w:shd w:val="clear" w:color="auto" w:fill="auto"/>
          </w:tcPr>
          <w:p w14:paraId="35487CEC" w14:textId="53DBECC1" w:rsidR="00BC79A8" w:rsidRPr="00D10FAD" w:rsidRDefault="00BC79A8" w:rsidP="00735376">
            <w:pPr>
              <w:autoSpaceDE w:val="0"/>
              <w:autoSpaceDN w:val="0"/>
              <w:adjustRightInd w:val="0"/>
              <w:rPr>
                <w:sz w:val="22"/>
                <w:szCs w:val="22"/>
              </w:rPr>
            </w:pPr>
            <w:r w:rsidRPr="00D10FAD">
              <w:rPr>
                <w:sz w:val="22"/>
                <w:szCs w:val="22"/>
              </w:rPr>
              <w:t>Token payment</w:t>
            </w:r>
            <w:r w:rsidR="00476FB9">
              <w:rPr>
                <w:rStyle w:val="FootnoteReference"/>
                <w:sz w:val="22"/>
                <w:szCs w:val="22"/>
              </w:rPr>
              <w:footnoteReference w:id="19"/>
            </w:r>
          </w:p>
          <w:p w14:paraId="38ED26F4" w14:textId="77777777" w:rsidR="00BC79A8" w:rsidRPr="00D10FAD" w:rsidRDefault="00BC79A8" w:rsidP="00735376">
            <w:pPr>
              <w:autoSpaceDE w:val="0"/>
              <w:autoSpaceDN w:val="0"/>
              <w:adjustRightInd w:val="0"/>
              <w:rPr>
                <w:sz w:val="22"/>
                <w:szCs w:val="22"/>
              </w:rPr>
            </w:pPr>
          </w:p>
        </w:tc>
      </w:tr>
      <w:tr w:rsidR="00BC79A8" w:rsidRPr="00633593" w14:paraId="37E50B2C" w14:textId="77777777" w:rsidTr="00735376">
        <w:tc>
          <w:tcPr>
            <w:tcW w:w="2574" w:type="dxa"/>
            <w:shd w:val="clear" w:color="auto" w:fill="auto"/>
          </w:tcPr>
          <w:p w14:paraId="6F9D200E" w14:textId="77777777" w:rsidR="00BC79A8" w:rsidRPr="00D10FAD" w:rsidRDefault="00BC79A8" w:rsidP="00735376">
            <w:pPr>
              <w:autoSpaceDE w:val="0"/>
              <w:autoSpaceDN w:val="0"/>
              <w:adjustRightInd w:val="0"/>
              <w:rPr>
                <w:sz w:val="22"/>
                <w:szCs w:val="22"/>
              </w:rPr>
            </w:pPr>
            <w:r w:rsidRPr="00D10FAD">
              <w:rPr>
                <w:sz w:val="22"/>
                <w:szCs w:val="22"/>
              </w:rPr>
              <w:t>PhoneUs</w:t>
            </w:r>
          </w:p>
          <w:p w14:paraId="79E3B816" w14:textId="77777777" w:rsidR="00BC79A8" w:rsidRPr="00D10FAD" w:rsidRDefault="00BC79A8" w:rsidP="00735376">
            <w:pPr>
              <w:autoSpaceDE w:val="0"/>
              <w:autoSpaceDN w:val="0"/>
              <w:adjustRightInd w:val="0"/>
              <w:rPr>
                <w:sz w:val="22"/>
                <w:szCs w:val="22"/>
              </w:rPr>
            </w:pPr>
          </w:p>
        </w:tc>
        <w:tc>
          <w:tcPr>
            <w:tcW w:w="2574" w:type="dxa"/>
            <w:shd w:val="clear" w:color="auto" w:fill="auto"/>
          </w:tcPr>
          <w:p w14:paraId="301A1FB3" w14:textId="77777777" w:rsidR="00BC79A8" w:rsidRPr="00D10FAD" w:rsidRDefault="00BC79A8" w:rsidP="00735376">
            <w:pPr>
              <w:autoSpaceDE w:val="0"/>
              <w:autoSpaceDN w:val="0"/>
              <w:adjustRightInd w:val="0"/>
              <w:rPr>
                <w:sz w:val="22"/>
                <w:szCs w:val="22"/>
              </w:rPr>
            </w:pPr>
            <w:r w:rsidRPr="00D10FAD">
              <w:rPr>
                <w:sz w:val="22"/>
                <w:szCs w:val="22"/>
              </w:rPr>
              <w:t>9.4%</w:t>
            </w:r>
          </w:p>
        </w:tc>
        <w:tc>
          <w:tcPr>
            <w:tcW w:w="2574" w:type="dxa"/>
            <w:shd w:val="clear" w:color="auto" w:fill="auto"/>
          </w:tcPr>
          <w:p w14:paraId="753EEBAB" w14:textId="77777777" w:rsidR="00BC79A8" w:rsidRPr="00D10FAD" w:rsidRDefault="00BC79A8" w:rsidP="00735376">
            <w:pPr>
              <w:autoSpaceDE w:val="0"/>
              <w:autoSpaceDN w:val="0"/>
              <w:adjustRightInd w:val="0"/>
              <w:rPr>
                <w:sz w:val="22"/>
                <w:szCs w:val="22"/>
              </w:rPr>
            </w:pPr>
            <w:r w:rsidRPr="00D10FAD">
              <w:rPr>
                <w:sz w:val="22"/>
                <w:szCs w:val="22"/>
              </w:rPr>
              <w:t xml:space="preserve">0% </w:t>
            </w:r>
          </w:p>
          <w:p w14:paraId="09E3F091" w14:textId="77777777" w:rsidR="00BC79A8" w:rsidRPr="00D10FAD" w:rsidRDefault="00BC79A8" w:rsidP="00735376">
            <w:pPr>
              <w:autoSpaceDE w:val="0"/>
              <w:autoSpaceDN w:val="0"/>
              <w:adjustRightInd w:val="0"/>
              <w:rPr>
                <w:sz w:val="22"/>
                <w:szCs w:val="22"/>
              </w:rPr>
            </w:pPr>
          </w:p>
        </w:tc>
        <w:tc>
          <w:tcPr>
            <w:tcW w:w="2574" w:type="dxa"/>
            <w:shd w:val="clear" w:color="auto" w:fill="auto"/>
          </w:tcPr>
          <w:p w14:paraId="08909E74" w14:textId="77777777" w:rsidR="00BC79A8" w:rsidRPr="00D10FAD" w:rsidRDefault="00BC79A8" w:rsidP="00735376">
            <w:pPr>
              <w:autoSpaceDE w:val="0"/>
              <w:autoSpaceDN w:val="0"/>
              <w:adjustRightInd w:val="0"/>
              <w:rPr>
                <w:sz w:val="22"/>
                <w:szCs w:val="22"/>
              </w:rPr>
            </w:pPr>
            <w:r w:rsidRPr="00D10FAD">
              <w:rPr>
                <w:sz w:val="22"/>
                <w:szCs w:val="22"/>
              </w:rPr>
              <w:t xml:space="preserve">Make contact </w:t>
            </w:r>
            <w:proofErr w:type="gramStart"/>
            <w:r w:rsidRPr="00D10FAD">
              <w:rPr>
                <w:sz w:val="22"/>
                <w:szCs w:val="22"/>
              </w:rPr>
              <w:t>again</w:t>
            </w:r>
            <w:proofErr w:type="gramEnd"/>
          </w:p>
          <w:p w14:paraId="2F1B8F53" w14:textId="77777777" w:rsidR="00BC79A8" w:rsidRPr="00D10FAD" w:rsidRDefault="00BC79A8" w:rsidP="00735376">
            <w:pPr>
              <w:autoSpaceDE w:val="0"/>
              <w:autoSpaceDN w:val="0"/>
              <w:adjustRightInd w:val="0"/>
              <w:rPr>
                <w:sz w:val="22"/>
                <w:szCs w:val="22"/>
              </w:rPr>
            </w:pPr>
            <w:r w:rsidRPr="00D10FAD">
              <w:rPr>
                <w:sz w:val="22"/>
                <w:szCs w:val="22"/>
              </w:rPr>
              <w:t>with debt advisor</w:t>
            </w:r>
          </w:p>
          <w:p w14:paraId="4F562C0F" w14:textId="77777777" w:rsidR="00BC79A8" w:rsidRPr="00D10FAD" w:rsidRDefault="00BC79A8" w:rsidP="00735376">
            <w:pPr>
              <w:autoSpaceDE w:val="0"/>
              <w:autoSpaceDN w:val="0"/>
              <w:adjustRightInd w:val="0"/>
              <w:rPr>
                <w:sz w:val="22"/>
                <w:szCs w:val="22"/>
              </w:rPr>
            </w:pPr>
          </w:p>
        </w:tc>
      </w:tr>
      <w:tr w:rsidR="00BC79A8" w:rsidRPr="00633593" w14:paraId="0B089203" w14:textId="77777777" w:rsidTr="00735376">
        <w:tc>
          <w:tcPr>
            <w:tcW w:w="2574" w:type="dxa"/>
            <w:shd w:val="clear" w:color="auto" w:fill="auto"/>
          </w:tcPr>
          <w:p w14:paraId="68EA7B03" w14:textId="77777777" w:rsidR="00BC79A8" w:rsidRPr="00D10FAD" w:rsidRDefault="00BC79A8" w:rsidP="00735376">
            <w:pPr>
              <w:autoSpaceDE w:val="0"/>
              <w:autoSpaceDN w:val="0"/>
              <w:adjustRightInd w:val="0"/>
              <w:rPr>
                <w:sz w:val="22"/>
                <w:szCs w:val="22"/>
              </w:rPr>
            </w:pPr>
            <w:r w:rsidRPr="00D10FAD">
              <w:rPr>
                <w:sz w:val="22"/>
                <w:szCs w:val="22"/>
              </w:rPr>
              <w:t>DMP</w:t>
            </w:r>
          </w:p>
        </w:tc>
        <w:tc>
          <w:tcPr>
            <w:tcW w:w="2574" w:type="dxa"/>
            <w:shd w:val="clear" w:color="auto" w:fill="auto"/>
          </w:tcPr>
          <w:p w14:paraId="067E0EBD" w14:textId="34621252" w:rsidR="00BC79A8" w:rsidRPr="00505F45" w:rsidRDefault="00BC79A8" w:rsidP="00735376">
            <w:pPr>
              <w:autoSpaceDE w:val="0"/>
              <w:autoSpaceDN w:val="0"/>
              <w:adjustRightInd w:val="0"/>
              <w:rPr>
                <w:sz w:val="22"/>
                <w:szCs w:val="22"/>
              </w:rPr>
            </w:pPr>
            <w:r w:rsidRPr="00505F45">
              <w:rPr>
                <w:sz w:val="22"/>
                <w:szCs w:val="22"/>
              </w:rPr>
              <w:t>9.4%</w:t>
            </w:r>
            <w:r w:rsidR="00505F45" w:rsidRPr="00505F45">
              <w:rPr>
                <w:sz w:val="22"/>
                <w:szCs w:val="22"/>
              </w:rPr>
              <w:t xml:space="preserve"> + 2% for increases to be made following Chancellor’s announcement = 11.4%</w:t>
            </w:r>
          </w:p>
          <w:p w14:paraId="2D082AAC" w14:textId="77777777" w:rsidR="00BC79A8" w:rsidRPr="00D10FAD" w:rsidRDefault="00BC79A8" w:rsidP="00735376">
            <w:pPr>
              <w:autoSpaceDE w:val="0"/>
              <w:autoSpaceDN w:val="0"/>
              <w:adjustRightInd w:val="0"/>
              <w:rPr>
                <w:sz w:val="22"/>
                <w:szCs w:val="22"/>
              </w:rPr>
            </w:pPr>
          </w:p>
        </w:tc>
        <w:tc>
          <w:tcPr>
            <w:tcW w:w="2574" w:type="dxa"/>
            <w:shd w:val="clear" w:color="auto" w:fill="auto"/>
          </w:tcPr>
          <w:p w14:paraId="2D59E34D" w14:textId="0752E36A" w:rsidR="00BC79A8" w:rsidRPr="00D10FAD" w:rsidRDefault="00505F45" w:rsidP="00735376">
            <w:pPr>
              <w:autoSpaceDE w:val="0"/>
              <w:autoSpaceDN w:val="0"/>
              <w:adjustRightInd w:val="0"/>
              <w:rPr>
                <w:sz w:val="22"/>
                <w:szCs w:val="22"/>
              </w:rPr>
            </w:pPr>
            <w:r>
              <w:rPr>
                <w:sz w:val="22"/>
                <w:szCs w:val="22"/>
              </w:rPr>
              <w:t>36</w:t>
            </w:r>
            <w:r w:rsidR="00BC79A8" w:rsidRPr="00D10FAD">
              <w:rPr>
                <w:sz w:val="22"/>
                <w:szCs w:val="22"/>
              </w:rPr>
              <w:t>%</w:t>
            </w:r>
          </w:p>
          <w:p w14:paraId="6C71BA24" w14:textId="77777777" w:rsidR="00BC79A8" w:rsidRPr="00D10FAD" w:rsidRDefault="00BC79A8" w:rsidP="00735376">
            <w:pPr>
              <w:autoSpaceDE w:val="0"/>
              <w:autoSpaceDN w:val="0"/>
              <w:adjustRightInd w:val="0"/>
              <w:rPr>
                <w:sz w:val="22"/>
                <w:szCs w:val="22"/>
              </w:rPr>
            </w:pPr>
          </w:p>
        </w:tc>
        <w:tc>
          <w:tcPr>
            <w:tcW w:w="2574" w:type="dxa"/>
            <w:shd w:val="clear" w:color="auto" w:fill="auto"/>
          </w:tcPr>
          <w:p w14:paraId="61FEE79E" w14:textId="77777777" w:rsidR="00BC79A8" w:rsidRPr="00D10FAD" w:rsidRDefault="00BC79A8" w:rsidP="00735376">
            <w:pPr>
              <w:autoSpaceDE w:val="0"/>
              <w:autoSpaceDN w:val="0"/>
              <w:adjustRightInd w:val="0"/>
              <w:rPr>
                <w:sz w:val="22"/>
                <w:szCs w:val="22"/>
              </w:rPr>
            </w:pPr>
          </w:p>
        </w:tc>
      </w:tr>
      <w:tr w:rsidR="00BC79A8" w:rsidRPr="00633593" w14:paraId="6C8701B1" w14:textId="77777777" w:rsidTr="00735376">
        <w:tc>
          <w:tcPr>
            <w:tcW w:w="2574" w:type="dxa"/>
            <w:shd w:val="clear" w:color="auto" w:fill="auto"/>
          </w:tcPr>
          <w:p w14:paraId="62D628FF" w14:textId="77777777" w:rsidR="00BC79A8" w:rsidRPr="00D10FAD" w:rsidRDefault="00BC79A8" w:rsidP="00735376">
            <w:pPr>
              <w:autoSpaceDE w:val="0"/>
              <w:autoSpaceDN w:val="0"/>
              <w:adjustRightInd w:val="0"/>
              <w:rPr>
                <w:sz w:val="22"/>
                <w:szCs w:val="22"/>
              </w:rPr>
            </w:pPr>
            <w:r w:rsidRPr="00D10FAD">
              <w:rPr>
                <w:sz w:val="22"/>
                <w:szCs w:val="22"/>
              </w:rPr>
              <w:t>IVA</w:t>
            </w:r>
          </w:p>
        </w:tc>
        <w:tc>
          <w:tcPr>
            <w:tcW w:w="2574" w:type="dxa"/>
            <w:shd w:val="clear" w:color="auto" w:fill="auto"/>
          </w:tcPr>
          <w:p w14:paraId="4CEFA969" w14:textId="396456FF" w:rsidR="00BC79A8" w:rsidRPr="00D10FAD" w:rsidRDefault="00BC79A8" w:rsidP="00735376">
            <w:pPr>
              <w:autoSpaceDE w:val="0"/>
              <w:autoSpaceDN w:val="0"/>
              <w:adjustRightInd w:val="0"/>
              <w:rPr>
                <w:sz w:val="22"/>
                <w:szCs w:val="22"/>
              </w:rPr>
            </w:pPr>
            <w:r w:rsidRPr="00D10FAD">
              <w:rPr>
                <w:sz w:val="22"/>
                <w:szCs w:val="22"/>
              </w:rPr>
              <w:t>4%</w:t>
            </w:r>
            <w:r w:rsidR="00505F45" w:rsidRPr="00505F45">
              <w:rPr>
                <w:sz w:val="22"/>
                <w:szCs w:val="22"/>
              </w:rPr>
              <w:t xml:space="preserve">+ </w:t>
            </w:r>
            <w:r w:rsidR="00505F45">
              <w:rPr>
                <w:sz w:val="22"/>
                <w:szCs w:val="22"/>
              </w:rPr>
              <w:t>3</w:t>
            </w:r>
            <w:r w:rsidR="00505F45" w:rsidRPr="00505F45">
              <w:rPr>
                <w:sz w:val="22"/>
                <w:szCs w:val="22"/>
              </w:rPr>
              <w:t xml:space="preserve">% for increases to be made following Chancellor’s announcement = </w:t>
            </w:r>
            <w:r w:rsidR="00505F45">
              <w:rPr>
                <w:sz w:val="22"/>
                <w:szCs w:val="22"/>
              </w:rPr>
              <w:t>7</w:t>
            </w:r>
            <w:r w:rsidR="00505F45" w:rsidRPr="00505F45">
              <w:rPr>
                <w:sz w:val="22"/>
                <w:szCs w:val="22"/>
              </w:rPr>
              <w:t>%</w:t>
            </w:r>
          </w:p>
        </w:tc>
        <w:tc>
          <w:tcPr>
            <w:tcW w:w="2574" w:type="dxa"/>
            <w:shd w:val="clear" w:color="auto" w:fill="auto"/>
          </w:tcPr>
          <w:p w14:paraId="2142F4C4" w14:textId="69036E8B" w:rsidR="00BC79A8" w:rsidRPr="00D10FAD" w:rsidRDefault="00BC79A8" w:rsidP="00735376">
            <w:pPr>
              <w:autoSpaceDE w:val="0"/>
              <w:autoSpaceDN w:val="0"/>
              <w:adjustRightInd w:val="0"/>
              <w:rPr>
                <w:sz w:val="22"/>
                <w:szCs w:val="22"/>
              </w:rPr>
            </w:pPr>
            <w:r w:rsidRPr="00D10FAD">
              <w:rPr>
                <w:sz w:val="22"/>
                <w:szCs w:val="22"/>
              </w:rPr>
              <w:t>2</w:t>
            </w:r>
            <w:r w:rsidR="00505F45">
              <w:rPr>
                <w:sz w:val="22"/>
                <w:szCs w:val="22"/>
              </w:rPr>
              <w:t>5</w:t>
            </w:r>
            <w:r w:rsidRPr="00D10FAD">
              <w:rPr>
                <w:sz w:val="22"/>
                <w:szCs w:val="22"/>
              </w:rPr>
              <w:t>%</w:t>
            </w:r>
          </w:p>
          <w:p w14:paraId="20B4D1F4" w14:textId="77777777" w:rsidR="00BC79A8" w:rsidRPr="00D10FAD" w:rsidRDefault="00BC79A8" w:rsidP="00735376">
            <w:pPr>
              <w:autoSpaceDE w:val="0"/>
              <w:autoSpaceDN w:val="0"/>
              <w:adjustRightInd w:val="0"/>
              <w:rPr>
                <w:sz w:val="22"/>
                <w:szCs w:val="22"/>
              </w:rPr>
            </w:pPr>
          </w:p>
        </w:tc>
        <w:tc>
          <w:tcPr>
            <w:tcW w:w="2574" w:type="dxa"/>
            <w:shd w:val="clear" w:color="auto" w:fill="auto"/>
          </w:tcPr>
          <w:p w14:paraId="53E753CF" w14:textId="77777777" w:rsidR="00BC79A8" w:rsidRPr="00D10FAD" w:rsidRDefault="00BC79A8" w:rsidP="00735376">
            <w:pPr>
              <w:autoSpaceDE w:val="0"/>
              <w:autoSpaceDN w:val="0"/>
              <w:adjustRightInd w:val="0"/>
              <w:rPr>
                <w:sz w:val="22"/>
                <w:szCs w:val="22"/>
              </w:rPr>
            </w:pPr>
          </w:p>
        </w:tc>
      </w:tr>
    </w:tbl>
    <w:p w14:paraId="1258C6CF" w14:textId="77777777" w:rsidR="00BC79A8" w:rsidRPr="00D10FAD" w:rsidRDefault="00BC79A8" w:rsidP="00895704">
      <w:pPr>
        <w:autoSpaceDE w:val="0"/>
        <w:autoSpaceDN w:val="0"/>
        <w:adjustRightInd w:val="0"/>
        <w:rPr>
          <w:sz w:val="22"/>
          <w:szCs w:val="22"/>
        </w:rPr>
      </w:pPr>
    </w:p>
    <w:p w14:paraId="72CFAF10" w14:textId="4A877164" w:rsidR="00EA11B8" w:rsidRPr="00D10FAD" w:rsidRDefault="00EA11B8" w:rsidP="00D10FAD">
      <w:pPr>
        <w:autoSpaceDE w:val="0"/>
        <w:autoSpaceDN w:val="0"/>
        <w:adjustRightInd w:val="0"/>
        <w:spacing w:after="120"/>
        <w:rPr>
          <w:sz w:val="22"/>
          <w:szCs w:val="22"/>
        </w:rPr>
      </w:pPr>
      <w:r w:rsidRPr="00D10FAD">
        <w:rPr>
          <w:sz w:val="22"/>
          <w:szCs w:val="22"/>
        </w:rPr>
        <w:t>8</w:t>
      </w:r>
      <w:r w:rsidR="000B1A98">
        <w:rPr>
          <w:sz w:val="22"/>
          <w:szCs w:val="22"/>
        </w:rPr>
        <w:t>1</w:t>
      </w:r>
      <w:r w:rsidRPr="00D10FAD">
        <w:rPr>
          <w:sz w:val="22"/>
          <w:szCs w:val="22"/>
        </w:rPr>
        <w:t>.</w:t>
      </w:r>
      <w:r w:rsidR="001D626E" w:rsidRPr="00D10FAD">
        <w:rPr>
          <w:sz w:val="22"/>
          <w:szCs w:val="22"/>
        </w:rPr>
        <w:t xml:space="preserve"> The table shows that when the recommendation is for a DMP or IVA there is potential for higher returns than a DRO (no return). </w:t>
      </w:r>
    </w:p>
    <w:p w14:paraId="43CD779C" w14:textId="6B02F466" w:rsidR="00EA11B8" w:rsidRPr="00D10FAD" w:rsidRDefault="00F17A98" w:rsidP="00D10FAD">
      <w:pPr>
        <w:autoSpaceDE w:val="0"/>
        <w:autoSpaceDN w:val="0"/>
        <w:adjustRightInd w:val="0"/>
        <w:spacing w:after="120"/>
        <w:rPr>
          <w:sz w:val="22"/>
          <w:szCs w:val="22"/>
        </w:rPr>
      </w:pPr>
      <w:r>
        <w:rPr>
          <w:sz w:val="22"/>
          <w:szCs w:val="22"/>
        </w:rPr>
        <w:t>8</w:t>
      </w:r>
      <w:r w:rsidR="000B1A98">
        <w:rPr>
          <w:sz w:val="22"/>
          <w:szCs w:val="22"/>
        </w:rPr>
        <w:t>2</w:t>
      </w:r>
      <w:r w:rsidR="001D626E" w:rsidRPr="00D10FAD">
        <w:rPr>
          <w:sz w:val="22"/>
          <w:szCs w:val="22"/>
        </w:rPr>
        <w:t>. Multiplying the percentages for these solutions by the numbers able to obtain a DRO</w:t>
      </w:r>
      <w:r w:rsidR="003D30C9" w:rsidRPr="00D10FAD">
        <w:rPr>
          <w:sz w:val="22"/>
          <w:szCs w:val="22"/>
        </w:rPr>
        <w:t xml:space="preserve"> </w:t>
      </w:r>
      <w:r w:rsidR="001D626E" w:rsidRPr="00D10FAD">
        <w:rPr>
          <w:sz w:val="22"/>
          <w:szCs w:val="22"/>
        </w:rPr>
        <w:t>for the first time (2</w:t>
      </w:r>
      <w:r w:rsidR="00505F45">
        <w:rPr>
          <w:sz w:val="22"/>
          <w:szCs w:val="22"/>
        </w:rPr>
        <w:t>6</w:t>
      </w:r>
      <w:r w:rsidR="001D626E" w:rsidRPr="00D10FAD">
        <w:rPr>
          <w:sz w:val="22"/>
          <w:szCs w:val="22"/>
        </w:rPr>
        <w:t xml:space="preserve">8) results in an estimated </w:t>
      </w:r>
      <w:r w:rsidR="00F750C2">
        <w:rPr>
          <w:sz w:val="22"/>
          <w:szCs w:val="22"/>
        </w:rPr>
        <w:t>31</w:t>
      </w:r>
      <w:r w:rsidR="001D626E" w:rsidRPr="00D10FAD">
        <w:rPr>
          <w:sz w:val="22"/>
          <w:szCs w:val="22"/>
        </w:rPr>
        <w:t xml:space="preserve"> DMPs and </w:t>
      </w:r>
      <w:r w:rsidR="00F750C2">
        <w:rPr>
          <w:sz w:val="22"/>
          <w:szCs w:val="22"/>
        </w:rPr>
        <w:t>19</w:t>
      </w:r>
      <w:r w:rsidR="001D626E" w:rsidRPr="00D10FAD">
        <w:rPr>
          <w:sz w:val="22"/>
          <w:szCs w:val="22"/>
        </w:rPr>
        <w:t xml:space="preserve"> IVAs. These</w:t>
      </w:r>
      <w:r w:rsidR="003D30C9" w:rsidRPr="00D10FAD">
        <w:rPr>
          <w:sz w:val="22"/>
          <w:szCs w:val="22"/>
        </w:rPr>
        <w:t xml:space="preserve"> </w:t>
      </w:r>
      <w:r w:rsidR="001D626E" w:rsidRPr="00D10FAD">
        <w:rPr>
          <w:sz w:val="22"/>
          <w:szCs w:val="22"/>
        </w:rPr>
        <w:t>higher return cases are small in the context of the overall newly eligible population, in which cases with low assets, low surplus income and low debts typically have low returns to creditors.</w:t>
      </w:r>
    </w:p>
    <w:p w14:paraId="0EF60A0C" w14:textId="00E761F6" w:rsidR="00925CC3" w:rsidRPr="00D10FAD" w:rsidRDefault="00925CC3" w:rsidP="00D10FAD">
      <w:pPr>
        <w:autoSpaceDE w:val="0"/>
        <w:autoSpaceDN w:val="0"/>
        <w:adjustRightInd w:val="0"/>
        <w:spacing w:after="120"/>
        <w:rPr>
          <w:sz w:val="22"/>
          <w:szCs w:val="22"/>
        </w:rPr>
      </w:pPr>
      <w:r w:rsidRPr="00D10FAD">
        <w:rPr>
          <w:sz w:val="22"/>
          <w:szCs w:val="22"/>
        </w:rPr>
        <w:t>8</w:t>
      </w:r>
      <w:r w:rsidR="000B1A98">
        <w:rPr>
          <w:sz w:val="22"/>
          <w:szCs w:val="22"/>
        </w:rPr>
        <w:t>3</w:t>
      </w:r>
      <w:r w:rsidRPr="00D10FAD">
        <w:rPr>
          <w:sz w:val="22"/>
          <w:szCs w:val="22"/>
        </w:rPr>
        <w:t xml:space="preserve">. </w:t>
      </w:r>
      <w:r w:rsidR="009D314C">
        <w:rPr>
          <w:sz w:val="22"/>
          <w:szCs w:val="22"/>
        </w:rPr>
        <w:t xml:space="preserve">According to data from </w:t>
      </w:r>
      <w:proofErr w:type="spellStart"/>
      <w:r w:rsidR="009D314C">
        <w:rPr>
          <w:sz w:val="22"/>
          <w:szCs w:val="22"/>
        </w:rPr>
        <w:t>Payplan</w:t>
      </w:r>
      <w:proofErr w:type="spellEnd"/>
      <w:r w:rsidR="009D314C">
        <w:rPr>
          <w:sz w:val="22"/>
          <w:szCs w:val="22"/>
        </w:rPr>
        <w:t xml:space="preserve"> the average debt for DMPs between 2010 and 2020 was £12,964 and a</w:t>
      </w:r>
      <w:r w:rsidR="00F750C2">
        <w:rPr>
          <w:sz w:val="22"/>
          <w:szCs w:val="22"/>
        </w:rPr>
        <w:t xml:space="preserve">ccording to data from </w:t>
      </w:r>
      <w:proofErr w:type="spellStart"/>
      <w:r w:rsidR="00F750C2">
        <w:rPr>
          <w:sz w:val="22"/>
          <w:szCs w:val="22"/>
        </w:rPr>
        <w:t>Creditfix</w:t>
      </w:r>
      <w:proofErr w:type="spellEnd"/>
      <w:r w:rsidR="00F750C2">
        <w:rPr>
          <w:sz w:val="22"/>
          <w:szCs w:val="22"/>
        </w:rPr>
        <w:t xml:space="preserve"> the average debt for IVAs in 2022 was £17,565. Using the same two data sources we can also estimate the return rate as </w:t>
      </w:r>
      <w:r w:rsidR="009D314C">
        <w:rPr>
          <w:sz w:val="22"/>
          <w:szCs w:val="22"/>
        </w:rPr>
        <w:t>36</w:t>
      </w:r>
      <w:r w:rsidR="00F750C2">
        <w:rPr>
          <w:sz w:val="22"/>
          <w:szCs w:val="22"/>
        </w:rPr>
        <w:t xml:space="preserve">% and </w:t>
      </w:r>
      <w:r w:rsidR="009D314C">
        <w:rPr>
          <w:sz w:val="22"/>
          <w:szCs w:val="22"/>
        </w:rPr>
        <w:t>25</w:t>
      </w:r>
      <w:r w:rsidR="00F750C2">
        <w:rPr>
          <w:sz w:val="22"/>
          <w:szCs w:val="22"/>
        </w:rPr>
        <w:t>%</w:t>
      </w:r>
      <w:r w:rsidR="00481B56">
        <w:rPr>
          <w:sz w:val="22"/>
          <w:szCs w:val="22"/>
        </w:rPr>
        <w:t xml:space="preserve"> </w:t>
      </w:r>
      <w:r w:rsidR="00F750C2">
        <w:rPr>
          <w:sz w:val="22"/>
          <w:szCs w:val="22"/>
        </w:rPr>
        <w:t xml:space="preserve">respectively. </w:t>
      </w:r>
      <w:r w:rsidRPr="00D10FAD">
        <w:rPr>
          <w:sz w:val="22"/>
          <w:szCs w:val="22"/>
        </w:rPr>
        <w:t>Therefore, the overall annual loss for creditors</w:t>
      </w:r>
      <w:r w:rsidR="00F7675B" w:rsidRPr="00D10FAD">
        <w:rPr>
          <w:sz w:val="22"/>
          <w:szCs w:val="22"/>
        </w:rPr>
        <w:t xml:space="preserve"> </w:t>
      </w:r>
      <w:r w:rsidRPr="00D10FAD">
        <w:rPr>
          <w:sz w:val="22"/>
          <w:szCs w:val="22"/>
        </w:rPr>
        <w:t xml:space="preserve">is </w:t>
      </w:r>
      <w:r w:rsidRPr="00D10FAD">
        <w:rPr>
          <w:b/>
          <w:bCs/>
          <w:sz w:val="22"/>
          <w:szCs w:val="22"/>
        </w:rPr>
        <w:t>£</w:t>
      </w:r>
      <w:r w:rsidR="009D314C">
        <w:rPr>
          <w:b/>
          <w:bCs/>
          <w:sz w:val="22"/>
          <w:szCs w:val="22"/>
        </w:rPr>
        <w:t>228</w:t>
      </w:r>
      <w:r w:rsidR="00F40A0F" w:rsidRPr="00D10FAD">
        <w:rPr>
          <w:b/>
          <w:bCs/>
          <w:sz w:val="22"/>
          <w:szCs w:val="22"/>
        </w:rPr>
        <w:t>,</w:t>
      </w:r>
      <w:r w:rsidR="009D314C">
        <w:rPr>
          <w:b/>
          <w:bCs/>
          <w:sz w:val="22"/>
          <w:szCs w:val="22"/>
        </w:rPr>
        <w:t>11</w:t>
      </w:r>
      <w:r w:rsidR="001F13D6">
        <w:rPr>
          <w:b/>
          <w:bCs/>
          <w:sz w:val="22"/>
          <w:szCs w:val="22"/>
        </w:rPr>
        <w:t>1</w:t>
      </w:r>
      <w:r w:rsidRPr="00D10FAD">
        <w:rPr>
          <w:b/>
          <w:bCs/>
          <w:sz w:val="22"/>
          <w:szCs w:val="22"/>
        </w:rPr>
        <w:t xml:space="preserve"> </w:t>
      </w:r>
      <w:r w:rsidRPr="00D10FAD">
        <w:rPr>
          <w:sz w:val="22"/>
          <w:szCs w:val="22"/>
        </w:rPr>
        <w:t>(</w:t>
      </w:r>
      <w:r w:rsidR="00481B56">
        <w:rPr>
          <w:sz w:val="22"/>
          <w:szCs w:val="22"/>
        </w:rPr>
        <w:t>31</w:t>
      </w:r>
      <w:r w:rsidRPr="00D10FAD">
        <w:rPr>
          <w:sz w:val="22"/>
          <w:szCs w:val="22"/>
        </w:rPr>
        <w:t>*£1</w:t>
      </w:r>
      <w:r w:rsidR="00481B56">
        <w:rPr>
          <w:sz w:val="22"/>
          <w:szCs w:val="22"/>
        </w:rPr>
        <w:t>2,964</w:t>
      </w:r>
      <w:r w:rsidRPr="00D10FAD">
        <w:rPr>
          <w:sz w:val="22"/>
          <w:szCs w:val="22"/>
        </w:rPr>
        <w:t>*</w:t>
      </w:r>
      <w:r w:rsidR="009D314C">
        <w:rPr>
          <w:sz w:val="22"/>
          <w:szCs w:val="22"/>
        </w:rPr>
        <w:t>36</w:t>
      </w:r>
      <w:r w:rsidRPr="00D10FAD">
        <w:rPr>
          <w:sz w:val="22"/>
          <w:szCs w:val="22"/>
        </w:rPr>
        <w:t xml:space="preserve">% + </w:t>
      </w:r>
      <w:r w:rsidR="00F40A0F" w:rsidRPr="00D10FAD">
        <w:rPr>
          <w:sz w:val="22"/>
          <w:szCs w:val="22"/>
        </w:rPr>
        <w:t>1</w:t>
      </w:r>
      <w:r w:rsidR="00481B56">
        <w:rPr>
          <w:sz w:val="22"/>
          <w:szCs w:val="22"/>
        </w:rPr>
        <w:t>9</w:t>
      </w:r>
      <w:r w:rsidRPr="00D10FAD">
        <w:rPr>
          <w:sz w:val="22"/>
          <w:szCs w:val="22"/>
        </w:rPr>
        <w:t>*£17</w:t>
      </w:r>
      <w:r w:rsidR="009D314C">
        <w:rPr>
          <w:sz w:val="22"/>
          <w:szCs w:val="22"/>
        </w:rPr>
        <w:t>,565</w:t>
      </w:r>
      <w:r w:rsidRPr="00D10FAD">
        <w:rPr>
          <w:sz w:val="22"/>
          <w:szCs w:val="22"/>
        </w:rPr>
        <w:t>*2</w:t>
      </w:r>
      <w:r w:rsidR="009D314C">
        <w:rPr>
          <w:sz w:val="22"/>
          <w:szCs w:val="22"/>
        </w:rPr>
        <w:t>5</w:t>
      </w:r>
      <w:r w:rsidRPr="00D10FAD">
        <w:rPr>
          <w:sz w:val="22"/>
          <w:szCs w:val="22"/>
        </w:rPr>
        <w:t>%).</w:t>
      </w:r>
    </w:p>
    <w:p w14:paraId="73BD9F2D" w14:textId="3EC2958C" w:rsidR="00925CC3" w:rsidRPr="00D10FAD" w:rsidRDefault="00C93B61" w:rsidP="00D10FAD">
      <w:pPr>
        <w:autoSpaceDE w:val="0"/>
        <w:autoSpaceDN w:val="0"/>
        <w:adjustRightInd w:val="0"/>
        <w:spacing w:after="120"/>
        <w:rPr>
          <w:sz w:val="22"/>
          <w:szCs w:val="22"/>
        </w:rPr>
      </w:pPr>
      <w:r w:rsidRPr="00D10FAD">
        <w:rPr>
          <w:sz w:val="22"/>
          <w:szCs w:val="22"/>
        </w:rPr>
        <w:t>8</w:t>
      </w:r>
      <w:r w:rsidR="000B1A98">
        <w:rPr>
          <w:sz w:val="22"/>
          <w:szCs w:val="22"/>
        </w:rPr>
        <w:t>4</w:t>
      </w:r>
      <w:r w:rsidR="00925CC3" w:rsidRPr="00D10FAD">
        <w:rPr>
          <w:sz w:val="22"/>
          <w:szCs w:val="22"/>
        </w:rPr>
        <w:t>. However, not all this loss will be to business creditors as Government is a significant</w:t>
      </w:r>
      <w:r w:rsidR="00F7675B" w:rsidRPr="00D10FAD">
        <w:rPr>
          <w:sz w:val="22"/>
          <w:szCs w:val="22"/>
        </w:rPr>
        <w:t xml:space="preserve"> </w:t>
      </w:r>
      <w:r w:rsidR="00925CC3" w:rsidRPr="00D10FAD">
        <w:rPr>
          <w:sz w:val="22"/>
          <w:szCs w:val="22"/>
        </w:rPr>
        <w:t>creditor. Insolvency Service Management Information on debtor bankruptcies show</w:t>
      </w:r>
      <w:r w:rsidR="00F7675B" w:rsidRPr="00D10FAD">
        <w:rPr>
          <w:sz w:val="22"/>
          <w:szCs w:val="22"/>
        </w:rPr>
        <w:t xml:space="preserve"> </w:t>
      </w:r>
      <w:r w:rsidR="00925CC3" w:rsidRPr="00D10FAD">
        <w:rPr>
          <w:sz w:val="22"/>
          <w:szCs w:val="22"/>
        </w:rPr>
        <w:t xml:space="preserve">that 14% of creditor returns are paid to HMRC. </w:t>
      </w:r>
      <w:r w:rsidR="00925CC3" w:rsidRPr="00D10FAD">
        <w:rPr>
          <w:b/>
          <w:bCs/>
          <w:sz w:val="22"/>
          <w:szCs w:val="22"/>
        </w:rPr>
        <w:t>Therefore, the annual loss to</w:t>
      </w:r>
      <w:r w:rsidR="00F7675B" w:rsidRPr="00D10FAD">
        <w:rPr>
          <w:b/>
          <w:bCs/>
          <w:sz w:val="22"/>
          <w:szCs w:val="22"/>
        </w:rPr>
        <w:t xml:space="preserve"> </w:t>
      </w:r>
      <w:r w:rsidR="00925CC3" w:rsidRPr="00D10FAD">
        <w:rPr>
          <w:b/>
          <w:bCs/>
          <w:sz w:val="22"/>
          <w:szCs w:val="22"/>
        </w:rPr>
        <w:t>business creditors is £</w:t>
      </w:r>
      <w:r w:rsidRPr="00D10FAD">
        <w:rPr>
          <w:b/>
          <w:bCs/>
          <w:sz w:val="22"/>
          <w:szCs w:val="22"/>
        </w:rPr>
        <w:t>1</w:t>
      </w:r>
      <w:r w:rsidR="00E35AA3">
        <w:rPr>
          <w:b/>
          <w:bCs/>
          <w:sz w:val="22"/>
          <w:szCs w:val="22"/>
        </w:rPr>
        <w:t>96</w:t>
      </w:r>
      <w:r w:rsidRPr="00D10FAD">
        <w:rPr>
          <w:b/>
          <w:bCs/>
          <w:sz w:val="22"/>
          <w:szCs w:val="22"/>
        </w:rPr>
        <w:t>,</w:t>
      </w:r>
      <w:r w:rsidR="00E35AA3">
        <w:rPr>
          <w:b/>
          <w:bCs/>
          <w:sz w:val="22"/>
          <w:szCs w:val="22"/>
        </w:rPr>
        <w:t>175</w:t>
      </w:r>
      <w:r w:rsidR="00925CC3" w:rsidRPr="00D10FAD">
        <w:rPr>
          <w:b/>
          <w:bCs/>
          <w:sz w:val="22"/>
          <w:szCs w:val="22"/>
        </w:rPr>
        <w:t xml:space="preserve"> </w:t>
      </w:r>
      <w:r w:rsidR="00925CC3" w:rsidRPr="00D10FAD">
        <w:rPr>
          <w:sz w:val="22"/>
          <w:szCs w:val="22"/>
        </w:rPr>
        <w:t>(£</w:t>
      </w:r>
      <w:r w:rsidR="00E35AA3">
        <w:rPr>
          <w:sz w:val="22"/>
          <w:szCs w:val="22"/>
        </w:rPr>
        <w:t>228</w:t>
      </w:r>
      <w:r w:rsidRPr="00D10FAD">
        <w:rPr>
          <w:sz w:val="22"/>
          <w:szCs w:val="22"/>
        </w:rPr>
        <w:t>,</w:t>
      </w:r>
      <w:r w:rsidR="00E35AA3">
        <w:rPr>
          <w:sz w:val="22"/>
          <w:szCs w:val="22"/>
        </w:rPr>
        <w:t>11</w:t>
      </w:r>
      <w:r w:rsidR="001F13D6">
        <w:rPr>
          <w:sz w:val="22"/>
          <w:szCs w:val="22"/>
        </w:rPr>
        <w:t>1</w:t>
      </w:r>
      <w:r w:rsidR="00925CC3" w:rsidRPr="00D10FAD">
        <w:rPr>
          <w:sz w:val="22"/>
          <w:szCs w:val="22"/>
        </w:rPr>
        <w:t>*0.86).</w:t>
      </w:r>
    </w:p>
    <w:p w14:paraId="5B37990A" w14:textId="0BD4FE59" w:rsidR="00925CC3" w:rsidRPr="00D10FAD" w:rsidRDefault="00925CC3" w:rsidP="00D10FAD">
      <w:pPr>
        <w:autoSpaceDE w:val="0"/>
        <w:autoSpaceDN w:val="0"/>
        <w:adjustRightInd w:val="0"/>
        <w:spacing w:after="120"/>
        <w:rPr>
          <w:sz w:val="22"/>
          <w:szCs w:val="22"/>
        </w:rPr>
      </w:pPr>
      <w:r w:rsidRPr="00D10FAD">
        <w:rPr>
          <w:sz w:val="22"/>
          <w:szCs w:val="22"/>
        </w:rPr>
        <w:t>8</w:t>
      </w:r>
      <w:r w:rsidR="000B1A98">
        <w:rPr>
          <w:sz w:val="22"/>
          <w:szCs w:val="22"/>
        </w:rPr>
        <w:t>5</w:t>
      </w:r>
      <w:r w:rsidRPr="00D10FAD">
        <w:rPr>
          <w:sz w:val="22"/>
          <w:szCs w:val="22"/>
        </w:rPr>
        <w:t xml:space="preserve">. The loss will include interest, </w:t>
      </w:r>
      <w:proofErr w:type="gramStart"/>
      <w:r w:rsidRPr="00D10FAD">
        <w:rPr>
          <w:sz w:val="22"/>
          <w:szCs w:val="22"/>
        </w:rPr>
        <w:t>capital</w:t>
      </w:r>
      <w:proofErr w:type="gramEnd"/>
      <w:r w:rsidRPr="00D10FAD">
        <w:rPr>
          <w:sz w:val="22"/>
          <w:szCs w:val="22"/>
        </w:rPr>
        <w:t xml:space="preserve"> and charges due to creditors that would</w:t>
      </w:r>
      <w:r w:rsidR="00F7675B" w:rsidRPr="00D10FAD">
        <w:rPr>
          <w:sz w:val="22"/>
          <w:szCs w:val="22"/>
        </w:rPr>
        <w:t xml:space="preserve"> </w:t>
      </w:r>
      <w:r w:rsidRPr="00D10FAD">
        <w:rPr>
          <w:sz w:val="22"/>
          <w:szCs w:val="22"/>
        </w:rPr>
        <w:t>otherwise be irrecoverable and lost in a DRO. This will be an over-estimate of the</w:t>
      </w:r>
      <w:r w:rsidR="00F7675B" w:rsidRPr="00D10FAD">
        <w:rPr>
          <w:sz w:val="22"/>
          <w:szCs w:val="22"/>
        </w:rPr>
        <w:t xml:space="preserve"> </w:t>
      </w:r>
      <w:r w:rsidRPr="00D10FAD">
        <w:rPr>
          <w:sz w:val="22"/>
          <w:szCs w:val="22"/>
        </w:rPr>
        <w:t>cost as DMP and IVA are long-term debt solutions with monthly payments and</w:t>
      </w:r>
      <w:r w:rsidR="00F7675B" w:rsidRPr="00D10FAD">
        <w:rPr>
          <w:sz w:val="22"/>
          <w:szCs w:val="22"/>
        </w:rPr>
        <w:t xml:space="preserve"> </w:t>
      </w:r>
      <w:r w:rsidRPr="00D10FAD">
        <w:rPr>
          <w:sz w:val="22"/>
          <w:szCs w:val="22"/>
        </w:rPr>
        <w:t>therefore the value will be lower than if payment was received now, given the time</w:t>
      </w:r>
      <w:r w:rsidR="00F7675B" w:rsidRPr="00D10FAD">
        <w:rPr>
          <w:sz w:val="22"/>
          <w:szCs w:val="22"/>
        </w:rPr>
        <w:t xml:space="preserve"> </w:t>
      </w:r>
      <w:r w:rsidRPr="00D10FAD">
        <w:rPr>
          <w:sz w:val="22"/>
          <w:szCs w:val="22"/>
        </w:rPr>
        <w:t>value of money.</w:t>
      </w:r>
    </w:p>
    <w:p w14:paraId="647A6EDB" w14:textId="77777777" w:rsidR="00C27466" w:rsidRPr="00D10FAD" w:rsidRDefault="00C27466" w:rsidP="00D10FAD">
      <w:pPr>
        <w:autoSpaceDE w:val="0"/>
        <w:autoSpaceDN w:val="0"/>
        <w:adjustRightInd w:val="0"/>
        <w:spacing w:after="120"/>
        <w:rPr>
          <w:sz w:val="22"/>
          <w:szCs w:val="22"/>
        </w:rPr>
      </w:pPr>
      <w:r w:rsidRPr="00D10FAD">
        <w:rPr>
          <w:sz w:val="22"/>
          <w:szCs w:val="22"/>
        </w:rPr>
        <w:t>Costs to Insolvency Practitioners from loss of IVA fees</w:t>
      </w:r>
    </w:p>
    <w:p w14:paraId="10BF8738" w14:textId="77777777" w:rsidR="00CD6D51" w:rsidRDefault="00C27466" w:rsidP="00D10FAD">
      <w:pPr>
        <w:autoSpaceDE w:val="0"/>
        <w:autoSpaceDN w:val="0"/>
        <w:adjustRightInd w:val="0"/>
        <w:spacing w:after="120"/>
        <w:rPr>
          <w:sz w:val="22"/>
          <w:szCs w:val="22"/>
        </w:rPr>
      </w:pPr>
      <w:r w:rsidRPr="00D10FAD">
        <w:rPr>
          <w:sz w:val="22"/>
          <w:szCs w:val="22"/>
        </w:rPr>
        <w:t>8</w:t>
      </w:r>
      <w:r w:rsidR="00C61AE5">
        <w:rPr>
          <w:sz w:val="22"/>
          <w:szCs w:val="22"/>
        </w:rPr>
        <w:t>6</w:t>
      </w:r>
      <w:r w:rsidRPr="00D10FAD">
        <w:rPr>
          <w:sz w:val="22"/>
          <w:szCs w:val="22"/>
        </w:rPr>
        <w:t xml:space="preserve">. </w:t>
      </w:r>
      <w:r w:rsidR="00D65DA5">
        <w:rPr>
          <w:sz w:val="22"/>
          <w:szCs w:val="22"/>
        </w:rPr>
        <w:t xml:space="preserve">The only </w:t>
      </w:r>
      <w:r w:rsidRPr="00D10FAD">
        <w:rPr>
          <w:sz w:val="22"/>
          <w:szCs w:val="22"/>
        </w:rPr>
        <w:t>Insolvency</w:t>
      </w:r>
      <w:r w:rsidR="00D65DA5">
        <w:rPr>
          <w:sz w:val="22"/>
          <w:szCs w:val="22"/>
        </w:rPr>
        <w:t xml:space="preserve"> </w:t>
      </w:r>
      <w:r w:rsidRPr="00D10FAD">
        <w:rPr>
          <w:sz w:val="22"/>
          <w:szCs w:val="22"/>
        </w:rPr>
        <w:t xml:space="preserve">Practitioner (IP) </w:t>
      </w:r>
      <w:r w:rsidR="00D65DA5" w:rsidRPr="00D10FAD">
        <w:rPr>
          <w:sz w:val="22"/>
          <w:szCs w:val="22"/>
        </w:rPr>
        <w:t xml:space="preserve">led procedure impacted by the measure </w:t>
      </w:r>
      <w:r w:rsidR="00D65DA5">
        <w:rPr>
          <w:sz w:val="22"/>
          <w:szCs w:val="22"/>
        </w:rPr>
        <w:t xml:space="preserve">is IVAs. IPs would lose the </w:t>
      </w:r>
      <w:r w:rsidRPr="00D10FAD">
        <w:rPr>
          <w:sz w:val="22"/>
          <w:szCs w:val="22"/>
        </w:rPr>
        <w:t xml:space="preserve">fees </w:t>
      </w:r>
      <w:r w:rsidR="00D65DA5">
        <w:rPr>
          <w:sz w:val="22"/>
          <w:szCs w:val="22"/>
        </w:rPr>
        <w:t xml:space="preserve">they would have charged for </w:t>
      </w:r>
      <w:r w:rsidR="00D65DA5" w:rsidRPr="00D10FAD">
        <w:rPr>
          <w:sz w:val="22"/>
          <w:szCs w:val="22"/>
        </w:rPr>
        <w:t>administ</w:t>
      </w:r>
      <w:r w:rsidR="00D65DA5">
        <w:rPr>
          <w:sz w:val="22"/>
          <w:szCs w:val="22"/>
        </w:rPr>
        <w:t>ering t</w:t>
      </w:r>
      <w:r w:rsidRPr="00D10FAD">
        <w:rPr>
          <w:sz w:val="22"/>
          <w:szCs w:val="22"/>
        </w:rPr>
        <w:t>he estimated</w:t>
      </w:r>
      <w:r w:rsidR="00DE4DF4" w:rsidRPr="00D10FAD">
        <w:rPr>
          <w:sz w:val="22"/>
          <w:szCs w:val="22"/>
        </w:rPr>
        <w:t xml:space="preserve"> </w:t>
      </w:r>
      <w:r w:rsidRPr="00D10FAD">
        <w:rPr>
          <w:sz w:val="22"/>
          <w:szCs w:val="22"/>
        </w:rPr>
        <w:t>1</w:t>
      </w:r>
      <w:r w:rsidR="00C61AE5">
        <w:rPr>
          <w:sz w:val="22"/>
          <w:szCs w:val="22"/>
        </w:rPr>
        <w:t>9</w:t>
      </w:r>
      <w:r w:rsidRPr="00D10FAD">
        <w:rPr>
          <w:sz w:val="22"/>
          <w:szCs w:val="22"/>
        </w:rPr>
        <w:t xml:space="preserve"> IVAs that would no longer occur</w:t>
      </w:r>
      <w:r w:rsidR="00D65DA5">
        <w:rPr>
          <w:sz w:val="22"/>
          <w:szCs w:val="22"/>
        </w:rPr>
        <w:t>.</w:t>
      </w:r>
      <w:r w:rsidRPr="00D10FAD">
        <w:rPr>
          <w:sz w:val="22"/>
          <w:szCs w:val="22"/>
        </w:rPr>
        <w:t xml:space="preserve"> </w:t>
      </w:r>
      <w:r w:rsidR="00C61AE5">
        <w:rPr>
          <w:sz w:val="22"/>
          <w:szCs w:val="22"/>
        </w:rPr>
        <w:t xml:space="preserve">In 2021 </w:t>
      </w:r>
      <w:proofErr w:type="spellStart"/>
      <w:r w:rsidRPr="00D10FAD">
        <w:rPr>
          <w:sz w:val="22"/>
          <w:szCs w:val="22"/>
        </w:rPr>
        <w:t>PayPlan</w:t>
      </w:r>
      <w:proofErr w:type="spellEnd"/>
      <w:r w:rsidR="00DE4DF4" w:rsidRPr="00D10FAD">
        <w:rPr>
          <w:sz w:val="22"/>
          <w:szCs w:val="22"/>
        </w:rPr>
        <w:t xml:space="preserve"> </w:t>
      </w:r>
      <w:r w:rsidRPr="00D10FAD">
        <w:rPr>
          <w:sz w:val="22"/>
          <w:szCs w:val="22"/>
        </w:rPr>
        <w:t>estimate</w:t>
      </w:r>
      <w:r w:rsidR="00C61AE5">
        <w:rPr>
          <w:sz w:val="22"/>
          <w:szCs w:val="22"/>
        </w:rPr>
        <w:t>d</w:t>
      </w:r>
      <w:r w:rsidRPr="00D10FAD">
        <w:rPr>
          <w:sz w:val="22"/>
          <w:szCs w:val="22"/>
        </w:rPr>
        <w:t xml:space="preserve"> the average IP fee for </w:t>
      </w:r>
      <w:r w:rsidR="00C61AE5">
        <w:rPr>
          <w:sz w:val="22"/>
          <w:szCs w:val="22"/>
        </w:rPr>
        <w:t xml:space="preserve">an </w:t>
      </w:r>
      <w:r w:rsidRPr="00D10FAD">
        <w:rPr>
          <w:sz w:val="22"/>
          <w:szCs w:val="22"/>
        </w:rPr>
        <w:t xml:space="preserve">IVA </w:t>
      </w:r>
      <w:r w:rsidR="00C61AE5">
        <w:rPr>
          <w:sz w:val="22"/>
          <w:szCs w:val="22"/>
        </w:rPr>
        <w:t>in such cases as</w:t>
      </w:r>
      <w:r w:rsidRPr="00D10FAD">
        <w:rPr>
          <w:sz w:val="22"/>
          <w:szCs w:val="22"/>
        </w:rPr>
        <w:t xml:space="preserve"> £1,670</w:t>
      </w:r>
      <w:r w:rsidR="00C61AE5">
        <w:rPr>
          <w:sz w:val="22"/>
          <w:szCs w:val="22"/>
        </w:rPr>
        <w:t xml:space="preserve">, which, </w:t>
      </w:r>
      <w:r w:rsidR="00C61AE5">
        <w:rPr>
          <w:sz w:val="22"/>
          <w:szCs w:val="22"/>
        </w:rPr>
        <w:lastRenderedPageBreak/>
        <w:t xml:space="preserve">uprated using GDP inflators, is £1,750 in 2023 prices. </w:t>
      </w:r>
      <w:r w:rsidR="00CA7607">
        <w:rPr>
          <w:sz w:val="22"/>
          <w:szCs w:val="22"/>
        </w:rPr>
        <w:t xml:space="preserve">Multiplying this by the estimated number of IVAs that would enter a DRO (19) provides an estimated loss of </w:t>
      </w:r>
      <w:r w:rsidRPr="00D10FAD">
        <w:rPr>
          <w:b/>
          <w:bCs/>
          <w:sz w:val="22"/>
          <w:szCs w:val="22"/>
        </w:rPr>
        <w:t xml:space="preserve">income </w:t>
      </w:r>
      <w:r w:rsidR="00CA7607">
        <w:rPr>
          <w:b/>
          <w:bCs/>
          <w:sz w:val="22"/>
          <w:szCs w:val="22"/>
        </w:rPr>
        <w:t xml:space="preserve">amounting to </w:t>
      </w:r>
      <w:r w:rsidR="00DE4DF4" w:rsidRPr="00D10FAD">
        <w:rPr>
          <w:b/>
          <w:bCs/>
          <w:sz w:val="22"/>
          <w:szCs w:val="22"/>
        </w:rPr>
        <w:t>£</w:t>
      </w:r>
      <w:r w:rsidR="00CA7607">
        <w:rPr>
          <w:b/>
          <w:bCs/>
          <w:sz w:val="22"/>
          <w:szCs w:val="22"/>
        </w:rPr>
        <w:t>33</w:t>
      </w:r>
      <w:r w:rsidR="00DE4DF4" w:rsidRPr="00D10FAD">
        <w:rPr>
          <w:b/>
          <w:bCs/>
          <w:sz w:val="22"/>
          <w:szCs w:val="22"/>
        </w:rPr>
        <w:t>,</w:t>
      </w:r>
      <w:r w:rsidR="00CA7607">
        <w:rPr>
          <w:b/>
          <w:bCs/>
          <w:sz w:val="22"/>
          <w:szCs w:val="22"/>
        </w:rPr>
        <w:t>25</w:t>
      </w:r>
      <w:r w:rsidR="00DE4DF4" w:rsidRPr="00D10FAD">
        <w:rPr>
          <w:b/>
          <w:bCs/>
          <w:sz w:val="22"/>
          <w:szCs w:val="22"/>
        </w:rPr>
        <w:t>0</w:t>
      </w:r>
      <w:r w:rsidR="00DE4DF4" w:rsidRPr="00D10FAD">
        <w:rPr>
          <w:sz w:val="22"/>
          <w:szCs w:val="22"/>
        </w:rPr>
        <w:t xml:space="preserve">. This is </w:t>
      </w:r>
      <w:r w:rsidR="00CA7607">
        <w:rPr>
          <w:sz w:val="22"/>
          <w:szCs w:val="22"/>
        </w:rPr>
        <w:t xml:space="preserve">a direct cost and is </w:t>
      </w:r>
      <w:r w:rsidR="00CA7607" w:rsidRPr="00D10FAD">
        <w:rPr>
          <w:sz w:val="22"/>
          <w:szCs w:val="22"/>
        </w:rPr>
        <w:t xml:space="preserve">additional to the creditor return impact </w:t>
      </w:r>
      <w:r w:rsidR="00CA7607">
        <w:rPr>
          <w:sz w:val="22"/>
          <w:szCs w:val="22"/>
        </w:rPr>
        <w:t xml:space="preserve">as the fees would have had to be covered before any </w:t>
      </w:r>
      <w:r w:rsidR="00CD6D51">
        <w:rPr>
          <w:sz w:val="22"/>
          <w:szCs w:val="22"/>
        </w:rPr>
        <w:t xml:space="preserve">distributions </w:t>
      </w:r>
      <w:r w:rsidR="00CA7607">
        <w:rPr>
          <w:sz w:val="22"/>
          <w:szCs w:val="22"/>
        </w:rPr>
        <w:t>were made to creditors</w:t>
      </w:r>
      <w:r w:rsidR="00CD6D51">
        <w:rPr>
          <w:sz w:val="22"/>
          <w:szCs w:val="22"/>
        </w:rPr>
        <w:t xml:space="preserve">. </w:t>
      </w:r>
    </w:p>
    <w:p w14:paraId="71B3A74F" w14:textId="320F51BD" w:rsidR="00582FA8" w:rsidRPr="00D10FAD" w:rsidRDefault="00582FA8" w:rsidP="00D10FAD">
      <w:pPr>
        <w:autoSpaceDE w:val="0"/>
        <w:autoSpaceDN w:val="0"/>
        <w:adjustRightInd w:val="0"/>
        <w:spacing w:after="120"/>
        <w:rPr>
          <w:sz w:val="22"/>
          <w:szCs w:val="22"/>
          <w:u w:val="single"/>
        </w:rPr>
      </w:pPr>
      <w:r w:rsidRPr="00D10FAD">
        <w:rPr>
          <w:sz w:val="22"/>
          <w:szCs w:val="22"/>
          <w:u w:val="single"/>
        </w:rPr>
        <w:t>Monetised benefits</w:t>
      </w:r>
    </w:p>
    <w:p w14:paraId="20EE33B9" w14:textId="77777777" w:rsidR="00582FA8" w:rsidRPr="00D10FAD" w:rsidRDefault="00582FA8" w:rsidP="00D10FAD">
      <w:pPr>
        <w:autoSpaceDE w:val="0"/>
        <w:autoSpaceDN w:val="0"/>
        <w:adjustRightInd w:val="0"/>
        <w:spacing w:after="120"/>
        <w:rPr>
          <w:sz w:val="22"/>
          <w:szCs w:val="22"/>
        </w:rPr>
      </w:pPr>
      <w:r w:rsidRPr="00D10FAD">
        <w:rPr>
          <w:sz w:val="22"/>
          <w:szCs w:val="22"/>
        </w:rPr>
        <w:t>Benefits to debtors (non-business impacts)</w:t>
      </w:r>
    </w:p>
    <w:p w14:paraId="400F09C4" w14:textId="64301959" w:rsidR="00582FA8" w:rsidRPr="00D10FAD" w:rsidRDefault="00582FA8" w:rsidP="00D10FAD">
      <w:pPr>
        <w:autoSpaceDE w:val="0"/>
        <w:autoSpaceDN w:val="0"/>
        <w:adjustRightInd w:val="0"/>
        <w:spacing w:after="120"/>
        <w:rPr>
          <w:sz w:val="22"/>
          <w:szCs w:val="22"/>
        </w:rPr>
      </w:pPr>
      <w:r w:rsidRPr="00D10FAD">
        <w:rPr>
          <w:sz w:val="22"/>
          <w:szCs w:val="22"/>
        </w:rPr>
        <w:t>8</w:t>
      </w:r>
      <w:r w:rsidR="00CD6D51">
        <w:rPr>
          <w:sz w:val="22"/>
          <w:szCs w:val="22"/>
        </w:rPr>
        <w:t>7</w:t>
      </w:r>
      <w:r w:rsidRPr="00D10FAD">
        <w:rPr>
          <w:sz w:val="22"/>
          <w:szCs w:val="22"/>
        </w:rPr>
        <w:t xml:space="preserve">. </w:t>
      </w:r>
      <w:r w:rsidR="008D64B8" w:rsidRPr="00D10FAD">
        <w:rPr>
          <w:sz w:val="22"/>
          <w:szCs w:val="22"/>
        </w:rPr>
        <w:t>Table</w:t>
      </w:r>
      <w:r w:rsidR="008D64B8">
        <w:rPr>
          <w:sz w:val="22"/>
          <w:szCs w:val="22"/>
        </w:rPr>
        <w:t xml:space="preserve"> 5</w:t>
      </w:r>
      <w:r w:rsidR="008D64B8" w:rsidRPr="00D10FAD">
        <w:rPr>
          <w:sz w:val="22"/>
          <w:szCs w:val="22"/>
        </w:rPr>
        <w:t xml:space="preserve"> show</w:t>
      </w:r>
      <w:r w:rsidR="008D64B8">
        <w:rPr>
          <w:sz w:val="22"/>
          <w:szCs w:val="22"/>
        </w:rPr>
        <w:t>s that f</w:t>
      </w:r>
      <w:r w:rsidR="008D64B8" w:rsidRPr="00D10FAD">
        <w:rPr>
          <w:sz w:val="22"/>
          <w:szCs w:val="22"/>
        </w:rPr>
        <w:t>ollowing the increases to the DRO monetary eligibility limits an estimated 2</w:t>
      </w:r>
      <w:r w:rsidR="008D64B8">
        <w:rPr>
          <w:sz w:val="22"/>
          <w:szCs w:val="22"/>
        </w:rPr>
        <w:t>80</w:t>
      </w:r>
      <w:r w:rsidR="008D64B8" w:rsidRPr="00D10FAD">
        <w:rPr>
          <w:sz w:val="22"/>
          <w:szCs w:val="22"/>
        </w:rPr>
        <w:t xml:space="preserve"> people</w:t>
      </w:r>
      <w:r w:rsidRPr="00D10FAD">
        <w:rPr>
          <w:sz w:val="22"/>
          <w:szCs w:val="22"/>
        </w:rPr>
        <w:t xml:space="preserve"> would be able to access this debt solution</w:t>
      </w:r>
      <w:r w:rsidR="008D64B8">
        <w:rPr>
          <w:sz w:val="22"/>
          <w:szCs w:val="22"/>
        </w:rPr>
        <w:t xml:space="preserve"> who would not have been able to do so under the former limits. </w:t>
      </w:r>
      <w:r w:rsidRPr="00D10FAD">
        <w:rPr>
          <w:sz w:val="22"/>
          <w:szCs w:val="22"/>
        </w:rPr>
        <w:t>The benefit to debtors is equal to the</w:t>
      </w:r>
      <w:r w:rsidR="0065292A" w:rsidRPr="00D10FAD">
        <w:rPr>
          <w:sz w:val="22"/>
          <w:szCs w:val="22"/>
        </w:rPr>
        <w:t xml:space="preserve"> </w:t>
      </w:r>
      <w:r w:rsidRPr="00D10FAD">
        <w:rPr>
          <w:sz w:val="22"/>
          <w:szCs w:val="22"/>
        </w:rPr>
        <w:t>cost to creditors and IPs as debtors benefit from debt relief through retaining money</w:t>
      </w:r>
      <w:r w:rsidR="0065292A" w:rsidRPr="00D10FAD">
        <w:rPr>
          <w:sz w:val="22"/>
          <w:szCs w:val="22"/>
        </w:rPr>
        <w:t xml:space="preserve"> </w:t>
      </w:r>
      <w:r w:rsidRPr="00D10FAD">
        <w:rPr>
          <w:sz w:val="22"/>
          <w:szCs w:val="22"/>
        </w:rPr>
        <w:t xml:space="preserve">that </w:t>
      </w:r>
      <w:r w:rsidR="008D64B8" w:rsidRPr="00D10FAD">
        <w:rPr>
          <w:sz w:val="22"/>
          <w:szCs w:val="22"/>
        </w:rPr>
        <w:t xml:space="preserve">would </w:t>
      </w:r>
      <w:r w:rsidRPr="00D10FAD">
        <w:rPr>
          <w:sz w:val="22"/>
          <w:szCs w:val="22"/>
        </w:rPr>
        <w:t>otherwise be distributed to IPs and creditors. Therefore, the total benefit to</w:t>
      </w:r>
      <w:r w:rsidR="0065292A" w:rsidRPr="00D10FAD">
        <w:rPr>
          <w:sz w:val="22"/>
          <w:szCs w:val="22"/>
        </w:rPr>
        <w:t xml:space="preserve"> </w:t>
      </w:r>
      <w:r w:rsidRPr="00D10FAD">
        <w:rPr>
          <w:sz w:val="22"/>
          <w:szCs w:val="22"/>
        </w:rPr>
        <w:t xml:space="preserve">debtors is </w:t>
      </w:r>
      <w:r w:rsidRPr="00D10FAD">
        <w:rPr>
          <w:b/>
          <w:bCs/>
          <w:sz w:val="22"/>
          <w:szCs w:val="22"/>
        </w:rPr>
        <w:t>£</w:t>
      </w:r>
      <w:r w:rsidR="00572544">
        <w:rPr>
          <w:b/>
          <w:bCs/>
          <w:sz w:val="22"/>
          <w:szCs w:val="22"/>
        </w:rPr>
        <w:t>26</w:t>
      </w:r>
      <w:r w:rsidRPr="00D10FAD">
        <w:rPr>
          <w:b/>
          <w:bCs/>
          <w:sz w:val="22"/>
          <w:szCs w:val="22"/>
        </w:rPr>
        <w:t>1,36</w:t>
      </w:r>
      <w:r w:rsidR="001F13D6">
        <w:rPr>
          <w:b/>
          <w:bCs/>
          <w:sz w:val="22"/>
          <w:szCs w:val="22"/>
        </w:rPr>
        <w:t>1</w:t>
      </w:r>
      <w:r w:rsidRPr="00D10FAD">
        <w:rPr>
          <w:b/>
          <w:bCs/>
          <w:sz w:val="22"/>
          <w:szCs w:val="22"/>
        </w:rPr>
        <w:t xml:space="preserve"> </w:t>
      </w:r>
      <w:r w:rsidRPr="00D10FAD">
        <w:rPr>
          <w:sz w:val="22"/>
          <w:szCs w:val="22"/>
        </w:rPr>
        <w:t>(loss to creditors, including government creditors £</w:t>
      </w:r>
      <w:r w:rsidR="008D64B8">
        <w:rPr>
          <w:sz w:val="22"/>
          <w:szCs w:val="22"/>
        </w:rPr>
        <w:t>228</w:t>
      </w:r>
      <w:r w:rsidRPr="00D10FAD">
        <w:rPr>
          <w:sz w:val="22"/>
          <w:szCs w:val="22"/>
        </w:rPr>
        <w:t>,</w:t>
      </w:r>
      <w:r w:rsidR="008D64B8">
        <w:rPr>
          <w:sz w:val="22"/>
          <w:szCs w:val="22"/>
        </w:rPr>
        <w:t>11</w:t>
      </w:r>
      <w:r w:rsidR="001F13D6">
        <w:rPr>
          <w:sz w:val="22"/>
          <w:szCs w:val="22"/>
        </w:rPr>
        <w:t>1</w:t>
      </w:r>
      <w:r w:rsidRPr="00D10FAD">
        <w:rPr>
          <w:sz w:val="22"/>
          <w:szCs w:val="22"/>
        </w:rPr>
        <w:t xml:space="preserve"> + loss to</w:t>
      </w:r>
      <w:r w:rsidR="008E05FC" w:rsidRPr="00D10FAD">
        <w:rPr>
          <w:sz w:val="22"/>
          <w:szCs w:val="22"/>
        </w:rPr>
        <w:t xml:space="preserve"> </w:t>
      </w:r>
      <w:r w:rsidRPr="00D10FAD">
        <w:rPr>
          <w:sz w:val="22"/>
          <w:szCs w:val="22"/>
        </w:rPr>
        <w:t>IPs £</w:t>
      </w:r>
      <w:r w:rsidR="008D64B8">
        <w:rPr>
          <w:sz w:val="22"/>
          <w:szCs w:val="22"/>
        </w:rPr>
        <w:t>33</w:t>
      </w:r>
      <w:r w:rsidR="00DA1F3C" w:rsidRPr="00D10FAD">
        <w:rPr>
          <w:sz w:val="22"/>
          <w:szCs w:val="22"/>
        </w:rPr>
        <w:t>,</w:t>
      </w:r>
      <w:r w:rsidR="008D64B8">
        <w:rPr>
          <w:sz w:val="22"/>
          <w:szCs w:val="22"/>
        </w:rPr>
        <w:t>250</w:t>
      </w:r>
      <w:r w:rsidR="00DA1F3C" w:rsidRPr="00D10FAD">
        <w:rPr>
          <w:sz w:val="22"/>
          <w:szCs w:val="22"/>
        </w:rPr>
        <w:t>)</w:t>
      </w:r>
      <w:r w:rsidRPr="00D10FAD">
        <w:rPr>
          <w:sz w:val="22"/>
          <w:szCs w:val="22"/>
        </w:rPr>
        <w:t>.</w:t>
      </w:r>
    </w:p>
    <w:p w14:paraId="5C6AA55A" w14:textId="3F89801D" w:rsidR="00582FA8" w:rsidRPr="00D10FAD" w:rsidRDefault="00DA1F3C" w:rsidP="00D10FAD">
      <w:pPr>
        <w:autoSpaceDE w:val="0"/>
        <w:autoSpaceDN w:val="0"/>
        <w:adjustRightInd w:val="0"/>
        <w:spacing w:after="120"/>
        <w:rPr>
          <w:sz w:val="22"/>
          <w:szCs w:val="22"/>
        </w:rPr>
      </w:pPr>
      <w:r w:rsidRPr="00D10FAD">
        <w:rPr>
          <w:sz w:val="22"/>
          <w:szCs w:val="22"/>
        </w:rPr>
        <w:t>8</w:t>
      </w:r>
      <w:r w:rsidR="000F42A9">
        <w:rPr>
          <w:sz w:val="22"/>
          <w:szCs w:val="22"/>
        </w:rPr>
        <w:t>8</w:t>
      </w:r>
      <w:r w:rsidR="00582FA8" w:rsidRPr="00D10FAD">
        <w:rPr>
          <w:sz w:val="22"/>
          <w:szCs w:val="22"/>
        </w:rPr>
        <w:t>. Debtors also benefit from paying the lower DRO fee (£90) rather than the more</w:t>
      </w:r>
      <w:r w:rsidR="008E05FC" w:rsidRPr="00D10FAD">
        <w:rPr>
          <w:sz w:val="22"/>
          <w:szCs w:val="22"/>
        </w:rPr>
        <w:t xml:space="preserve"> </w:t>
      </w:r>
      <w:r w:rsidR="00582FA8" w:rsidRPr="00D10FAD">
        <w:rPr>
          <w:sz w:val="22"/>
          <w:szCs w:val="22"/>
        </w:rPr>
        <w:t>expensive debtors bankruptcy route incurring a debtor’s deposit (£5</w:t>
      </w:r>
      <w:r w:rsidR="00097A16" w:rsidRPr="00D10FAD">
        <w:rPr>
          <w:sz w:val="22"/>
          <w:szCs w:val="22"/>
        </w:rPr>
        <w:t>25</w:t>
      </w:r>
      <w:r w:rsidR="00582FA8" w:rsidRPr="00D10FAD">
        <w:rPr>
          <w:sz w:val="22"/>
          <w:szCs w:val="22"/>
        </w:rPr>
        <w:t>) and</w:t>
      </w:r>
      <w:r w:rsidR="008E05FC" w:rsidRPr="00D10FAD">
        <w:rPr>
          <w:sz w:val="22"/>
          <w:szCs w:val="22"/>
        </w:rPr>
        <w:t xml:space="preserve"> </w:t>
      </w:r>
      <w:r w:rsidR="00C41412" w:rsidRPr="00D10FAD">
        <w:rPr>
          <w:sz w:val="22"/>
          <w:szCs w:val="22"/>
        </w:rPr>
        <w:t>a court fee</w:t>
      </w:r>
      <w:r w:rsidR="00582FA8" w:rsidRPr="00D10FAD">
        <w:rPr>
          <w:sz w:val="22"/>
          <w:szCs w:val="22"/>
        </w:rPr>
        <w:t xml:space="preserve"> (£1</w:t>
      </w:r>
      <w:r w:rsidR="00C41412" w:rsidRPr="00D10FAD">
        <w:rPr>
          <w:sz w:val="22"/>
          <w:szCs w:val="22"/>
        </w:rPr>
        <w:t>51</w:t>
      </w:r>
      <w:r w:rsidR="00582FA8" w:rsidRPr="00D10FAD">
        <w:rPr>
          <w:sz w:val="22"/>
          <w:szCs w:val="22"/>
        </w:rPr>
        <w:t>). The</w:t>
      </w:r>
      <w:r w:rsidR="0025328F">
        <w:rPr>
          <w:sz w:val="22"/>
          <w:szCs w:val="22"/>
        </w:rPr>
        <w:t xml:space="preserve"> total amount saved by the </w:t>
      </w:r>
      <w:r w:rsidR="00582FA8" w:rsidRPr="00D10FAD">
        <w:rPr>
          <w:sz w:val="22"/>
          <w:szCs w:val="22"/>
        </w:rPr>
        <w:t>debtor</w:t>
      </w:r>
      <w:r w:rsidR="0025328F">
        <w:rPr>
          <w:sz w:val="22"/>
          <w:szCs w:val="22"/>
        </w:rPr>
        <w:t xml:space="preserve"> is £5</w:t>
      </w:r>
      <w:r w:rsidR="00C41412" w:rsidRPr="00D10FAD">
        <w:rPr>
          <w:sz w:val="22"/>
          <w:szCs w:val="22"/>
        </w:rPr>
        <w:t>86</w:t>
      </w:r>
      <w:r w:rsidR="00582FA8" w:rsidRPr="00D10FAD">
        <w:rPr>
          <w:sz w:val="22"/>
          <w:szCs w:val="22"/>
        </w:rPr>
        <w:t xml:space="preserve"> (6</w:t>
      </w:r>
      <w:r w:rsidR="00C41412" w:rsidRPr="00D10FAD">
        <w:rPr>
          <w:sz w:val="22"/>
          <w:szCs w:val="22"/>
        </w:rPr>
        <w:t>76</w:t>
      </w:r>
      <w:r w:rsidR="00582FA8" w:rsidRPr="00D10FAD">
        <w:rPr>
          <w:sz w:val="22"/>
          <w:szCs w:val="22"/>
        </w:rPr>
        <w:t>-90=5</w:t>
      </w:r>
      <w:r w:rsidR="00C41412" w:rsidRPr="00D10FAD">
        <w:rPr>
          <w:sz w:val="22"/>
          <w:szCs w:val="22"/>
        </w:rPr>
        <w:t>86</w:t>
      </w:r>
      <w:r w:rsidR="00582FA8" w:rsidRPr="00D10FAD">
        <w:rPr>
          <w:sz w:val="22"/>
          <w:szCs w:val="22"/>
        </w:rPr>
        <w:t>)</w:t>
      </w:r>
      <w:r w:rsidR="0025328F">
        <w:rPr>
          <w:sz w:val="22"/>
          <w:szCs w:val="22"/>
        </w:rPr>
        <w:t>.</w:t>
      </w:r>
      <w:r w:rsidR="00582FA8" w:rsidRPr="00D10FAD">
        <w:rPr>
          <w:sz w:val="22"/>
          <w:szCs w:val="22"/>
        </w:rPr>
        <w:t xml:space="preserve"> Table </w:t>
      </w:r>
      <w:r w:rsidR="00572544">
        <w:rPr>
          <w:sz w:val="22"/>
          <w:szCs w:val="22"/>
        </w:rPr>
        <w:t>5</w:t>
      </w:r>
      <w:r w:rsidR="00582FA8" w:rsidRPr="00D10FAD">
        <w:rPr>
          <w:sz w:val="22"/>
          <w:szCs w:val="22"/>
        </w:rPr>
        <w:t xml:space="preserve"> estimated </w:t>
      </w:r>
      <w:r w:rsidR="005E4304" w:rsidRPr="00D10FAD">
        <w:rPr>
          <w:sz w:val="22"/>
          <w:szCs w:val="22"/>
        </w:rPr>
        <w:t>1</w:t>
      </w:r>
      <w:r w:rsidR="00572544">
        <w:rPr>
          <w:sz w:val="22"/>
          <w:szCs w:val="22"/>
        </w:rPr>
        <w:t>2</w:t>
      </w:r>
      <w:r w:rsidR="00582FA8" w:rsidRPr="00D10FAD">
        <w:rPr>
          <w:sz w:val="22"/>
          <w:szCs w:val="22"/>
        </w:rPr>
        <w:t xml:space="preserve"> debtor</w:t>
      </w:r>
      <w:r w:rsidR="008E05FC" w:rsidRPr="00D10FAD">
        <w:rPr>
          <w:sz w:val="22"/>
          <w:szCs w:val="22"/>
        </w:rPr>
        <w:t xml:space="preserve"> </w:t>
      </w:r>
      <w:r w:rsidR="00582FA8" w:rsidRPr="00D10FAD">
        <w:rPr>
          <w:sz w:val="22"/>
          <w:szCs w:val="22"/>
        </w:rPr>
        <w:t>bankruptcy cases would transfer to DRO</w:t>
      </w:r>
      <w:r w:rsidR="0025328F">
        <w:rPr>
          <w:sz w:val="22"/>
          <w:szCs w:val="22"/>
        </w:rPr>
        <w:t>. The overall c</w:t>
      </w:r>
      <w:r w:rsidR="00582FA8" w:rsidRPr="00D10FAD">
        <w:rPr>
          <w:sz w:val="22"/>
          <w:szCs w:val="22"/>
        </w:rPr>
        <w:t xml:space="preserve">ost saving </w:t>
      </w:r>
      <w:r w:rsidR="0025328F">
        <w:rPr>
          <w:sz w:val="22"/>
          <w:szCs w:val="22"/>
        </w:rPr>
        <w:t xml:space="preserve">for debtors from transferring to DROs would therefore be </w:t>
      </w:r>
      <w:r w:rsidR="00582FA8" w:rsidRPr="00D10FAD">
        <w:rPr>
          <w:b/>
          <w:bCs/>
          <w:sz w:val="22"/>
          <w:szCs w:val="22"/>
        </w:rPr>
        <w:t>£</w:t>
      </w:r>
      <w:r w:rsidR="00572544">
        <w:rPr>
          <w:b/>
          <w:bCs/>
          <w:sz w:val="22"/>
          <w:szCs w:val="22"/>
        </w:rPr>
        <w:t>7</w:t>
      </w:r>
      <w:r w:rsidR="008E05FC" w:rsidRPr="00D10FAD">
        <w:rPr>
          <w:b/>
          <w:bCs/>
          <w:sz w:val="22"/>
          <w:szCs w:val="22"/>
        </w:rPr>
        <w:t>,</w:t>
      </w:r>
      <w:r w:rsidR="00572544">
        <w:rPr>
          <w:b/>
          <w:bCs/>
          <w:sz w:val="22"/>
          <w:szCs w:val="22"/>
        </w:rPr>
        <w:t>032</w:t>
      </w:r>
      <w:r w:rsidR="00582FA8" w:rsidRPr="00D10FAD">
        <w:rPr>
          <w:b/>
          <w:bCs/>
          <w:sz w:val="22"/>
          <w:szCs w:val="22"/>
        </w:rPr>
        <w:t xml:space="preserve"> </w:t>
      </w:r>
      <w:r w:rsidR="00582FA8" w:rsidRPr="00D10FAD">
        <w:rPr>
          <w:sz w:val="22"/>
          <w:szCs w:val="22"/>
        </w:rPr>
        <w:t>(£5</w:t>
      </w:r>
      <w:r w:rsidR="00C41412" w:rsidRPr="00D10FAD">
        <w:rPr>
          <w:sz w:val="22"/>
          <w:szCs w:val="22"/>
        </w:rPr>
        <w:t>86</w:t>
      </w:r>
      <w:r w:rsidR="00582FA8" w:rsidRPr="00D10FAD">
        <w:rPr>
          <w:sz w:val="22"/>
          <w:szCs w:val="22"/>
        </w:rPr>
        <w:t>*</w:t>
      </w:r>
      <w:r w:rsidR="008E05FC" w:rsidRPr="00D10FAD">
        <w:rPr>
          <w:sz w:val="22"/>
          <w:szCs w:val="22"/>
        </w:rPr>
        <w:t>1</w:t>
      </w:r>
      <w:r w:rsidR="00572544">
        <w:rPr>
          <w:sz w:val="22"/>
          <w:szCs w:val="22"/>
        </w:rPr>
        <w:t>2</w:t>
      </w:r>
      <w:r w:rsidR="00582FA8" w:rsidRPr="00D10FAD">
        <w:rPr>
          <w:sz w:val="22"/>
          <w:szCs w:val="22"/>
        </w:rPr>
        <w:t>).</w:t>
      </w:r>
    </w:p>
    <w:p w14:paraId="47922FEF" w14:textId="77777777" w:rsidR="00582FA8" w:rsidRPr="00D10FAD" w:rsidRDefault="00582FA8" w:rsidP="00D10FAD">
      <w:pPr>
        <w:autoSpaceDE w:val="0"/>
        <w:autoSpaceDN w:val="0"/>
        <w:adjustRightInd w:val="0"/>
        <w:spacing w:after="120"/>
        <w:rPr>
          <w:sz w:val="22"/>
          <w:szCs w:val="22"/>
          <w:u w:val="single"/>
        </w:rPr>
      </w:pPr>
      <w:r w:rsidRPr="00D10FAD">
        <w:rPr>
          <w:sz w:val="22"/>
          <w:szCs w:val="22"/>
          <w:u w:val="single"/>
        </w:rPr>
        <w:t>Non-monetised benefits</w:t>
      </w:r>
    </w:p>
    <w:p w14:paraId="5C81E349" w14:textId="77777777" w:rsidR="00C41412" w:rsidRDefault="00C41412" w:rsidP="00D10FAD">
      <w:pPr>
        <w:autoSpaceDE w:val="0"/>
        <w:autoSpaceDN w:val="0"/>
        <w:adjustRightInd w:val="0"/>
        <w:spacing w:after="120"/>
        <w:rPr>
          <w:color w:val="000000"/>
          <w:sz w:val="22"/>
          <w:szCs w:val="22"/>
        </w:rPr>
      </w:pPr>
      <w:r w:rsidRPr="00D10FAD">
        <w:rPr>
          <w:color w:val="000000"/>
          <w:sz w:val="22"/>
          <w:szCs w:val="22"/>
        </w:rPr>
        <w:t>Benefits to creditors from reduced administration and recovery costs</w:t>
      </w:r>
    </w:p>
    <w:p w14:paraId="16E6E975" w14:textId="03920315" w:rsidR="000F42A9" w:rsidRPr="00D10FAD" w:rsidRDefault="000F42A9" w:rsidP="00D10FAD">
      <w:pPr>
        <w:autoSpaceDE w:val="0"/>
        <w:autoSpaceDN w:val="0"/>
        <w:adjustRightInd w:val="0"/>
        <w:spacing w:after="120"/>
        <w:rPr>
          <w:color w:val="000000"/>
          <w:sz w:val="22"/>
          <w:szCs w:val="22"/>
        </w:rPr>
      </w:pPr>
      <w:r>
        <w:rPr>
          <w:color w:val="000000"/>
          <w:sz w:val="22"/>
          <w:szCs w:val="22"/>
        </w:rPr>
        <w:t xml:space="preserve">89. There are non-monetised benefits for both creditors and debtors from increasing the DRO eligibility criteria. </w:t>
      </w:r>
    </w:p>
    <w:p w14:paraId="5E55D7B4" w14:textId="7092258B" w:rsidR="00C41412" w:rsidRDefault="000F42A9" w:rsidP="00D10FAD">
      <w:pPr>
        <w:autoSpaceDE w:val="0"/>
        <w:autoSpaceDN w:val="0"/>
        <w:adjustRightInd w:val="0"/>
        <w:spacing w:after="120"/>
        <w:rPr>
          <w:color w:val="000000"/>
          <w:sz w:val="22"/>
          <w:szCs w:val="22"/>
        </w:rPr>
      </w:pPr>
      <w:r>
        <w:rPr>
          <w:color w:val="000000"/>
          <w:sz w:val="22"/>
          <w:szCs w:val="22"/>
        </w:rPr>
        <w:t>90</w:t>
      </w:r>
      <w:r w:rsidR="00C41412" w:rsidRPr="00D10FAD">
        <w:rPr>
          <w:color w:val="000000"/>
          <w:sz w:val="22"/>
          <w:szCs w:val="22"/>
        </w:rPr>
        <w:t>. The cost of recovering debt is part of the normal business expenditure for creditors</w:t>
      </w:r>
      <w:r w:rsidR="004B7666" w:rsidRPr="00D10FAD">
        <w:rPr>
          <w:color w:val="000000"/>
          <w:sz w:val="22"/>
          <w:szCs w:val="22"/>
        </w:rPr>
        <w:t xml:space="preserve">. </w:t>
      </w:r>
      <w:r w:rsidR="00C41412" w:rsidRPr="00D10FAD">
        <w:rPr>
          <w:color w:val="000000"/>
          <w:sz w:val="22"/>
          <w:szCs w:val="22"/>
        </w:rPr>
        <w:t>Creditors incur costs from administering defaulting debtor cases such as issuing notices, demands or by using specialist collection agencies. Pursuing debtors through the court system, through a creditor petition, is also a significant cost to creditors.</w:t>
      </w:r>
    </w:p>
    <w:p w14:paraId="5E2ABF16" w14:textId="6D1E0144" w:rsidR="000F42A9" w:rsidRPr="00D10FAD" w:rsidRDefault="000F42A9" w:rsidP="00D10FAD">
      <w:pPr>
        <w:autoSpaceDE w:val="0"/>
        <w:autoSpaceDN w:val="0"/>
        <w:adjustRightInd w:val="0"/>
        <w:spacing w:after="120"/>
        <w:rPr>
          <w:color w:val="000000"/>
          <w:sz w:val="22"/>
          <w:szCs w:val="22"/>
        </w:rPr>
      </w:pPr>
      <w:r>
        <w:rPr>
          <w:color w:val="000000"/>
          <w:sz w:val="22"/>
          <w:szCs w:val="22"/>
        </w:rPr>
        <w:t xml:space="preserve">91. For creditors, in low asset, debt and surplus income cases. The debt recovered is likely; to be very small, if anything and very unlikely to exceed the cost of recovery. Writing off debt in these cases can result in a net benefit for creditors.  </w:t>
      </w:r>
    </w:p>
    <w:p w14:paraId="3FD732E0" w14:textId="1BFC88A5" w:rsidR="00C41412" w:rsidRPr="00D10FAD" w:rsidRDefault="00AF4EAA" w:rsidP="00D10FAD">
      <w:pPr>
        <w:autoSpaceDE w:val="0"/>
        <w:autoSpaceDN w:val="0"/>
        <w:adjustRightInd w:val="0"/>
        <w:spacing w:after="120"/>
        <w:rPr>
          <w:color w:val="000000"/>
          <w:sz w:val="22"/>
          <w:szCs w:val="22"/>
        </w:rPr>
      </w:pPr>
      <w:r>
        <w:rPr>
          <w:color w:val="000000"/>
          <w:sz w:val="22"/>
          <w:szCs w:val="22"/>
        </w:rPr>
        <w:t>92</w:t>
      </w:r>
      <w:r w:rsidR="00C41412" w:rsidRPr="00D10FAD">
        <w:rPr>
          <w:color w:val="000000"/>
          <w:sz w:val="22"/>
          <w:szCs w:val="22"/>
        </w:rPr>
        <w:t>. A report from the Money Advice Service</w:t>
      </w:r>
      <w:r w:rsidR="00CE4EE0">
        <w:rPr>
          <w:rStyle w:val="FootnoteReference"/>
          <w:color w:val="000000"/>
          <w:sz w:val="22"/>
          <w:szCs w:val="22"/>
        </w:rPr>
        <w:footnoteReference w:id="20"/>
      </w:r>
      <w:r w:rsidR="00C41412" w:rsidRPr="00D10FAD">
        <w:rPr>
          <w:color w:val="000000"/>
          <w:sz w:val="22"/>
          <w:szCs w:val="22"/>
        </w:rPr>
        <w:t xml:space="preserve"> estimated that helping people solve their</w:t>
      </w:r>
      <w:r w:rsidR="004B7666" w:rsidRPr="00D10FAD">
        <w:rPr>
          <w:color w:val="000000"/>
          <w:sz w:val="22"/>
          <w:szCs w:val="22"/>
        </w:rPr>
        <w:t xml:space="preserve"> </w:t>
      </w:r>
      <w:r w:rsidR="00C41412" w:rsidRPr="00D10FAD">
        <w:rPr>
          <w:color w:val="000000"/>
          <w:sz w:val="22"/>
          <w:szCs w:val="22"/>
        </w:rPr>
        <w:t>debt issues reduced creditor recovery and administrative costs. The report estimated</w:t>
      </w:r>
      <w:r w:rsidR="004B7666" w:rsidRPr="00D10FAD">
        <w:rPr>
          <w:color w:val="000000"/>
          <w:sz w:val="22"/>
          <w:szCs w:val="22"/>
        </w:rPr>
        <w:t xml:space="preserve"> </w:t>
      </w:r>
      <w:r w:rsidR="00C41412" w:rsidRPr="00D10FAD">
        <w:rPr>
          <w:color w:val="000000"/>
          <w:sz w:val="22"/>
          <w:szCs w:val="22"/>
        </w:rPr>
        <w:t>that creditors recovered an additional 5%</w:t>
      </w:r>
      <w:r w:rsidR="00CE4EE0">
        <w:rPr>
          <w:rStyle w:val="FootnoteReference"/>
          <w:color w:val="000000"/>
          <w:sz w:val="22"/>
          <w:szCs w:val="22"/>
        </w:rPr>
        <w:footnoteReference w:id="21"/>
      </w:r>
      <w:r w:rsidR="00C41412" w:rsidRPr="00D10FAD">
        <w:rPr>
          <w:color w:val="000000"/>
          <w:sz w:val="22"/>
          <w:szCs w:val="22"/>
        </w:rPr>
        <w:t xml:space="preserve"> through lower recovery costs when debt</w:t>
      </w:r>
      <w:r w:rsidR="004B7666" w:rsidRPr="00D10FAD">
        <w:rPr>
          <w:color w:val="000000"/>
          <w:sz w:val="22"/>
          <w:szCs w:val="22"/>
        </w:rPr>
        <w:t xml:space="preserve"> </w:t>
      </w:r>
      <w:r w:rsidR="00C41412" w:rsidRPr="00D10FAD">
        <w:rPr>
          <w:color w:val="000000"/>
          <w:sz w:val="22"/>
          <w:szCs w:val="22"/>
        </w:rPr>
        <w:t>advice was provided to debtors. This results in an estimated reduction of creditor</w:t>
      </w:r>
      <w:r w:rsidR="004B7666" w:rsidRPr="00D10FAD">
        <w:rPr>
          <w:color w:val="000000"/>
          <w:sz w:val="22"/>
          <w:szCs w:val="22"/>
        </w:rPr>
        <w:t xml:space="preserve"> </w:t>
      </w:r>
      <w:r w:rsidR="00C41412" w:rsidRPr="00D10FAD">
        <w:rPr>
          <w:color w:val="000000"/>
          <w:sz w:val="22"/>
          <w:szCs w:val="22"/>
        </w:rPr>
        <w:t>recovery costs of £135-237m. No information was available to estimate the savings</w:t>
      </w:r>
      <w:r w:rsidR="004B7666" w:rsidRPr="00D10FAD">
        <w:rPr>
          <w:color w:val="000000"/>
          <w:sz w:val="22"/>
          <w:szCs w:val="22"/>
        </w:rPr>
        <w:t xml:space="preserve"> </w:t>
      </w:r>
      <w:r w:rsidR="00C41412" w:rsidRPr="00D10FAD">
        <w:rPr>
          <w:color w:val="000000"/>
          <w:sz w:val="22"/>
          <w:szCs w:val="22"/>
        </w:rPr>
        <w:t xml:space="preserve">from the changes to the DRO eligibility criteria. </w:t>
      </w:r>
    </w:p>
    <w:p w14:paraId="2E2337A1" w14:textId="4B1C7F7B" w:rsidR="00EF160C" w:rsidRPr="00D10FAD" w:rsidRDefault="00AF4EAA" w:rsidP="00D10FAD">
      <w:pPr>
        <w:autoSpaceDE w:val="0"/>
        <w:autoSpaceDN w:val="0"/>
        <w:adjustRightInd w:val="0"/>
        <w:spacing w:after="120"/>
        <w:rPr>
          <w:color w:val="0563C2"/>
          <w:sz w:val="22"/>
          <w:szCs w:val="22"/>
        </w:rPr>
      </w:pPr>
      <w:r>
        <w:rPr>
          <w:sz w:val="22"/>
          <w:szCs w:val="22"/>
        </w:rPr>
        <w:t>93</w:t>
      </w:r>
      <w:r w:rsidR="004B7666" w:rsidRPr="00D10FAD">
        <w:rPr>
          <w:sz w:val="22"/>
          <w:szCs w:val="22"/>
        </w:rPr>
        <w:t>. The impact assessment carried out for the changes to the debt relief criteria made in England and Wales in 2021 refers to the only information available on administration and debt recovery costs coming from Ofwat</w:t>
      </w:r>
      <w:r w:rsidR="00CE4EE0">
        <w:rPr>
          <w:rStyle w:val="FootnoteReference"/>
          <w:sz w:val="22"/>
          <w:szCs w:val="22"/>
        </w:rPr>
        <w:footnoteReference w:id="22"/>
      </w:r>
      <w:r w:rsidR="004B7666" w:rsidRPr="00D10FAD">
        <w:rPr>
          <w:sz w:val="22"/>
          <w:szCs w:val="22"/>
        </w:rPr>
        <w:t xml:space="preserve">  who suggest water companies costs equate to 5% of their debts. In the StepChange data the average debt level for those able to obtain a DRO for the first time through debt advice was £8,370, equating to a £420 saving per DRO. The debtor bankruptcy cases expected to enter a DRO have debts of £24,270 on average, equating to savings of £1,210 per DRO. Considering those entering DRO through debt advice (2</w:t>
      </w:r>
      <w:r w:rsidR="00FA13CF">
        <w:rPr>
          <w:sz w:val="22"/>
          <w:szCs w:val="22"/>
        </w:rPr>
        <w:t>6</w:t>
      </w:r>
      <w:r w:rsidR="004B7666" w:rsidRPr="00D10FAD">
        <w:rPr>
          <w:sz w:val="22"/>
          <w:szCs w:val="22"/>
        </w:rPr>
        <w:t>8), those expected from bankruptcy (</w:t>
      </w:r>
      <w:r w:rsidR="0023278F" w:rsidRPr="00D10FAD">
        <w:rPr>
          <w:sz w:val="22"/>
          <w:szCs w:val="22"/>
        </w:rPr>
        <w:t>1</w:t>
      </w:r>
      <w:r w:rsidR="00FA13CF">
        <w:rPr>
          <w:sz w:val="22"/>
          <w:szCs w:val="22"/>
        </w:rPr>
        <w:t>2</w:t>
      </w:r>
      <w:r w:rsidR="004B7666" w:rsidRPr="00D10FAD">
        <w:rPr>
          <w:sz w:val="22"/>
          <w:szCs w:val="22"/>
        </w:rPr>
        <w:t>) and the respective savings results in an estimated £</w:t>
      </w:r>
      <w:r w:rsidR="0023278F" w:rsidRPr="00D10FAD">
        <w:rPr>
          <w:sz w:val="22"/>
          <w:szCs w:val="22"/>
        </w:rPr>
        <w:t>1</w:t>
      </w:r>
      <w:r w:rsidR="0048688E">
        <w:rPr>
          <w:sz w:val="22"/>
          <w:szCs w:val="22"/>
        </w:rPr>
        <w:t>26</w:t>
      </w:r>
      <w:r w:rsidR="0023278F" w:rsidRPr="00D10FAD">
        <w:rPr>
          <w:sz w:val="22"/>
          <w:szCs w:val="22"/>
        </w:rPr>
        <w:t>,</w:t>
      </w:r>
      <w:r w:rsidR="0048688E">
        <w:rPr>
          <w:sz w:val="22"/>
          <w:szCs w:val="22"/>
        </w:rPr>
        <w:t>720</w:t>
      </w:r>
      <w:r w:rsidR="004B7666" w:rsidRPr="00D10FAD">
        <w:rPr>
          <w:sz w:val="22"/>
          <w:szCs w:val="22"/>
        </w:rPr>
        <w:t xml:space="preserve"> saving (2</w:t>
      </w:r>
      <w:r w:rsidR="00FA13CF">
        <w:rPr>
          <w:sz w:val="22"/>
          <w:szCs w:val="22"/>
        </w:rPr>
        <w:t>6</w:t>
      </w:r>
      <w:r w:rsidR="004B7666" w:rsidRPr="00D10FAD">
        <w:rPr>
          <w:sz w:val="22"/>
          <w:szCs w:val="22"/>
        </w:rPr>
        <w:t xml:space="preserve">8*£8,370*5% + </w:t>
      </w:r>
      <w:r w:rsidR="0023278F" w:rsidRPr="00D10FAD">
        <w:rPr>
          <w:sz w:val="22"/>
          <w:szCs w:val="22"/>
        </w:rPr>
        <w:t>1</w:t>
      </w:r>
      <w:r w:rsidR="00FA13CF">
        <w:rPr>
          <w:sz w:val="22"/>
          <w:szCs w:val="22"/>
        </w:rPr>
        <w:t>2</w:t>
      </w:r>
      <w:r w:rsidR="004B7666" w:rsidRPr="00D10FAD">
        <w:rPr>
          <w:sz w:val="22"/>
          <w:szCs w:val="22"/>
        </w:rPr>
        <w:t>*£24,270*5%). This benefit has not been quantified as we cannot be certain the experiences of water companies reflect the wider creditor</w:t>
      </w:r>
      <w:r w:rsidR="0077653E">
        <w:rPr>
          <w:sz w:val="22"/>
          <w:szCs w:val="22"/>
        </w:rPr>
        <w:t xml:space="preserve"> </w:t>
      </w:r>
      <w:r w:rsidR="00EF160C" w:rsidRPr="00D10FAD">
        <w:rPr>
          <w:sz w:val="22"/>
          <w:szCs w:val="22"/>
        </w:rPr>
        <w:t>community. In fact, creditor organisations can take different approaches, for example outsourcing debt</w:t>
      </w:r>
      <w:r w:rsidR="0077653E">
        <w:rPr>
          <w:sz w:val="22"/>
          <w:szCs w:val="22"/>
        </w:rPr>
        <w:t xml:space="preserve"> </w:t>
      </w:r>
      <w:r w:rsidR="00EF160C" w:rsidRPr="00D10FAD">
        <w:rPr>
          <w:sz w:val="22"/>
          <w:szCs w:val="22"/>
        </w:rPr>
        <w:t>collection or selling bad debts. However, this does show that the benefit to creditors from reduced</w:t>
      </w:r>
      <w:r w:rsidR="0048688E">
        <w:rPr>
          <w:sz w:val="22"/>
          <w:szCs w:val="22"/>
        </w:rPr>
        <w:t xml:space="preserve"> </w:t>
      </w:r>
      <w:r w:rsidR="0048688E">
        <w:t>administrative and recovery costs is significant and will increase the net present value.</w:t>
      </w:r>
    </w:p>
    <w:p w14:paraId="31650CD4" w14:textId="70400AF3" w:rsidR="00992BA3" w:rsidRDefault="00AF4EAA" w:rsidP="00D10FAD">
      <w:pPr>
        <w:autoSpaceDE w:val="0"/>
        <w:autoSpaceDN w:val="0"/>
        <w:adjustRightInd w:val="0"/>
        <w:spacing w:after="120"/>
        <w:rPr>
          <w:sz w:val="22"/>
          <w:szCs w:val="22"/>
        </w:rPr>
      </w:pPr>
      <w:r>
        <w:rPr>
          <w:sz w:val="22"/>
          <w:szCs w:val="22"/>
        </w:rPr>
        <w:lastRenderedPageBreak/>
        <w:t>94</w:t>
      </w:r>
      <w:r w:rsidR="00992BA3" w:rsidRPr="00D10FAD">
        <w:rPr>
          <w:sz w:val="22"/>
          <w:szCs w:val="22"/>
        </w:rPr>
        <w:t>. Creditors should on</w:t>
      </w:r>
      <w:r w:rsidR="00B612D4" w:rsidRPr="00D10FAD">
        <w:rPr>
          <w:sz w:val="22"/>
          <w:szCs w:val="22"/>
        </w:rPr>
        <w:t>ly be incurring recovery costs if the value of debt to be recovered</w:t>
      </w:r>
      <w:r w:rsidR="00EF160C" w:rsidRPr="00D10FAD">
        <w:rPr>
          <w:sz w:val="22"/>
          <w:szCs w:val="22"/>
        </w:rPr>
        <w:t xml:space="preserve"> </w:t>
      </w:r>
      <w:r w:rsidR="00B612D4" w:rsidRPr="00D10FAD">
        <w:rPr>
          <w:sz w:val="22"/>
          <w:szCs w:val="22"/>
        </w:rPr>
        <w:t xml:space="preserve">exceeds the costs of collection. However, in low asset, </w:t>
      </w:r>
      <w:proofErr w:type="gramStart"/>
      <w:r w:rsidR="00B612D4" w:rsidRPr="00D10FAD">
        <w:rPr>
          <w:sz w:val="22"/>
          <w:szCs w:val="22"/>
        </w:rPr>
        <w:t>debt</w:t>
      </w:r>
      <w:proofErr w:type="gramEnd"/>
      <w:r w:rsidR="00B612D4" w:rsidRPr="00D10FAD">
        <w:rPr>
          <w:sz w:val="22"/>
          <w:szCs w:val="22"/>
        </w:rPr>
        <w:t xml:space="preserve"> and surplus income</w:t>
      </w:r>
      <w:r w:rsidR="00EF160C" w:rsidRPr="00D10FAD">
        <w:rPr>
          <w:sz w:val="22"/>
          <w:szCs w:val="22"/>
        </w:rPr>
        <w:t xml:space="preserve"> </w:t>
      </w:r>
      <w:r w:rsidR="00B612D4" w:rsidRPr="00D10FAD">
        <w:rPr>
          <w:sz w:val="22"/>
          <w:szCs w:val="22"/>
        </w:rPr>
        <w:t>cases the actual debt recovered is likely to be very small and would generally not</w:t>
      </w:r>
      <w:r w:rsidR="00EF160C" w:rsidRPr="00D10FAD">
        <w:rPr>
          <w:sz w:val="22"/>
          <w:szCs w:val="22"/>
        </w:rPr>
        <w:t xml:space="preserve"> </w:t>
      </w:r>
      <w:r w:rsidR="00B612D4" w:rsidRPr="00D10FAD">
        <w:rPr>
          <w:sz w:val="22"/>
          <w:szCs w:val="22"/>
        </w:rPr>
        <w:t>exceed the cost of recovery. Therefore, writing off debt in low asset, debt and surplus</w:t>
      </w:r>
      <w:r w:rsidR="00EF160C" w:rsidRPr="00D10FAD">
        <w:rPr>
          <w:sz w:val="22"/>
          <w:szCs w:val="22"/>
        </w:rPr>
        <w:t xml:space="preserve"> </w:t>
      </w:r>
      <w:r w:rsidR="00B612D4" w:rsidRPr="00D10FAD">
        <w:rPr>
          <w:sz w:val="22"/>
          <w:szCs w:val="22"/>
        </w:rPr>
        <w:t>income cases can result in a net benefit for creditors against the status quo.</w:t>
      </w:r>
    </w:p>
    <w:p w14:paraId="23930E93" w14:textId="77777777" w:rsidR="00AF4EAA" w:rsidRPr="00D10FAD" w:rsidRDefault="00AF4EAA" w:rsidP="00D10FAD">
      <w:pPr>
        <w:autoSpaceDE w:val="0"/>
        <w:autoSpaceDN w:val="0"/>
        <w:adjustRightInd w:val="0"/>
        <w:spacing w:after="120"/>
        <w:rPr>
          <w:sz w:val="22"/>
          <w:szCs w:val="22"/>
        </w:rPr>
      </w:pPr>
    </w:p>
    <w:p w14:paraId="6F403E48" w14:textId="77777777" w:rsidR="00B612D4" w:rsidRPr="00D10FAD" w:rsidRDefault="00B612D4" w:rsidP="00D10FAD">
      <w:pPr>
        <w:autoSpaceDE w:val="0"/>
        <w:autoSpaceDN w:val="0"/>
        <w:adjustRightInd w:val="0"/>
        <w:spacing w:after="120"/>
        <w:rPr>
          <w:sz w:val="22"/>
          <w:szCs w:val="22"/>
          <w:u w:val="single"/>
        </w:rPr>
      </w:pPr>
      <w:r w:rsidRPr="00D10FAD">
        <w:rPr>
          <w:sz w:val="22"/>
          <w:szCs w:val="22"/>
          <w:u w:val="single"/>
        </w:rPr>
        <w:t>Benefits to debtors from improved social outcomes</w:t>
      </w:r>
    </w:p>
    <w:p w14:paraId="621CD64E" w14:textId="2DAB0C42" w:rsidR="000A190C" w:rsidRDefault="00AF4EAA" w:rsidP="000A190C">
      <w:pPr>
        <w:rPr>
          <w:sz w:val="22"/>
          <w:szCs w:val="22"/>
        </w:rPr>
      </w:pPr>
      <w:r>
        <w:rPr>
          <w:sz w:val="22"/>
          <w:szCs w:val="22"/>
        </w:rPr>
        <w:t>95</w:t>
      </w:r>
      <w:r w:rsidR="00B612D4" w:rsidRPr="00D10FAD">
        <w:rPr>
          <w:sz w:val="22"/>
          <w:szCs w:val="22"/>
        </w:rPr>
        <w:t>. Improved access to debt relief through the changes will provide a number of non-monetised</w:t>
      </w:r>
      <w:r w:rsidR="00CE4EE0">
        <w:rPr>
          <w:sz w:val="22"/>
          <w:szCs w:val="22"/>
        </w:rPr>
        <w:t xml:space="preserve"> </w:t>
      </w:r>
      <w:r w:rsidR="00B612D4" w:rsidRPr="00D10FAD">
        <w:rPr>
          <w:sz w:val="22"/>
          <w:szCs w:val="22"/>
        </w:rPr>
        <w:t>benefits</w:t>
      </w:r>
      <w:r>
        <w:rPr>
          <w:sz w:val="22"/>
          <w:szCs w:val="22"/>
        </w:rPr>
        <w:t xml:space="preserve"> for debtors, their families and to society as a whole</w:t>
      </w:r>
      <w:r w:rsidR="000A190C">
        <w:rPr>
          <w:sz w:val="22"/>
          <w:szCs w:val="22"/>
        </w:rPr>
        <w:t>.</w:t>
      </w:r>
      <w:r w:rsidR="000A190C">
        <w:rPr>
          <w:rStyle w:val="FootnoteReference"/>
          <w:bCs/>
          <w:sz w:val="22"/>
          <w:szCs w:val="22"/>
        </w:rPr>
        <w:footnoteReference w:id="23"/>
      </w:r>
      <w:r w:rsidR="000A190C">
        <w:rPr>
          <w:bCs/>
          <w:sz w:val="22"/>
          <w:szCs w:val="22"/>
        </w:rPr>
        <w:t xml:space="preserve"> </w:t>
      </w:r>
      <w:r w:rsidR="00B612D4" w:rsidRPr="00D10FAD">
        <w:rPr>
          <w:sz w:val="22"/>
          <w:szCs w:val="22"/>
        </w:rPr>
        <w:t xml:space="preserve"> </w:t>
      </w:r>
      <w:r>
        <w:rPr>
          <w:sz w:val="22"/>
          <w:szCs w:val="22"/>
        </w:rPr>
        <w:t xml:space="preserve">Both </w:t>
      </w:r>
      <w:r w:rsidR="00B612D4" w:rsidRPr="00D10FAD">
        <w:rPr>
          <w:sz w:val="22"/>
          <w:szCs w:val="22"/>
        </w:rPr>
        <w:t xml:space="preserve">academics and debt advice agencies </w:t>
      </w:r>
      <w:r w:rsidR="000A190C">
        <w:rPr>
          <w:sz w:val="22"/>
          <w:szCs w:val="22"/>
        </w:rPr>
        <w:t xml:space="preserve">agree that </w:t>
      </w:r>
      <w:r w:rsidR="000A190C" w:rsidRPr="00D10FAD">
        <w:rPr>
          <w:sz w:val="22"/>
          <w:szCs w:val="22"/>
        </w:rPr>
        <w:t xml:space="preserve">financial distress </w:t>
      </w:r>
      <w:r w:rsidR="000A190C">
        <w:rPr>
          <w:sz w:val="22"/>
          <w:szCs w:val="22"/>
        </w:rPr>
        <w:t>has a negative impact on</w:t>
      </w:r>
      <w:r w:rsidR="00B612D4" w:rsidRPr="00D10FAD">
        <w:rPr>
          <w:sz w:val="22"/>
          <w:szCs w:val="22"/>
        </w:rPr>
        <w:t xml:space="preserve"> productivity, relationships</w:t>
      </w:r>
      <w:r w:rsidR="000A190C">
        <w:rPr>
          <w:sz w:val="22"/>
          <w:szCs w:val="22"/>
        </w:rPr>
        <w:t xml:space="preserve"> and </w:t>
      </w:r>
      <w:r w:rsidR="00B612D4" w:rsidRPr="00D10FAD">
        <w:rPr>
          <w:sz w:val="22"/>
          <w:szCs w:val="22"/>
        </w:rPr>
        <w:t xml:space="preserve">physical and </w:t>
      </w:r>
      <w:proofErr w:type="gramStart"/>
      <w:r w:rsidR="00B612D4" w:rsidRPr="00D10FAD">
        <w:rPr>
          <w:sz w:val="22"/>
          <w:szCs w:val="22"/>
        </w:rPr>
        <w:t xml:space="preserve">mental </w:t>
      </w:r>
      <w:r w:rsidR="000A190C">
        <w:rPr>
          <w:sz w:val="22"/>
          <w:szCs w:val="22"/>
        </w:rPr>
        <w:t xml:space="preserve"> well</w:t>
      </w:r>
      <w:proofErr w:type="gramEnd"/>
      <w:r w:rsidR="000A190C">
        <w:rPr>
          <w:sz w:val="22"/>
          <w:szCs w:val="22"/>
        </w:rPr>
        <w:t>-being</w:t>
      </w:r>
      <w:r w:rsidR="00B91B4B" w:rsidRPr="00D10FAD">
        <w:rPr>
          <w:sz w:val="22"/>
          <w:szCs w:val="22"/>
        </w:rPr>
        <w:t>.</w:t>
      </w:r>
    </w:p>
    <w:p w14:paraId="6A51B0D6" w14:textId="77777777" w:rsidR="000A190C" w:rsidRDefault="000A190C" w:rsidP="000A190C">
      <w:pPr>
        <w:rPr>
          <w:sz w:val="22"/>
          <w:szCs w:val="22"/>
        </w:rPr>
      </w:pPr>
    </w:p>
    <w:p w14:paraId="37A5487D" w14:textId="32C69799" w:rsidR="00B612D4" w:rsidRPr="00D10FAD" w:rsidRDefault="00B612D4" w:rsidP="00D10FAD">
      <w:pPr>
        <w:autoSpaceDE w:val="0"/>
        <w:autoSpaceDN w:val="0"/>
        <w:adjustRightInd w:val="0"/>
        <w:spacing w:after="120"/>
        <w:rPr>
          <w:sz w:val="22"/>
          <w:szCs w:val="22"/>
        </w:rPr>
      </w:pPr>
      <w:r w:rsidRPr="00D10FAD">
        <w:rPr>
          <w:sz w:val="22"/>
          <w:szCs w:val="22"/>
        </w:rPr>
        <w:t>9</w:t>
      </w:r>
      <w:r w:rsidR="000A190C">
        <w:rPr>
          <w:sz w:val="22"/>
          <w:szCs w:val="22"/>
        </w:rPr>
        <w:t>6</w:t>
      </w:r>
      <w:r w:rsidRPr="00D10FAD">
        <w:rPr>
          <w:sz w:val="22"/>
          <w:szCs w:val="22"/>
        </w:rPr>
        <w:t xml:space="preserve">. </w:t>
      </w:r>
      <w:r w:rsidR="000A190C">
        <w:rPr>
          <w:sz w:val="22"/>
          <w:szCs w:val="22"/>
        </w:rPr>
        <w:t>A</w:t>
      </w:r>
      <w:r w:rsidRPr="00D10FAD">
        <w:rPr>
          <w:sz w:val="22"/>
          <w:szCs w:val="22"/>
        </w:rPr>
        <w:t xml:space="preserve"> Money Advice Service Report</w:t>
      </w:r>
      <w:r w:rsidR="00CE4EE0">
        <w:rPr>
          <w:rStyle w:val="FootnoteReference"/>
          <w:sz w:val="22"/>
          <w:szCs w:val="22"/>
        </w:rPr>
        <w:footnoteReference w:id="24"/>
      </w:r>
      <w:r w:rsidRPr="00D10FAD">
        <w:rPr>
          <w:sz w:val="22"/>
          <w:szCs w:val="22"/>
        </w:rPr>
        <w:t xml:space="preserve"> found that </w:t>
      </w:r>
      <w:r w:rsidR="000A190C">
        <w:rPr>
          <w:sz w:val="22"/>
          <w:szCs w:val="22"/>
        </w:rPr>
        <w:t xml:space="preserve">providing </w:t>
      </w:r>
      <w:r w:rsidRPr="00D10FAD">
        <w:rPr>
          <w:sz w:val="22"/>
          <w:szCs w:val="22"/>
        </w:rPr>
        <w:t>debt</w:t>
      </w:r>
      <w:r w:rsidR="000A190C">
        <w:rPr>
          <w:sz w:val="22"/>
          <w:szCs w:val="22"/>
        </w:rPr>
        <w:t xml:space="preserve"> relief to individuals </w:t>
      </w:r>
      <w:r w:rsidRPr="00D10FAD">
        <w:rPr>
          <w:sz w:val="22"/>
          <w:szCs w:val="22"/>
        </w:rPr>
        <w:t>resulted in:</w:t>
      </w:r>
    </w:p>
    <w:p w14:paraId="12D2067D" w14:textId="33596D40" w:rsidR="00B612D4" w:rsidRPr="00D10FAD" w:rsidRDefault="00B612D4" w:rsidP="00D10FAD">
      <w:pPr>
        <w:numPr>
          <w:ilvl w:val="0"/>
          <w:numId w:val="9"/>
        </w:numPr>
        <w:autoSpaceDE w:val="0"/>
        <w:autoSpaceDN w:val="0"/>
        <w:adjustRightInd w:val="0"/>
        <w:spacing w:after="120"/>
        <w:rPr>
          <w:sz w:val="22"/>
          <w:szCs w:val="22"/>
        </w:rPr>
      </w:pPr>
      <w:r w:rsidRPr="00D10FAD">
        <w:rPr>
          <w:sz w:val="22"/>
          <w:szCs w:val="22"/>
        </w:rPr>
        <w:t xml:space="preserve">Improved physical/mental wellbeing – reduced health costs </w:t>
      </w:r>
      <w:r w:rsidR="000A190C">
        <w:rPr>
          <w:sz w:val="22"/>
          <w:szCs w:val="22"/>
        </w:rPr>
        <w:t xml:space="preserve">of approximately </w:t>
      </w:r>
      <w:r w:rsidRPr="00D10FAD">
        <w:rPr>
          <w:sz w:val="22"/>
          <w:szCs w:val="22"/>
        </w:rPr>
        <w:t>£50-93m annually</w:t>
      </w:r>
    </w:p>
    <w:p w14:paraId="1E4F9F83" w14:textId="4CDA5DB4" w:rsidR="00B612D4" w:rsidRPr="00D10FAD" w:rsidRDefault="000A190C" w:rsidP="00D10FAD">
      <w:pPr>
        <w:numPr>
          <w:ilvl w:val="0"/>
          <w:numId w:val="9"/>
        </w:numPr>
        <w:autoSpaceDE w:val="0"/>
        <w:autoSpaceDN w:val="0"/>
        <w:adjustRightInd w:val="0"/>
        <w:spacing w:after="120"/>
        <w:rPr>
          <w:sz w:val="22"/>
          <w:szCs w:val="22"/>
        </w:rPr>
      </w:pPr>
      <w:r>
        <w:rPr>
          <w:sz w:val="22"/>
          <w:szCs w:val="22"/>
        </w:rPr>
        <w:t>Improved m</w:t>
      </w:r>
      <w:r w:rsidR="00B612D4" w:rsidRPr="00D10FAD">
        <w:rPr>
          <w:sz w:val="22"/>
          <w:szCs w:val="22"/>
        </w:rPr>
        <w:t>ental health – social benefit</w:t>
      </w:r>
      <w:r w:rsidR="00B05D3C">
        <w:rPr>
          <w:sz w:val="22"/>
          <w:szCs w:val="22"/>
        </w:rPr>
        <w:t xml:space="preserve"> of approximately</w:t>
      </w:r>
      <w:r w:rsidR="00B612D4" w:rsidRPr="00D10FAD">
        <w:rPr>
          <w:sz w:val="22"/>
          <w:szCs w:val="22"/>
        </w:rPr>
        <w:t xml:space="preserve"> £24-52m </w:t>
      </w:r>
      <w:proofErr w:type="gramStart"/>
      <w:r w:rsidR="00B612D4" w:rsidRPr="00D10FAD">
        <w:rPr>
          <w:sz w:val="22"/>
          <w:szCs w:val="22"/>
        </w:rPr>
        <w:t>annually</w:t>
      </w:r>
      <w:proofErr w:type="gramEnd"/>
    </w:p>
    <w:p w14:paraId="6FA71D9C" w14:textId="041622AC" w:rsidR="00B612D4" w:rsidRPr="00D10FAD" w:rsidRDefault="00B612D4" w:rsidP="00D10FAD">
      <w:pPr>
        <w:numPr>
          <w:ilvl w:val="0"/>
          <w:numId w:val="9"/>
        </w:numPr>
        <w:autoSpaceDE w:val="0"/>
        <w:autoSpaceDN w:val="0"/>
        <w:adjustRightInd w:val="0"/>
        <w:spacing w:after="120"/>
        <w:rPr>
          <w:sz w:val="22"/>
          <w:szCs w:val="22"/>
        </w:rPr>
      </w:pPr>
      <w:r w:rsidRPr="00D10FAD">
        <w:rPr>
          <w:sz w:val="22"/>
          <w:szCs w:val="22"/>
        </w:rPr>
        <w:t xml:space="preserve">Improved productivity – social benefit </w:t>
      </w:r>
      <w:r w:rsidR="00B05D3C">
        <w:rPr>
          <w:sz w:val="22"/>
          <w:szCs w:val="22"/>
        </w:rPr>
        <w:t xml:space="preserve">of approximately </w:t>
      </w:r>
      <w:r w:rsidRPr="00D10FAD">
        <w:rPr>
          <w:sz w:val="22"/>
          <w:szCs w:val="22"/>
        </w:rPr>
        <w:t>£67-137m annually</w:t>
      </w:r>
    </w:p>
    <w:p w14:paraId="0512DBB2" w14:textId="3F82ECAB" w:rsidR="00B05D3C" w:rsidRDefault="00B612D4" w:rsidP="00AD49A7">
      <w:pPr>
        <w:numPr>
          <w:ilvl w:val="0"/>
          <w:numId w:val="9"/>
        </w:numPr>
        <w:autoSpaceDE w:val="0"/>
        <w:autoSpaceDN w:val="0"/>
        <w:adjustRightInd w:val="0"/>
        <w:spacing w:after="120"/>
        <w:rPr>
          <w:sz w:val="22"/>
          <w:szCs w:val="22"/>
        </w:rPr>
      </w:pPr>
      <w:r w:rsidRPr="00B05D3C">
        <w:rPr>
          <w:sz w:val="22"/>
          <w:szCs w:val="22"/>
        </w:rPr>
        <w:t xml:space="preserve">Reduced risk of entering further debt cycles - </w:t>
      </w:r>
      <w:r w:rsidR="00B05D3C" w:rsidRPr="00B05D3C">
        <w:rPr>
          <w:sz w:val="22"/>
          <w:szCs w:val="22"/>
        </w:rPr>
        <w:t xml:space="preserve">social benefit of approximately </w:t>
      </w:r>
      <w:r w:rsidRPr="00B05D3C">
        <w:rPr>
          <w:sz w:val="22"/>
          <w:szCs w:val="22"/>
        </w:rPr>
        <w:t>£13-26m annual</w:t>
      </w:r>
      <w:r w:rsidR="00B05D3C" w:rsidRPr="00B05D3C">
        <w:rPr>
          <w:sz w:val="22"/>
          <w:szCs w:val="22"/>
        </w:rPr>
        <w:t>ly</w:t>
      </w:r>
    </w:p>
    <w:p w14:paraId="06D49B22" w14:textId="66667E94" w:rsidR="00B612D4" w:rsidRPr="00B05D3C" w:rsidRDefault="00B612D4" w:rsidP="00AD49A7">
      <w:pPr>
        <w:numPr>
          <w:ilvl w:val="0"/>
          <w:numId w:val="9"/>
        </w:numPr>
        <w:autoSpaceDE w:val="0"/>
        <w:autoSpaceDN w:val="0"/>
        <w:adjustRightInd w:val="0"/>
        <w:spacing w:after="120"/>
        <w:rPr>
          <w:sz w:val="22"/>
          <w:szCs w:val="22"/>
        </w:rPr>
      </w:pPr>
      <w:r w:rsidRPr="00B05D3C">
        <w:rPr>
          <w:sz w:val="22"/>
          <w:szCs w:val="22"/>
        </w:rPr>
        <w:t>Improvements in family relationships</w:t>
      </w:r>
    </w:p>
    <w:p w14:paraId="25502B04" w14:textId="73E84BCC" w:rsidR="00B612D4" w:rsidRPr="00D10FAD" w:rsidRDefault="00B612D4" w:rsidP="00D10FAD">
      <w:pPr>
        <w:numPr>
          <w:ilvl w:val="0"/>
          <w:numId w:val="9"/>
        </w:numPr>
        <w:autoSpaceDE w:val="0"/>
        <w:autoSpaceDN w:val="0"/>
        <w:adjustRightInd w:val="0"/>
        <w:spacing w:after="120"/>
        <w:rPr>
          <w:sz w:val="22"/>
          <w:szCs w:val="22"/>
        </w:rPr>
      </w:pPr>
      <w:r w:rsidRPr="00D10FAD">
        <w:rPr>
          <w:sz w:val="22"/>
          <w:szCs w:val="22"/>
        </w:rPr>
        <w:t>Reduced risk of homelessness</w:t>
      </w:r>
    </w:p>
    <w:p w14:paraId="791D79B5" w14:textId="1D8F06B6" w:rsidR="009C3C79" w:rsidRPr="00D10FAD" w:rsidRDefault="00B91B4B" w:rsidP="00D10FAD">
      <w:pPr>
        <w:autoSpaceDE w:val="0"/>
        <w:autoSpaceDN w:val="0"/>
        <w:adjustRightInd w:val="0"/>
        <w:spacing w:after="120"/>
        <w:rPr>
          <w:sz w:val="22"/>
          <w:szCs w:val="22"/>
        </w:rPr>
      </w:pPr>
      <w:r w:rsidRPr="00D10FAD">
        <w:rPr>
          <w:sz w:val="22"/>
          <w:szCs w:val="22"/>
        </w:rPr>
        <w:t>9</w:t>
      </w:r>
      <w:r w:rsidR="00427991">
        <w:rPr>
          <w:sz w:val="22"/>
          <w:szCs w:val="22"/>
        </w:rPr>
        <w:t>7</w:t>
      </w:r>
      <w:r w:rsidRPr="00D10FAD">
        <w:rPr>
          <w:sz w:val="22"/>
          <w:szCs w:val="22"/>
        </w:rPr>
        <w:t>. The report estimated the impact of debt advice and therefore includes the impact for</w:t>
      </w:r>
      <w:r w:rsidR="006E0562" w:rsidRPr="00D10FAD">
        <w:rPr>
          <w:sz w:val="22"/>
          <w:szCs w:val="22"/>
        </w:rPr>
        <w:t xml:space="preserve"> </w:t>
      </w:r>
      <w:r w:rsidRPr="00D10FAD">
        <w:rPr>
          <w:sz w:val="22"/>
          <w:szCs w:val="22"/>
        </w:rPr>
        <w:t>those entering both formal and informal solutions following that advice. DROs are</w:t>
      </w:r>
      <w:r w:rsidR="009C3C79" w:rsidRPr="00D10FAD">
        <w:rPr>
          <w:sz w:val="22"/>
          <w:szCs w:val="22"/>
        </w:rPr>
        <w:t xml:space="preserve"> accessed following debt advice, they are a formal </w:t>
      </w:r>
      <w:proofErr w:type="gramStart"/>
      <w:r w:rsidR="009C3C79" w:rsidRPr="00D10FAD">
        <w:rPr>
          <w:sz w:val="22"/>
          <w:szCs w:val="22"/>
        </w:rPr>
        <w:t>solution</w:t>
      </w:r>
      <w:proofErr w:type="gramEnd"/>
      <w:r w:rsidR="009C3C79" w:rsidRPr="00D10FAD">
        <w:rPr>
          <w:sz w:val="22"/>
          <w:szCs w:val="22"/>
        </w:rPr>
        <w:t xml:space="preserve"> and their social benefits will be included in the results. However, it is not possible from the information available to estimate the impact directly attributable to DROs nor estimate the impact of changes to the DRO monetary eligibility criteria.</w:t>
      </w:r>
    </w:p>
    <w:p w14:paraId="201AE82F" w14:textId="30192FB8" w:rsidR="00B612D4" w:rsidRPr="00D10FAD" w:rsidRDefault="009C3C79" w:rsidP="00D10FAD">
      <w:pPr>
        <w:autoSpaceDE w:val="0"/>
        <w:autoSpaceDN w:val="0"/>
        <w:adjustRightInd w:val="0"/>
        <w:spacing w:after="120"/>
        <w:rPr>
          <w:sz w:val="22"/>
          <w:szCs w:val="22"/>
        </w:rPr>
      </w:pPr>
      <w:r w:rsidRPr="00D10FAD">
        <w:rPr>
          <w:sz w:val="22"/>
          <w:szCs w:val="22"/>
        </w:rPr>
        <w:t>9</w:t>
      </w:r>
      <w:r w:rsidR="00427991">
        <w:rPr>
          <w:sz w:val="22"/>
          <w:szCs w:val="22"/>
        </w:rPr>
        <w:t>8</w:t>
      </w:r>
      <w:r w:rsidRPr="00D10FAD">
        <w:rPr>
          <w:sz w:val="22"/>
          <w:szCs w:val="22"/>
        </w:rPr>
        <w:t>. However, whilst the social benefit of debt advice is significant, the types of debt problems associated with small value debts and low assets (that would be from DRO clients) would make up a small share of the overall benefit. Therefore, the changes will have a social benefit which cannot be quantified and so is non-monetised. However, these unquantifiable benefits would help improve the net present value.</w:t>
      </w:r>
    </w:p>
    <w:p w14:paraId="385AAC40" w14:textId="77777777" w:rsidR="00136149" w:rsidRPr="00D10FAD" w:rsidRDefault="00136149" w:rsidP="00D10FAD">
      <w:pPr>
        <w:autoSpaceDE w:val="0"/>
        <w:autoSpaceDN w:val="0"/>
        <w:adjustRightInd w:val="0"/>
        <w:spacing w:after="120"/>
        <w:rPr>
          <w:b/>
          <w:sz w:val="22"/>
          <w:szCs w:val="22"/>
        </w:rPr>
      </w:pPr>
      <w:r w:rsidRPr="00D10FAD">
        <w:rPr>
          <w:b/>
          <w:sz w:val="22"/>
          <w:szCs w:val="22"/>
        </w:rPr>
        <w:t xml:space="preserve">Wider Impacts </w:t>
      </w:r>
    </w:p>
    <w:p w14:paraId="49CE8CAD" w14:textId="77777777" w:rsidR="00136149" w:rsidRPr="00D10FAD" w:rsidRDefault="00136149" w:rsidP="00D10FAD">
      <w:pPr>
        <w:autoSpaceDE w:val="0"/>
        <w:autoSpaceDN w:val="0"/>
        <w:adjustRightInd w:val="0"/>
        <w:spacing w:after="120"/>
        <w:rPr>
          <w:b/>
          <w:sz w:val="22"/>
          <w:szCs w:val="22"/>
        </w:rPr>
      </w:pPr>
      <w:r w:rsidRPr="00D10FAD">
        <w:rPr>
          <w:b/>
          <w:sz w:val="22"/>
          <w:szCs w:val="22"/>
        </w:rPr>
        <w:t xml:space="preserve">Impact on the Public Sector </w:t>
      </w:r>
    </w:p>
    <w:p w14:paraId="1E14EC84" w14:textId="77777777" w:rsidR="00136149" w:rsidRPr="00D10FAD" w:rsidRDefault="00136149" w:rsidP="00D10FAD">
      <w:pPr>
        <w:autoSpaceDE w:val="0"/>
        <w:autoSpaceDN w:val="0"/>
        <w:adjustRightInd w:val="0"/>
        <w:spacing w:after="120"/>
        <w:rPr>
          <w:sz w:val="22"/>
          <w:szCs w:val="22"/>
          <w:u w:val="single"/>
        </w:rPr>
      </w:pPr>
      <w:r w:rsidRPr="00D10FAD">
        <w:rPr>
          <w:sz w:val="22"/>
          <w:szCs w:val="22"/>
          <w:u w:val="single"/>
        </w:rPr>
        <w:t xml:space="preserve">Insolvency Service </w:t>
      </w:r>
    </w:p>
    <w:p w14:paraId="7116B79E" w14:textId="4EEF8AB0" w:rsidR="00136149" w:rsidRPr="00D10FAD" w:rsidRDefault="00136149" w:rsidP="00D10FAD">
      <w:pPr>
        <w:autoSpaceDE w:val="0"/>
        <w:autoSpaceDN w:val="0"/>
        <w:adjustRightInd w:val="0"/>
        <w:spacing w:after="120"/>
        <w:rPr>
          <w:sz w:val="22"/>
          <w:szCs w:val="22"/>
        </w:rPr>
      </w:pPr>
      <w:r w:rsidRPr="00D10FAD">
        <w:rPr>
          <w:sz w:val="22"/>
          <w:szCs w:val="22"/>
        </w:rPr>
        <w:t>9</w:t>
      </w:r>
      <w:r w:rsidR="00427991">
        <w:rPr>
          <w:sz w:val="22"/>
          <w:szCs w:val="22"/>
        </w:rPr>
        <w:t>9</w:t>
      </w:r>
      <w:r w:rsidRPr="00D10FAD">
        <w:rPr>
          <w:sz w:val="22"/>
          <w:szCs w:val="22"/>
        </w:rPr>
        <w:t xml:space="preserve">. The legislative changes will impact the Insolvency Service as it is responsible for administering </w:t>
      </w:r>
      <w:r w:rsidR="00986955">
        <w:rPr>
          <w:sz w:val="22"/>
          <w:szCs w:val="22"/>
        </w:rPr>
        <w:t xml:space="preserve">DRO and </w:t>
      </w:r>
      <w:r w:rsidRPr="00D10FAD">
        <w:rPr>
          <w:sz w:val="22"/>
          <w:szCs w:val="22"/>
        </w:rPr>
        <w:t xml:space="preserve">bankruptcy cases. In particular, the impacts will be on: </w:t>
      </w:r>
    </w:p>
    <w:p w14:paraId="7DEAFD98" w14:textId="2CADF4C8" w:rsidR="00136149" w:rsidRPr="00D10FAD" w:rsidRDefault="00136149" w:rsidP="00D10FAD">
      <w:pPr>
        <w:numPr>
          <w:ilvl w:val="0"/>
          <w:numId w:val="10"/>
        </w:numPr>
        <w:autoSpaceDE w:val="0"/>
        <w:autoSpaceDN w:val="0"/>
        <w:adjustRightInd w:val="0"/>
        <w:spacing w:after="120"/>
        <w:rPr>
          <w:sz w:val="22"/>
          <w:szCs w:val="22"/>
        </w:rPr>
      </w:pPr>
      <w:r w:rsidRPr="00D10FAD">
        <w:rPr>
          <w:sz w:val="22"/>
          <w:szCs w:val="22"/>
        </w:rPr>
        <w:t xml:space="preserve">Official receiver (ORS) income and operating costs – from the reduction in bankruptcy caseload </w:t>
      </w:r>
    </w:p>
    <w:p w14:paraId="63071B88" w14:textId="2894718D" w:rsidR="00136149" w:rsidRPr="00D10FAD" w:rsidRDefault="00136149" w:rsidP="00D10FAD">
      <w:pPr>
        <w:numPr>
          <w:ilvl w:val="0"/>
          <w:numId w:val="10"/>
        </w:numPr>
        <w:autoSpaceDE w:val="0"/>
        <w:autoSpaceDN w:val="0"/>
        <w:adjustRightInd w:val="0"/>
        <w:spacing w:after="120"/>
        <w:rPr>
          <w:sz w:val="22"/>
          <w:szCs w:val="22"/>
        </w:rPr>
      </w:pPr>
      <w:r w:rsidRPr="00D10FAD">
        <w:rPr>
          <w:sz w:val="22"/>
          <w:szCs w:val="22"/>
        </w:rPr>
        <w:t xml:space="preserve">DRO fee income and operating costs – from higher volumes of DROs </w:t>
      </w:r>
    </w:p>
    <w:p w14:paraId="07C06F00" w14:textId="7C06C110" w:rsidR="00136149" w:rsidRPr="00D10FAD" w:rsidRDefault="00427991" w:rsidP="00D10FAD">
      <w:pPr>
        <w:autoSpaceDE w:val="0"/>
        <w:autoSpaceDN w:val="0"/>
        <w:adjustRightInd w:val="0"/>
        <w:spacing w:after="120"/>
        <w:rPr>
          <w:sz w:val="22"/>
          <w:szCs w:val="22"/>
        </w:rPr>
      </w:pPr>
      <w:r>
        <w:rPr>
          <w:sz w:val="22"/>
          <w:szCs w:val="22"/>
        </w:rPr>
        <w:t>100</w:t>
      </w:r>
      <w:r w:rsidR="00136149" w:rsidRPr="00D10FAD">
        <w:rPr>
          <w:sz w:val="22"/>
          <w:szCs w:val="22"/>
        </w:rPr>
        <w:t xml:space="preserve">. The most significant </w:t>
      </w:r>
      <w:r w:rsidR="00B963A2" w:rsidRPr="00D10FAD">
        <w:rPr>
          <w:sz w:val="22"/>
          <w:szCs w:val="22"/>
        </w:rPr>
        <w:t xml:space="preserve">impact </w:t>
      </w:r>
      <w:r w:rsidR="00136149" w:rsidRPr="00D10FAD">
        <w:rPr>
          <w:sz w:val="22"/>
          <w:szCs w:val="22"/>
        </w:rPr>
        <w:t xml:space="preserve">is on ORS fee income and costs of operating Official Receiver services as the measures </w:t>
      </w:r>
      <w:r w:rsidR="001243ED">
        <w:rPr>
          <w:sz w:val="22"/>
          <w:szCs w:val="22"/>
        </w:rPr>
        <w:t>are expected to re</w:t>
      </w:r>
      <w:r w:rsidR="00136149" w:rsidRPr="00D10FAD">
        <w:rPr>
          <w:sz w:val="22"/>
          <w:szCs w:val="22"/>
        </w:rPr>
        <w:t xml:space="preserve">sult in </w:t>
      </w:r>
      <w:r w:rsidR="006E0562" w:rsidRPr="00D10FAD">
        <w:rPr>
          <w:sz w:val="22"/>
          <w:szCs w:val="22"/>
        </w:rPr>
        <w:t>1</w:t>
      </w:r>
      <w:r w:rsidR="00B05D3C">
        <w:rPr>
          <w:sz w:val="22"/>
          <w:szCs w:val="22"/>
        </w:rPr>
        <w:t>2</w:t>
      </w:r>
      <w:r w:rsidR="00136149" w:rsidRPr="00D10FAD">
        <w:rPr>
          <w:sz w:val="22"/>
          <w:szCs w:val="22"/>
        </w:rPr>
        <w:t xml:space="preserve"> fewer debtor bankruptcies </w:t>
      </w:r>
      <w:r w:rsidR="001243ED">
        <w:rPr>
          <w:sz w:val="22"/>
          <w:szCs w:val="22"/>
        </w:rPr>
        <w:t xml:space="preserve">due to the </w:t>
      </w:r>
      <w:proofErr w:type="gramStart"/>
      <w:r w:rsidR="001243ED">
        <w:rPr>
          <w:sz w:val="22"/>
          <w:szCs w:val="22"/>
        </w:rPr>
        <w:t xml:space="preserve">debtors </w:t>
      </w:r>
      <w:r w:rsidR="00136149" w:rsidRPr="00D10FAD">
        <w:rPr>
          <w:sz w:val="22"/>
          <w:szCs w:val="22"/>
        </w:rPr>
        <w:t xml:space="preserve"> enter</w:t>
      </w:r>
      <w:r w:rsidR="001243ED">
        <w:rPr>
          <w:sz w:val="22"/>
          <w:szCs w:val="22"/>
        </w:rPr>
        <w:t>ing</w:t>
      </w:r>
      <w:proofErr w:type="gramEnd"/>
      <w:r w:rsidR="00136149" w:rsidRPr="00D10FAD">
        <w:rPr>
          <w:sz w:val="22"/>
          <w:szCs w:val="22"/>
        </w:rPr>
        <w:t xml:space="preserve"> a DRO</w:t>
      </w:r>
      <w:r w:rsidR="001243ED">
        <w:rPr>
          <w:sz w:val="22"/>
          <w:szCs w:val="22"/>
        </w:rPr>
        <w:t xml:space="preserve"> instead</w:t>
      </w:r>
      <w:r w:rsidR="00136149" w:rsidRPr="00D10FAD">
        <w:rPr>
          <w:sz w:val="22"/>
          <w:szCs w:val="22"/>
        </w:rPr>
        <w:t xml:space="preserve">. This </w:t>
      </w:r>
      <w:r w:rsidR="00986955">
        <w:rPr>
          <w:sz w:val="22"/>
          <w:szCs w:val="22"/>
        </w:rPr>
        <w:t xml:space="preserve">will </w:t>
      </w:r>
      <w:r w:rsidR="00136149" w:rsidRPr="00D10FAD">
        <w:rPr>
          <w:sz w:val="22"/>
          <w:szCs w:val="22"/>
        </w:rPr>
        <w:t>result in lost income for ORS through the loss of the deposit (£5</w:t>
      </w:r>
      <w:r w:rsidR="00F4710C" w:rsidRPr="00D10FAD">
        <w:rPr>
          <w:sz w:val="22"/>
          <w:szCs w:val="22"/>
        </w:rPr>
        <w:t>25</w:t>
      </w:r>
      <w:r w:rsidR="00136149" w:rsidRPr="00D10FAD">
        <w:rPr>
          <w:sz w:val="22"/>
          <w:szCs w:val="22"/>
        </w:rPr>
        <w:t>), and any assets held on those cases.</w:t>
      </w:r>
    </w:p>
    <w:p w14:paraId="4B2A1E8D" w14:textId="344566E4" w:rsidR="00136149" w:rsidRPr="00D10FAD" w:rsidRDefault="00427991" w:rsidP="00D10FAD">
      <w:pPr>
        <w:autoSpaceDE w:val="0"/>
        <w:autoSpaceDN w:val="0"/>
        <w:adjustRightInd w:val="0"/>
        <w:spacing w:after="120"/>
        <w:rPr>
          <w:sz w:val="22"/>
          <w:szCs w:val="22"/>
        </w:rPr>
      </w:pPr>
      <w:r>
        <w:rPr>
          <w:sz w:val="22"/>
          <w:szCs w:val="22"/>
        </w:rPr>
        <w:t>10</w:t>
      </w:r>
      <w:r w:rsidR="00637233">
        <w:rPr>
          <w:sz w:val="22"/>
          <w:szCs w:val="22"/>
        </w:rPr>
        <w:t>1</w:t>
      </w:r>
      <w:r w:rsidR="00F4710C" w:rsidRPr="00D10FAD">
        <w:rPr>
          <w:sz w:val="22"/>
          <w:szCs w:val="22"/>
        </w:rPr>
        <w:t xml:space="preserve">. In the impact assessment for the changes made to the debt relief criteria in England and Wales the average asset level for bankruptcy cases eligible to transfer was £273. </w:t>
      </w:r>
      <w:r w:rsidR="0004212A" w:rsidRPr="00D10FAD">
        <w:rPr>
          <w:sz w:val="22"/>
          <w:szCs w:val="22"/>
        </w:rPr>
        <w:t>There is no reason to believe that the amount would be different in Northern Ireland.</w:t>
      </w:r>
      <w:r w:rsidR="00F4710C" w:rsidRPr="00D10FAD">
        <w:rPr>
          <w:sz w:val="22"/>
          <w:szCs w:val="22"/>
        </w:rPr>
        <w:t xml:space="preserve"> </w:t>
      </w:r>
      <w:r w:rsidR="00A3501A" w:rsidRPr="00D10FAD">
        <w:rPr>
          <w:sz w:val="22"/>
          <w:szCs w:val="22"/>
        </w:rPr>
        <w:t xml:space="preserve">The deposit and assets lost per case switching from bankruptcy to a DRO is therefore £798 (525 + 273) resulting in </w:t>
      </w:r>
      <w:r w:rsidR="00F4710C" w:rsidRPr="00D10FAD">
        <w:rPr>
          <w:sz w:val="22"/>
          <w:szCs w:val="22"/>
        </w:rPr>
        <w:t xml:space="preserve">an ongoing </w:t>
      </w:r>
      <w:r w:rsidR="00F4710C" w:rsidRPr="00D10FAD">
        <w:rPr>
          <w:b/>
          <w:sz w:val="22"/>
          <w:szCs w:val="22"/>
        </w:rPr>
        <w:t>annual loss of £</w:t>
      </w:r>
      <w:r w:rsidR="00B05D3C">
        <w:rPr>
          <w:b/>
          <w:sz w:val="22"/>
          <w:szCs w:val="22"/>
        </w:rPr>
        <w:t>9</w:t>
      </w:r>
      <w:r w:rsidR="006E0562" w:rsidRPr="00D10FAD">
        <w:rPr>
          <w:b/>
          <w:sz w:val="22"/>
          <w:szCs w:val="22"/>
        </w:rPr>
        <w:t>,</w:t>
      </w:r>
      <w:r w:rsidR="00B05D3C">
        <w:rPr>
          <w:b/>
          <w:sz w:val="22"/>
          <w:szCs w:val="22"/>
        </w:rPr>
        <w:t>5</w:t>
      </w:r>
      <w:r w:rsidR="006E0562" w:rsidRPr="00D10FAD">
        <w:rPr>
          <w:b/>
          <w:sz w:val="22"/>
          <w:szCs w:val="22"/>
        </w:rPr>
        <w:t>7</w:t>
      </w:r>
      <w:r w:rsidR="00B05D3C">
        <w:rPr>
          <w:b/>
          <w:sz w:val="22"/>
          <w:szCs w:val="22"/>
        </w:rPr>
        <w:t>6</w:t>
      </w:r>
      <w:r w:rsidR="00F4710C" w:rsidRPr="00D10FAD">
        <w:rPr>
          <w:sz w:val="22"/>
          <w:szCs w:val="22"/>
        </w:rPr>
        <w:t xml:space="preserve"> to the Insolvency Service.</w:t>
      </w:r>
    </w:p>
    <w:p w14:paraId="00BB6AA9" w14:textId="5644DFCD" w:rsidR="000E2520" w:rsidRPr="00D10FAD" w:rsidRDefault="00427991" w:rsidP="00D10FAD">
      <w:pPr>
        <w:autoSpaceDE w:val="0"/>
        <w:autoSpaceDN w:val="0"/>
        <w:adjustRightInd w:val="0"/>
        <w:spacing w:after="120"/>
        <w:rPr>
          <w:sz w:val="22"/>
          <w:szCs w:val="22"/>
        </w:rPr>
      </w:pPr>
      <w:r>
        <w:rPr>
          <w:sz w:val="22"/>
          <w:szCs w:val="22"/>
        </w:rPr>
        <w:lastRenderedPageBreak/>
        <w:t>10</w:t>
      </w:r>
      <w:r w:rsidR="00637233">
        <w:rPr>
          <w:sz w:val="22"/>
          <w:szCs w:val="22"/>
        </w:rPr>
        <w:t>2</w:t>
      </w:r>
      <w:r w:rsidR="00E5769E" w:rsidRPr="00D10FAD">
        <w:rPr>
          <w:sz w:val="22"/>
          <w:szCs w:val="22"/>
        </w:rPr>
        <w:t xml:space="preserve">. The cost saving to ORS in completing bankruptcy case work can be calculated </w:t>
      </w:r>
      <w:r w:rsidR="000E2520" w:rsidRPr="00D10FAD">
        <w:rPr>
          <w:sz w:val="22"/>
          <w:szCs w:val="22"/>
        </w:rPr>
        <w:t>using the</w:t>
      </w:r>
      <w:r w:rsidR="00E5769E" w:rsidRPr="00D10FAD">
        <w:rPr>
          <w:sz w:val="22"/>
          <w:szCs w:val="22"/>
        </w:rPr>
        <w:t xml:space="preserve"> cost per case of £</w:t>
      </w:r>
      <w:r w:rsidR="00901090" w:rsidRPr="00D10FAD">
        <w:rPr>
          <w:sz w:val="22"/>
          <w:szCs w:val="22"/>
        </w:rPr>
        <w:t>3</w:t>
      </w:r>
      <w:r w:rsidR="00E5769E" w:rsidRPr="00D10FAD">
        <w:rPr>
          <w:sz w:val="22"/>
          <w:szCs w:val="22"/>
        </w:rPr>
        <w:t>,</w:t>
      </w:r>
      <w:r w:rsidR="00901090" w:rsidRPr="00D10FAD">
        <w:rPr>
          <w:sz w:val="22"/>
          <w:szCs w:val="22"/>
        </w:rPr>
        <w:t>857</w:t>
      </w:r>
      <w:r w:rsidR="00E5769E" w:rsidRPr="00D10FAD">
        <w:rPr>
          <w:sz w:val="22"/>
          <w:szCs w:val="22"/>
        </w:rPr>
        <w:t xml:space="preserve">. </w:t>
      </w:r>
    </w:p>
    <w:p w14:paraId="2247F054" w14:textId="69237AA7" w:rsidR="00E5769E" w:rsidRPr="00D10FAD" w:rsidRDefault="00427991" w:rsidP="00D10FAD">
      <w:pPr>
        <w:autoSpaceDE w:val="0"/>
        <w:autoSpaceDN w:val="0"/>
        <w:adjustRightInd w:val="0"/>
        <w:spacing w:after="120"/>
        <w:rPr>
          <w:sz w:val="22"/>
          <w:szCs w:val="22"/>
        </w:rPr>
      </w:pPr>
      <w:r>
        <w:rPr>
          <w:sz w:val="22"/>
          <w:szCs w:val="22"/>
        </w:rPr>
        <w:t>10</w:t>
      </w:r>
      <w:r w:rsidR="00637233">
        <w:rPr>
          <w:sz w:val="22"/>
          <w:szCs w:val="22"/>
        </w:rPr>
        <w:t>3</w:t>
      </w:r>
      <w:r w:rsidR="00E5769E" w:rsidRPr="00D10FAD">
        <w:rPr>
          <w:sz w:val="22"/>
          <w:szCs w:val="22"/>
        </w:rPr>
        <w:t xml:space="preserve">. The </w:t>
      </w:r>
      <w:r w:rsidR="000E2520" w:rsidRPr="00D10FAD">
        <w:rPr>
          <w:sz w:val="22"/>
          <w:szCs w:val="22"/>
        </w:rPr>
        <w:t xml:space="preserve">Official Receiver charges a £1,050 administration fee in all </w:t>
      </w:r>
      <w:r w:rsidR="00E5769E" w:rsidRPr="00D10FAD">
        <w:rPr>
          <w:sz w:val="22"/>
          <w:szCs w:val="22"/>
        </w:rPr>
        <w:t>bankruptcy cases</w:t>
      </w:r>
      <w:r w:rsidR="00901090" w:rsidRPr="00D10FAD">
        <w:rPr>
          <w:sz w:val="22"/>
          <w:szCs w:val="22"/>
        </w:rPr>
        <w:t xml:space="preserve">. </w:t>
      </w:r>
      <w:proofErr w:type="gramStart"/>
      <w:r w:rsidR="00901090" w:rsidRPr="00D10FAD">
        <w:rPr>
          <w:sz w:val="22"/>
          <w:szCs w:val="22"/>
        </w:rPr>
        <w:t>However</w:t>
      </w:r>
      <w:proofErr w:type="gramEnd"/>
      <w:r w:rsidR="00901090" w:rsidRPr="00D10FAD">
        <w:rPr>
          <w:sz w:val="22"/>
          <w:szCs w:val="22"/>
        </w:rPr>
        <w:t xml:space="preserve"> </w:t>
      </w:r>
      <w:r w:rsidR="00F3144E" w:rsidRPr="00D10FAD">
        <w:rPr>
          <w:sz w:val="22"/>
          <w:szCs w:val="22"/>
        </w:rPr>
        <w:t xml:space="preserve">this amount cannot be </w:t>
      </w:r>
      <w:r w:rsidR="00901090" w:rsidRPr="00D10FAD">
        <w:rPr>
          <w:sz w:val="22"/>
          <w:szCs w:val="22"/>
        </w:rPr>
        <w:t>recover</w:t>
      </w:r>
      <w:r w:rsidR="00F3144E" w:rsidRPr="00D10FAD">
        <w:rPr>
          <w:sz w:val="22"/>
          <w:szCs w:val="22"/>
        </w:rPr>
        <w:t xml:space="preserve">ed </w:t>
      </w:r>
      <w:r w:rsidR="00901090" w:rsidRPr="00D10FAD">
        <w:rPr>
          <w:sz w:val="22"/>
          <w:szCs w:val="22"/>
        </w:rPr>
        <w:t xml:space="preserve">in cases with no assets </w:t>
      </w:r>
      <w:r w:rsidR="00F3144E" w:rsidRPr="00D10FAD">
        <w:rPr>
          <w:sz w:val="22"/>
          <w:szCs w:val="22"/>
        </w:rPr>
        <w:t xml:space="preserve">and </w:t>
      </w:r>
      <w:r w:rsidR="00901090" w:rsidRPr="00D10FAD">
        <w:rPr>
          <w:sz w:val="22"/>
          <w:szCs w:val="22"/>
        </w:rPr>
        <w:t xml:space="preserve">the only </w:t>
      </w:r>
      <w:r w:rsidR="00F3144E" w:rsidRPr="00D10FAD">
        <w:rPr>
          <w:sz w:val="22"/>
          <w:szCs w:val="22"/>
        </w:rPr>
        <w:t>income</w:t>
      </w:r>
      <w:r w:rsidR="00901090" w:rsidRPr="00D10FAD">
        <w:rPr>
          <w:sz w:val="22"/>
          <w:szCs w:val="22"/>
        </w:rPr>
        <w:t xml:space="preserve"> </w:t>
      </w:r>
      <w:r w:rsidR="00F3144E" w:rsidRPr="00D10FAD">
        <w:rPr>
          <w:sz w:val="22"/>
          <w:szCs w:val="22"/>
        </w:rPr>
        <w:t xml:space="preserve">in such cases </w:t>
      </w:r>
      <w:r w:rsidR="00901090" w:rsidRPr="00D10FAD">
        <w:rPr>
          <w:sz w:val="22"/>
          <w:szCs w:val="22"/>
        </w:rPr>
        <w:t xml:space="preserve">will be the £525 deposit. The shortfall between the £3,857 cost of administering the case and the £525 receipts will be met out of fee income in cases which do have assets, that is through a cross-subsidy. </w:t>
      </w:r>
      <w:r w:rsidR="005C572F" w:rsidRPr="00D10FAD">
        <w:rPr>
          <w:sz w:val="22"/>
          <w:szCs w:val="22"/>
        </w:rPr>
        <w:t xml:space="preserve"> </w:t>
      </w:r>
    </w:p>
    <w:p w14:paraId="4AA329DB" w14:textId="5DCFB736" w:rsidR="00D81DE0" w:rsidRPr="00D10FAD" w:rsidRDefault="00645541" w:rsidP="00D10FAD">
      <w:pPr>
        <w:autoSpaceDE w:val="0"/>
        <w:autoSpaceDN w:val="0"/>
        <w:adjustRightInd w:val="0"/>
        <w:spacing w:after="120"/>
        <w:rPr>
          <w:sz w:val="22"/>
          <w:szCs w:val="22"/>
        </w:rPr>
      </w:pPr>
      <w:r w:rsidRPr="00D10FAD">
        <w:rPr>
          <w:sz w:val="22"/>
          <w:szCs w:val="22"/>
        </w:rPr>
        <w:t>10</w:t>
      </w:r>
      <w:r w:rsidR="00637233">
        <w:rPr>
          <w:sz w:val="22"/>
          <w:szCs w:val="22"/>
        </w:rPr>
        <w:t>4</w:t>
      </w:r>
      <w:r w:rsidRPr="00D10FAD">
        <w:rPr>
          <w:sz w:val="22"/>
          <w:szCs w:val="22"/>
        </w:rPr>
        <w:t>. The Insolvency Service in England and Wale</w:t>
      </w:r>
      <w:r w:rsidR="00901090" w:rsidRPr="00D10FAD">
        <w:rPr>
          <w:sz w:val="22"/>
          <w:szCs w:val="22"/>
        </w:rPr>
        <w:t>s</w:t>
      </w:r>
      <w:r w:rsidRPr="00D10FAD">
        <w:rPr>
          <w:sz w:val="22"/>
          <w:szCs w:val="22"/>
        </w:rPr>
        <w:t xml:space="preserve">’s time recording data shows that bankruptcy cases meeting the new DRO criteria take 10% less time and therefore cost less than other debtor cases. </w:t>
      </w:r>
      <w:r w:rsidR="00D81DE0" w:rsidRPr="00D10FAD">
        <w:rPr>
          <w:sz w:val="22"/>
          <w:szCs w:val="22"/>
        </w:rPr>
        <w:t xml:space="preserve">There is no reason to believe that the percentage time reduction would be any different in Northern Ireland. </w:t>
      </w:r>
      <w:r w:rsidRPr="00D10FAD">
        <w:rPr>
          <w:sz w:val="22"/>
          <w:szCs w:val="22"/>
        </w:rPr>
        <w:t>Assuming time spent reflects cost of a case we would expect the cost per case to be 10% lower, so £</w:t>
      </w:r>
      <w:r w:rsidR="00F3144E" w:rsidRPr="00D10FAD">
        <w:rPr>
          <w:sz w:val="22"/>
          <w:szCs w:val="22"/>
        </w:rPr>
        <w:t>3471</w:t>
      </w:r>
      <w:r w:rsidRPr="00D10FAD">
        <w:rPr>
          <w:sz w:val="22"/>
          <w:szCs w:val="22"/>
        </w:rPr>
        <w:t xml:space="preserve"> (</w:t>
      </w:r>
      <w:r w:rsidR="00F3144E" w:rsidRPr="00D10FAD">
        <w:rPr>
          <w:sz w:val="22"/>
          <w:szCs w:val="22"/>
        </w:rPr>
        <w:t>3</w:t>
      </w:r>
      <w:r w:rsidRPr="00D10FAD">
        <w:rPr>
          <w:sz w:val="22"/>
          <w:szCs w:val="22"/>
        </w:rPr>
        <w:t>,</w:t>
      </w:r>
      <w:r w:rsidR="00F3144E" w:rsidRPr="00D10FAD">
        <w:rPr>
          <w:sz w:val="22"/>
          <w:szCs w:val="22"/>
        </w:rPr>
        <w:t>857</w:t>
      </w:r>
      <w:r w:rsidRPr="00D10FAD">
        <w:rPr>
          <w:sz w:val="22"/>
          <w:szCs w:val="22"/>
        </w:rPr>
        <w:t xml:space="preserve">*0.9). </w:t>
      </w:r>
    </w:p>
    <w:p w14:paraId="67E89110" w14:textId="6C359E9E" w:rsidR="00D81DE0" w:rsidRPr="00D10FAD" w:rsidRDefault="00645541" w:rsidP="00D10FAD">
      <w:pPr>
        <w:autoSpaceDE w:val="0"/>
        <w:autoSpaceDN w:val="0"/>
        <w:adjustRightInd w:val="0"/>
        <w:spacing w:after="120"/>
        <w:rPr>
          <w:sz w:val="22"/>
          <w:szCs w:val="22"/>
        </w:rPr>
      </w:pPr>
      <w:r w:rsidRPr="00D10FAD">
        <w:rPr>
          <w:sz w:val="22"/>
          <w:szCs w:val="22"/>
        </w:rPr>
        <w:t>10</w:t>
      </w:r>
      <w:r w:rsidR="00637233">
        <w:rPr>
          <w:sz w:val="22"/>
          <w:szCs w:val="22"/>
        </w:rPr>
        <w:t>5</w:t>
      </w:r>
      <w:r w:rsidRPr="00D10FAD">
        <w:rPr>
          <w:sz w:val="22"/>
          <w:szCs w:val="22"/>
        </w:rPr>
        <w:t xml:space="preserve">. The total annual cost saving to ORS is therefore </w:t>
      </w:r>
      <w:r w:rsidRPr="00D10FAD">
        <w:rPr>
          <w:b/>
          <w:sz w:val="22"/>
          <w:szCs w:val="22"/>
        </w:rPr>
        <w:t>£</w:t>
      </w:r>
      <w:r w:rsidR="00427991">
        <w:rPr>
          <w:b/>
          <w:sz w:val="22"/>
          <w:szCs w:val="22"/>
        </w:rPr>
        <w:t>41</w:t>
      </w:r>
      <w:r w:rsidR="00C76C76" w:rsidRPr="00D10FAD">
        <w:rPr>
          <w:b/>
          <w:sz w:val="22"/>
          <w:szCs w:val="22"/>
        </w:rPr>
        <w:t>,65</w:t>
      </w:r>
      <w:r w:rsidR="00427991">
        <w:rPr>
          <w:b/>
          <w:sz w:val="22"/>
          <w:szCs w:val="22"/>
        </w:rPr>
        <w:t>2</w:t>
      </w:r>
      <w:r w:rsidRPr="00D10FAD">
        <w:rPr>
          <w:sz w:val="22"/>
          <w:szCs w:val="22"/>
        </w:rPr>
        <w:t xml:space="preserve"> (</w:t>
      </w:r>
      <w:r w:rsidR="00C76C76" w:rsidRPr="00D10FAD">
        <w:rPr>
          <w:sz w:val="22"/>
          <w:szCs w:val="22"/>
        </w:rPr>
        <w:t>1</w:t>
      </w:r>
      <w:r w:rsidR="00427991">
        <w:rPr>
          <w:sz w:val="22"/>
          <w:szCs w:val="22"/>
        </w:rPr>
        <w:t>2</w:t>
      </w:r>
      <w:r w:rsidRPr="00D10FAD">
        <w:rPr>
          <w:sz w:val="22"/>
          <w:szCs w:val="22"/>
        </w:rPr>
        <w:t>*£</w:t>
      </w:r>
      <w:r w:rsidR="00C76C76" w:rsidRPr="00D10FAD">
        <w:rPr>
          <w:sz w:val="22"/>
          <w:szCs w:val="22"/>
        </w:rPr>
        <w:t>3</w:t>
      </w:r>
      <w:r w:rsidRPr="00D10FAD">
        <w:rPr>
          <w:sz w:val="22"/>
          <w:szCs w:val="22"/>
        </w:rPr>
        <w:t>,4</w:t>
      </w:r>
      <w:r w:rsidR="00C76C76" w:rsidRPr="00D10FAD">
        <w:rPr>
          <w:sz w:val="22"/>
          <w:szCs w:val="22"/>
        </w:rPr>
        <w:t>71</w:t>
      </w:r>
      <w:r w:rsidRPr="00D10FAD">
        <w:rPr>
          <w:sz w:val="22"/>
          <w:szCs w:val="22"/>
        </w:rPr>
        <w:t xml:space="preserve">) this comes from </w:t>
      </w:r>
      <w:r w:rsidR="00C76C76" w:rsidRPr="00D10FAD">
        <w:rPr>
          <w:sz w:val="22"/>
          <w:szCs w:val="22"/>
        </w:rPr>
        <w:t>1</w:t>
      </w:r>
      <w:r w:rsidR="008144EC">
        <w:rPr>
          <w:sz w:val="22"/>
          <w:szCs w:val="22"/>
        </w:rPr>
        <w:t>2</w:t>
      </w:r>
      <w:r w:rsidRPr="00D10FAD">
        <w:rPr>
          <w:sz w:val="22"/>
          <w:szCs w:val="22"/>
        </w:rPr>
        <w:t xml:space="preserve"> fewer debtor bankruptcies which are </w:t>
      </w:r>
      <w:r w:rsidR="001243ED">
        <w:rPr>
          <w:sz w:val="22"/>
          <w:szCs w:val="22"/>
        </w:rPr>
        <w:t xml:space="preserve">now </w:t>
      </w:r>
      <w:r w:rsidRPr="00D10FAD">
        <w:rPr>
          <w:sz w:val="22"/>
          <w:szCs w:val="22"/>
        </w:rPr>
        <w:t xml:space="preserve">expected to </w:t>
      </w:r>
      <w:r w:rsidR="001243ED">
        <w:rPr>
          <w:sz w:val="22"/>
          <w:szCs w:val="22"/>
        </w:rPr>
        <w:t>enter a</w:t>
      </w:r>
      <w:r w:rsidRPr="00D10FAD">
        <w:rPr>
          <w:sz w:val="22"/>
          <w:szCs w:val="22"/>
        </w:rPr>
        <w:t xml:space="preserve"> DRO. </w:t>
      </w:r>
    </w:p>
    <w:p w14:paraId="2C264387" w14:textId="49692836" w:rsidR="00D81DE0" w:rsidRPr="00D10FAD" w:rsidRDefault="00645541" w:rsidP="00D10FAD">
      <w:pPr>
        <w:autoSpaceDE w:val="0"/>
        <w:autoSpaceDN w:val="0"/>
        <w:adjustRightInd w:val="0"/>
        <w:spacing w:after="120"/>
        <w:rPr>
          <w:sz w:val="22"/>
          <w:szCs w:val="22"/>
        </w:rPr>
      </w:pPr>
      <w:r w:rsidRPr="00D10FAD">
        <w:rPr>
          <w:sz w:val="22"/>
          <w:szCs w:val="22"/>
        </w:rPr>
        <w:t>10</w:t>
      </w:r>
      <w:r w:rsidR="00637233">
        <w:rPr>
          <w:sz w:val="22"/>
          <w:szCs w:val="22"/>
        </w:rPr>
        <w:t>6</w:t>
      </w:r>
      <w:r w:rsidRPr="00D10FAD">
        <w:rPr>
          <w:sz w:val="22"/>
          <w:szCs w:val="22"/>
        </w:rPr>
        <w:t xml:space="preserve">. </w:t>
      </w:r>
      <w:r w:rsidR="00D81DE0" w:rsidRPr="00D10FAD">
        <w:rPr>
          <w:sz w:val="22"/>
          <w:szCs w:val="22"/>
        </w:rPr>
        <w:t>T</w:t>
      </w:r>
      <w:r w:rsidRPr="00D10FAD">
        <w:rPr>
          <w:sz w:val="22"/>
          <w:szCs w:val="22"/>
        </w:rPr>
        <w:t>he increased demand for DROs will result in additional fee income of £</w:t>
      </w:r>
      <w:r w:rsidR="00D36CC0" w:rsidRPr="00D10FAD">
        <w:rPr>
          <w:sz w:val="22"/>
          <w:szCs w:val="22"/>
        </w:rPr>
        <w:t>2</w:t>
      </w:r>
      <w:r w:rsidR="00720FAD">
        <w:rPr>
          <w:sz w:val="22"/>
          <w:szCs w:val="22"/>
        </w:rPr>
        <w:t>5</w:t>
      </w:r>
      <w:r w:rsidR="00D36CC0" w:rsidRPr="00D10FAD">
        <w:rPr>
          <w:sz w:val="22"/>
          <w:szCs w:val="22"/>
        </w:rPr>
        <w:t>,</w:t>
      </w:r>
      <w:r w:rsidR="0062342B">
        <w:rPr>
          <w:sz w:val="22"/>
          <w:szCs w:val="22"/>
        </w:rPr>
        <w:t>2</w:t>
      </w:r>
      <w:r w:rsidR="00720FAD">
        <w:rPr>
          <w:sz w:val="22"/>
          <w:szCs w:val="22"/>
        </w:rPr>
        <w:t>0</w:t>
      </w:r>
      <w:r w:rsidR="00D36CC0" w:rsidRPr="00D10FAD">
        <w:rPr>
          <w:sz w:val="22"/>
          <w:szCs w:val="22"/>
        </w:rPr>
        <w:t>0</w:t>
      </w:r>
      <w:r w:rsidRPr="00D10FAD">
        <w:rPr>
          <w:sz w:val="22"/>
          <w:szCs w:val="22"/>
        </w:rPr>
        <w:t xml:space="preserve"> (</w:t>
      </w:r>
      <w:r w:rsidR="00C76C76" w:rsidRPr="00D10FAD">
        <w:rPr>
          <w:sz w:val="22"/>
          <w:szCs w:val="22"/>
        </w:rPr>
        <w:t>2</w:t>
      </w:r>
      <w:r w:rsidR="0062342B">
        <w:rPr>
          <w:sz w:val="22"/>
          <w:szCs w:val="22"/>
        </w:rPr>
        <w:t>8</w:t>
      </w:r>
      <w:r w:rsidR="00720FAD">
        <w:rPr>
          <w:sz w:val="22"/>
          <w:szCs w:val="22"/>
        </w:rPr>
        <w:t>0</w:t>
      </w:r>
      <w:r w:rsidRPr="00D10FAD">
        <w:rPr>
          <w:sz w:val="22"/>
          <w:szCs w:val="22"/>
        </w:rPr>
        <w:t xml:space="preserve">*£90) as a DRO fee of £90 will be payable on every additional case. Servicing this additional demand will </w:t>
      </w:r>
      <w:r w:rsidR="00811429">
        <w:rPr>
          <w:sz w:val="22"/>
          <w:szCs w:val="22"/>
        </w:rPr>
        <w:t xml:space="preserve">result in additional </w:t>
      </w:r>
      <w:r w:rsidR="00811429" w:rsidRPr="00D10FAD">
        <w:rPr>
          <w:sz w:val="22"/>
          <w:szCs w:val="22"/>
        </w:rPr>
        <w:t xml:space="preserve">staffing costs </w:t>
      </w:r>
      <w:r w:rsidR="00811429">
        <w:rPr>
          <w:sz w:val="22"/>
          <w:szCs w:val="22"/>
        </w:rPr>
        <w:t xml:space="preserve">of </w:t>
      </w:r>
      <w:r w:rsidRPr="00D10FAD">
        <w:rPr>
          <w:sz w:val="22"/>
          <w:szCs w:val="22"/>
        </w:rPr>
        <w:t>£</w:t>
      </w:r>
      <w:r w:rsidR="000B7DEB">
        <w:rPr>
          <w:sz w:val="22"/>
          <w:szCs w:val="22"/>
        </w:rPr>
        <w:t>1</w:t>
      </w:r>
      <w:r w:rsidR="001E22D6" w:rsidRPr="00D10FAD">
        <w:rPr>
          <w:sz w:val="22"/>
          <w:szCs w:val="22"/>
        </w:rPr>
        <w:t>2,1</w:t>
      </w:r>
      <w:r w:rsidR="00CE42F9">
        <w:rPr>
          <w:sz w:val="22"/>
          <w:szCs w:val="22"/>
        </w:rPr>
        <w:t>97</w:t>
      </w:r>
      <w:r w:rsidR="00811429">
        <w:rPr>
          <w:sz w:val="22"/>
          <w:szCs w:val="22"/>
        </w:rPr>
        <w:t xml:space="preserve">. The </w:t>
      </w:r>
      <w:r w:rsidRPr="00D10FAD">
        <w:rPr>
          <w:sz w:val="22"/>
          <w:szCs w:val="22"/>
        </w:rPr>
        <w:t xml:space="preserve">net annual benefit </w:t>
      </w:r>
      <w:r w:rsidR="00811429">
        <w:rPr>
          <w:sz w:val="22"/>
          <w:szCs w:val="22"/>
        </w:rPr>
        <w:t>is</w:t>
      </w:r>
      <w:r w:rsidRPr="00D10FAD">
        <w:rPr>
          <w:sz w:val="22"/>
          <w:szCs w:val="22"/>
        </w:rPr>
        <w:t xml:space="preserve"> £</w:t>
      </w:r>
      <w:r w:rsidR="000B7DEB">
        <w:rPr>
          <w:sz w:val="22"/>
          <w:szCs w:val="22"/>
        </w:rPr>
        <w:t>13,</w:t>
      </w:r>
      <w:r w:rsidR="00CE42F9">
        <w:rPr>
          <w:sz w:val="22"/>
          <w:szCs w:val="22"/>
        </w:rPr>
        <w:t>003</w:t>
      </w:r>
      <w:r w:rsidRPr="00D10FAD">
        <w:rPr>
          <w:sz w:val="22"/>
          <w:szCs w:val="22"/>
        </w:rPr>
        <w:t xml:space="preserve">. </w:t>
      </w:r>
    </w:p>
    <w:p w14:paraId="45CF0D39" w14:textId="260F5AC1" w:rsidR="00E5769E" w:rsidRPr="00D10FAD" w:rsidRDefault="00645541" w:rsidP="00D10FAD">
      <w:pPr>
        <w:autoSpaceDE w:val="0"/>
        <w:autoSpaceDN w:val="0"/>
        <w:adjustRightInd w:val="0"/>
        <w:spacing w:after="120"/>
        <w:rPr>
          <w:b/>
          <w:sz w:val="22"/>
          <w:szCs w:val="22"/>
        </w:rPr>
      </w:pPr>
      <w:r w:rsidRPr="00D10FAD">
        <w:rPr>
          <w:sz w:val="22"/>
          <w:szCs w:val="22"/>
        </w:rPr>
        <w:t>1</w:t>
      </w:r>
      <w:r w:rsidR="00B046FF" w:rsidRPr="00D10FAD">
        <w:rPr>
          <w:sz w:val="22"/>
          <w:szCs w:val="22"/>
        </w:rPr>
        <w:t>0</w:t>
      </w:r>
      <w:r w:rsidR="000B7DEB">
        <w:rPr>
          <w:sz w:val="22"/>
          <w:szCs w:val="22"/>
        </w:rPr>
        <w:t>7</w:t>
      </w:r>
      <w:r w:rsidRPr="00D10FAD">
        <w:rPr>
          <w:sz w:val="22"/>
          <w:szCs w:val="22"/>
        </w:rPr>
        <w:t xml:space="preserve">. Considering the costs and benefits to the Insolvency Service the net position is an </w:t>
      </w:r>
      <w:r w:rsidRPr="00D10FAD">
        <w:rPr>
          <w:b/>
          <w:sz w:val="22"/>
          <w:szCs w:val="22"/>
        </w:rPr>
        <w:t>ongoing annual benefit of £</w:t>
      </w:r>
      <w:r w:rsidR="00986955">
        <w:rPr>
          <w:b/>
          <w:sz w:val="22"/>
          <w:szCs w:val="22"/>
        </w:rPr>
        <w:t>4</w:t>
      </w:r>
      <w:r w:rsidR="00703BC8">
        <w:rPr>
          <w:b/>
          <w:sz w:val="22"/>
          <w:szCs w:val="22"/>
        </w:rPr>
        <w:t>5</w:t>
      </w:r>
      <w:r w:rsidR="00DB5900" w:rsidRPr="00D10FAD">
        <w:rPr>
          <w:b/>
          <w:sz w:val="22"/>
          <w:szCs w:val="22"/>
        </w:rPr>
        <w:t>,</w:t>
      </w:r>
      <w:r w:rsidR="00986955">
        <w:rPr>
          <w:b/>
          <w:sz w:val="22"/>
          <w:szCs w:val="22"/>
        </w:rPr>
        <w:t>0</w:t>
      </w:r>
      <w:r w:rsidR="00703BC8">
        <w:rPr>
          <w:b/>
          <w:sz w:val="22"/>
          <w:szCs w:val="22"/>
        </w:rPr>
        <w:t>79</w:t>
      </w:r>
      <w:r w:rsidRPr="00D10FAD">
        <w:rPr>
          <w:b/>
          <w:sz w:val="22"/>
          <w:szCs w:val="22"/>
        </w:rPr>
        <w:t>.</w:t>
      </w:r>
    </w:p>
    <w:p w14:paraId="7C2EA972" w14:textId="77777777" w:rsidR="00CE7714" w:rsidRPr="00D10FAD" w:rsidRDefault="00CE7714" w:rsidP="00D10FAD">
      <w:pPr>
        <w:autoSpaceDE w:val="0"/>
        <w:autoSpaceDN w:val="0"/>
        <w:adjustRightInd w:val="0"/>
        <w:spacing w:after="120"/>
        <w:rPr>
          <w:sz w:val="22"/>
          <w:szCs w:val="22"/>
          <w:u w:val="single"/>
        </w:rPr>
      </w:pPr>
      <w:r w:rsidRPr="00D10FAD">
        <w:rPr>
          <w:sz w:val="22"/>
          <w:szCs w:val="22"/>
          <w:u w:val="single"/>
        </w:rPr>
        <w:t xml:space="preserve">Other Public Sector Organisations </w:t>
      </w:r>
    </w:p>
    <w:p w14:paraId="73E5F02E" w14:textId="20C08F11" w:rsidR="00CE7714" w:rsidRPr="00D10FAD" w:rsidRDefault="00CE7714" w:rsidP="00D10FAD">
      <w:pPr>
        <w:autoSpaceDE w:val="0"/>
        <w:autoSpaceDN w:val="0"/>
        <w:adjustRightInd w:val="0"/>
        <w:spacing w:after="120"/>
        <w:rPr>
          <w:sz w:val="22"/>
          <w:szCs w:val="22"/>
        </w:rPr>
      </w:pPr>
      <w:r w:rsidRPr="00D10FAD">
        <w:rPr>
          <w:sz w:val="22"/>
          <w:szCs w:val="22"/>
        </w:rPr>
        <w:t>10</w:t>
      </w:r>
      <w:r w:rsidR="00EE5282">
        <w:rPr>
          <w:sz w:val="22"/>
          <w:szCs w:val="22"/>
        </w:rPr>
        <w:t>8</w:t>
      </w:r>
      <w:r w:rsidRPr="00D10FAD">
        <w:rPr>
          <w:sz w:val="22"/>
          <w:szCs w:val="22"/>
        </w:rPr>
        <w:t xml:space="preserve">. There could be impacts from these measures on the public sector, namely public sector creditors. The public sector is a significant creditor in insolvency and therefore the cost to creditors from individuals accessing debt relief will have an impact. </w:t>
      </w:r>
    </w:p>
    <w:p w14:paraId="36B34A10" w14:textId="5BF060C6" w:rsidR="00CE7714" w:rsidRPr="00D10FAD" w:rsidRDefault="00CE7714" w:rsidP="00D10FAD">
      <w:pPr>
        <w:autoSpaceDE w:val="0"/>
        <w:autoSpaceDN w:val="0"/>
        <w:adjustRightInd w:val="0"/>
        <w:spacing w:after="120"/>
        <w:rPr>
          <w:b/>
          <w:sz w:val="22"/>
          <w:szCs w:val="22"/>
        </w:rPr>
      </w:pPr>
      <w:r w:rsidRPr="00D10FAD">
        <w:rPr>
          <w:sz w:val="22"/>
          <w:szCs w:val="22"/>
        </w:rPr>
        <w:t>10</w:t>
      </w:r>
      <w:r w:rsidR="00EE5282">
        <w:rPr>
          <w:sz w:val="22"/>
          <w:szCs w:val="22"/>
        </w:rPr>
        <w:t>9</w:t>
      </w:r>
      <w:r w:rsidRPr="00D10FAD">
        <w:rPr>
          <w:sz w:val="22"/>
          <w:szCs w:val="22"/>
        </w:rPr>
        <w:t>. The cost benefit analysis section (see point 8</w:t>
      </w:r>
      <w:r w:rsidR="00F73B02">
        <w:rPr>
          <w:sz w:val="22"/>
          <w:szCs w:val="22"/>
        </w:rPr>
        <w:t>4</w:t>
      </w:r>
      <w:r w:rsidRPr="00D10FAD">
        <w:rPr>
          <w:sz w:val="22"/>
          <w:szCs w:val="22"/>
        </w:rPr>
        <w:t>) show</w:t>
      </w:r>
      <w:r w:rsidR="000122E1">
        <w:rPr>
          <w:sz w:val="22"/>
          <w:szCs w:val="22"/>
        </w:rPr>
        <w:t>s</w:t>
      </w:r>
      <w:r w:rsidRPr="00D10FAD">
        <w:rPr>
          <w:sz w:val="22"/>
          <w:szCs w:val="22"/>
        </w:rPr>
        <w:t xml:space="preserve"> that 14% of creditor returns are due to public sector organisations and the cost to creditors from individuals accessing debt relief is £</w:t>
      </w:r>
      <w:r w:rsidR="00F73B02">
        <w:rPr>
          <w:sz w:val="22"/>
          <w:szCs w:val="22"/>
        </w:rPr>
        <w:t>228</w:t>
      </w:r>
      <w:r w:rsidR="00B15637" w:rsidRPr="00D10FAD">
        <w:rPr>
          <w:sz w:val="22"/>
          <w:szCs w:val="22"/>
        </w:rPr>
        <w:t>,</w:t>
      </w:r>
      <w:r w:rsidR="00F73B02">
        <w:rPr>
          <w:sz w:val="22"/>
          <w:szCs w:val="22"/>
        </w:rPr>
        <w:t>11</w:t>
      </w:r>
      <w:r w:rsidR="006B5EAE">
        <w:rPr>
          <w:sz w:val="22"/>
          <w:szCs w:val="22"/>
        </w:rPr>
        <w:t>1</w:t>
      </w:r>
      <w:r w:rsidR="00B15637" w:rsidRPr="00D10FAD">
        <w:rPr>
          <w:sz w:val="22"/>
          <w:szCs w:val="22"/>
        </w:rPr>
        <w:t xml:space="preserve"> </w:t>
      </w:r>
      <w:r w:rsidRPr="00D10FAD">
        <w:rPr>
          <w:sz w:val="22"/>
          <w:szCs w:val="22"/>
        </w:rPr>
        <w:t>(see point 8</w:t>
      </w:r>
      <w:r w:rsidR="00F73B02">
        <w:rPr>
          <w:sz w:val="22"/>
          <w:szCs w:val="22"/>
        </w:rPr>
        <w:t>3</w:t>
      </w:r>
      <w:r w:rsidRPr="00D10FAD">
        <w:rPr>
          <w:sz w:val="22"/>
          <w:szCs w:val="22"/>
        </w:rPr>
        <w:t>). Therefore, the annual cost to the public sector is £</w:t>
      </w:r>
      <w:r w:rsidR="00F73B02">
        <w:rPr>
          <w:sz w:val="22"/>
          <w:szCs w:val="22"/>
        </w:rPr>
        <w:t>3</w:t>
      </w:r>
      <w:r w:rsidR="00B15637" w:rsidRPr="00D10FAD">
        <w:rPr>
          <w:sz w:val="22"/>
          <w:szCs w:val="22"/>
        </w:rPr>
        <w:t>1,</w:t>
      </w:r>
      <w:r w:rsidR="00F73B02">
        <w:rPr>
          <w:sz w:val="22"/>
          <w:szCs w:val="22"/>
        </w:rPr>
        <w:t>935</w:t>
      </w:r>
      <w:r w:rsidRPr="00D10FAD">
        <w:rPr>
          <w:sz w:val="22"/>
          <w:szCs w:val="22"/>
        </w:rPr>
        <w:t xml:space="preserve"> (£</w:t>
      </w:r>
      <w:r w:rsidR="00F73B02">
        <w:rPr>
          <w:sz w:val="22"/>
          <w:szCs w:val="22"/>
        </w:rPr>
        <w:t>228</w:t>
      </w:r>
      <w:r w:rsidR="00B15637" w:rsidRPr="00D10FAD">
        <w:rPr>
          <w:sz w:val="22"/>
          <w:szCs w:val="22"/>
        </w:rPr>
        <w:t>,</w:t>
      </w:r>
      <w:r w:rsidR="00F73B02">
        <w:rPr>
          <w:sz w:val="22"/>
          <w:szCs w:val="22"/>
        </w:rPr>
        <w:t>11</w:t>
      </w:r>
      <w:r w:rsidR="00C60569">
        <w:rPr>
          <w:sz w:val="22"/>
          <w:szCs w:val="22"/>
        </w:rPr>
        <w:t>1</w:t>
      </w:r>
      <w:r w:rsidRPr="00D10FAD">
        <w:rPr>
          <w:sz w:val="22"/>
          <w:szCs w:val="22"/>
        </w:rPr>
        <w:t>*14%).</w:t>
      </w:r>
    </w:p>
    <w:p w14:paraId="67EF1FEA" w14:textId="77777777" w:rsidR="000E7512" w:rsidRPr="00D10FAD" w:rsidRDefault="000E7512" w:rsidP="00D10FAD">
      <w:pPr>
        <w:autoSpaceDE w:val="0"/>
        <w:autoSpaceDN w:val="0"/>
        <w:adjustRightInd w:val="0"/>
        <w:spacing w:after="120"/>
        <w:rPr>
          <w:sz w:val="22"/>
          <w:szCs w:val="22"/>
          <w:u w:val="single"/>
        </w:rPr>
      </w:pPr>
      <w:r w:rsidRPr="00D10FAD">
        <w:rPr>
          <w:sz w:val="22"/>
          <w:szCs w:val="22"/>
          <w:u w:val="single"/>
        </w:rPr>
        <w:t>Impact on Justice System</w:t>
      </w:r>
    </w:p>
    <w:p w14:paraId="6306F50C" w14:textId="4C028856" w:rsidR="00CE7714" w:rsidRPr="00D10FAD" w:rsidRDefault="000E7512" w:rsidP="00D10FAD">
      <w:pPr>
        <w:autoSpaceDE w:val="0"/>
        <w:autoSpaceDN w:val="0"/>
        <w:adjustRightInd w:val="0"/>
        <w:spacing w:after="120"/>
        <w:rPr>
          <w:sz w:val="22"/>
          <w:szCs w:val="22"/>
        </w:rPr>
      </w:pPr>
      <w:r w:rsidRPr="00D10FAD">
        <w:rPr>
          <w:sz w:val="22"/>
          <w:szCs w:val="22"/>
        </w:rPr>
        <w:t>1</w:t>
      </w:r>
      <w:r w:rsidR="00EE5282">
        <w:rPr>
          <w:sz w:val="22"/>
          <w:szCs w:val="22"/>
        </w:rPr>
        <w:t>10</w:t>
      </w:r>
      <w:r w:rsidRPr="00D10FAD">
        <w:rPr>
          <w:sz w:val="22"/>
          <w:szCs w:val="22"/>
        </w:rPr>
        <w:t xml:space="preserve">. Debt Relief Orders are made under an administrative rather than a </w:t>
      </w:r>
      <w:proofErr w:type="gramStart"/>
      <w:r w:rsidRPr="00D10FAD">
        <w:rPr>
          <w:sz w:val="22"/>
          <w:szCs w:val="22"/>
        </w:rPr>
        <w:t>court based</w:t>
      </w:r>
      <w:proofErr w:type="gramEnd"/>
      <w:r w:rsidRPr="00D10FAD">
        <w:rPr>
          <w:sz w:val="22"/>
          <w:szCs w:val="22"/>
        </w:rPr>
        <w:t xml:space="preserve"> system. Making more cases eligible for DROs instead of bankruptcy will reduce the burden on the judicial system.  Both creditor and debtor court fees charged are designed to cover the court cost and so are neutral in terms of cost impact on the judicial system. </w:t>
      </w:r>
    </w:p>
    <w:p w14:paraId="52B04EA5" w14:textId="77777777" w:rsidR="00A8565C" w:rsidRPr="00D10FAD" w:rsidRDefault="00A8565C" w:rsidP="00D10FAD">
      <w:pPr>
        <w:autoSpaceDE w:val="0"/>
        <w:autoSpaceDN w:val="0"/>
        <w:adjustRightInd w:val="0"/>
        <w:spacing w:after="120"/>
        <w:rPr>
          <w:b/>
          <w:sz w:val="22"/>
          <w:szCs w:val="22"/>
        </w:rPr>
      </w:pPr>
      <w:r w:rsidRPr="00D10FAD">
        <w:rPr>
          <w:b/>
          <w:sz w:val="22"/>
          <w:szCs w:val="22"/>
        </w:rPr>
        <w:t xml:space="preserve">Small micro business assessment </w:t>
      </w:r>
    </w:p>
    <w:p w14:paraId="52E01840" w14:textId="3F833AFC" w:rsidR="00CC45B7" w:rsidRPr="00D10FAD" w:rsidRDefault="00A8565C" w:rsidP="00D10FAD">
      <w:pPr>
        <w:autoSpaceDE w:val="0"/>
        <w:autoSpaceDN w:val="0"/>
        <w:adjustRightInd w:val="0"/>
        <w:spacing w:after="120"/>
        <w:rPr>
          <w:sz w:val="22"/>
          <w:szCs w:val="22"/>
        </w:rPr>
      </w:pPr>
      <w:r w:rsidRPr="00D10FAD">
        <w:rPr>
          <w:sz w:val="22"/>
          <w:szCs w:val="22"/>
        </w:rPr>
        <w:t>1</w:t>
      </w:r>
      <w:r w:rsidR="00EE5282">
        <w:rPr>
          <w:sz w:val="22"/>
          <w:szCs w:val="22"/>
        </w:rPr>
        <w:t>11</w:t>
      </w:r>
      <w:r w:rsidRPr="00D10FAD">
        <w:rPr>
          <w:sz w:val="22"/>
          <w:szCs w:val="22"/>
        </w:rPr>
        <w:t>.The measure</w:t>
      </w:r>
      <w:r w:rsidR="00A8523E" w:rsidRPr="00D10FAD">
        <w:rPr>
          <w:sz w:val="22"/>
          <w:szCs w:val="22"/>
        </w:rPr>
        <w:t>s</w:t>
      </w:r>
      <w:r w:rsidRPr="00D10FAD">
        <w:rPr>
          <w:sz w:val="22"/>
          <w:szCs w:val="22"/>
        </w:rPr>
        <w:t xml:space="preserve"> may impact on small and micro business in the following ways: </w:t>
      </w:r>
    </w:p>
    <w:p w14:paraId="34F56E84" w14:textId="77777777" w:rsidR="00CC45B7" w:rsidRPr="00D10FAD" w:rsidRDefault="00A8565C" w:rsidP="00D10FAD">
      <w:pPr>
        <w:autoSpaceDE w:val="0"/>
        <w:autoSpaceDN w:val="0"/>
        <w:adjustRightInd w:val="0"/>
        <w:spacing w:after="120"/>
        <w:rPr>
          <w:sz w:val="22"/>
          <w:szCs w:val="22"/>
          <w:u w:val="single"/>
        </w:rPr>
      </w:pPr>
      <w:r w:rsidRPr="00D10FAD">
        <w:rPr>
          <w:sz w:val="22"/>
          <w:szCs w:val="22"/>
          <w:u w:val="single"/>
        </w:rPr>
        <w:t xml:space="preserve">Competent Authorities </w:t>
      </w:r>
    </w:p>
    <w:p w14:paraId="26A71A7D" w14:textId="35A0F1E7" w:rsidR="00CC45B7" w:rsidRPr="00D10FAD" w:rsidRDefault="00A8565C" w:rsidP="00D10FAD">
      <w:pPr>
        <w:autoSpaceDE w:val="0"/>
        <w:autoSpaceDN w:val="0"/>
        <w:adjustRightInd w:val="0"/>
        <w:spacing w:after="120"/>
        <w:rPr>
          <w:sz w:val="22"/>
          <w:szCs w:val="22"/>
        </w:rPr>
      </w:pPr>
      <w:r w:rsidRPr="00D10FAD">
        <w:rPr>
          <w:sz w:val="22"/>
          <w:szCs w:val="22"/>
        </w:rPr>
        <w:t>1</w:t>
      </w:r>
      <w:r w:rsidR="00EE5282">
        <w:rPr>
          <w:sz w:val="22"/>
          <w:szCs w:val="22"/>
        </w:rPr>
        <w:t>12</w:t>
      </w:r>
      <w:r w:rsidRPr="00D10FAD">
        <w:rPr>
          <w:sz w:val="22"/>
          <w:szCs w:val="22"/>
        </w:rPr>
        <w:t xml:space="preserve">. DRO applications are made through intermediaries working for one of the competent authorities recognised by the </w:t>
      </w:r>
      <w:r w:rsidR="00CC45B7" w:rsidRPr="00D10FAD">
        <w:rPr>
          <w:sz w:val="22"/>
          <w:szCs w:val="22"/>
        </w:rPr>
        <w:t xml:space="preserve">Department for the Economy. </w:t>
      </w:r>
    </w:p>
    <w:p w14:paraId="4163C752" w14:textId="072456E5" w:rsidR="00CC45B7" w:rsidRPr="00D10FAD" w:rsidRDefault="00CC45B7" w:rsidP="00D10FAD">
      <w:pPr>
        <w:autoSpaceDE w:val="0"/>
        <w:autoSpaceDN w:val="0"/>
        <w:adjustRightInd w:val="0"/>
        <w:spacing w:after="120"/>
        <w:rPr>
          <w:sz w:val="22"/>
          <w:szCs w:val="22"/>
        </w:rPr>
      </w:pPr>
      <w:r w:rsidRPr="00D10FAD">
        <w:rPr>
          <w:sz w:val="22"/>
          <w:szCs w:val="22"/>
        </w:rPr>
        <w:t>1</w:t>
      </w:r>
      <w:r w:rsidR="00EE5282">
        <w:rPr>
          <w:sz w:val="22"/>
          <w:szCs w:val="22"/>
        </w:rPr>
        <w:t>13</w:t>
      </w:r>
      <w:r w:rsidR="00A8565C" w:rsidRPr="00D10FAD">
        <w:rPr>
          <w:sz w:val="22"/>
          <w:szCs w:val="22"/>
        </w:rPr>
        <w:t xml:space="preserve">. The changes </w:t>
      </w:r>
      <w:r w:rsidR="00E469AB">
        <w:rPr>
          <w:sz w:val="22"/>
          <w:szCs w:val="22"/>
        </w:rPr>
        <w:t xml:space="preserve">to the eligibility levels </w:t>
      </w:r>
      <w:r w:rsidR="00EE5282">
        <w:rPr>
          <w:sz w:val="22"/>
          <w:szCs w:val="22"/>
        </w:rPr>
        <w:t>will result in more people being eligible for a DRO.</w:t>
      </w:r>
      <w:r w:rsidR="00A8565C" w:rsidRPr="00D10FAD">
        <w:rPr>
          <w:sz w:val="22"/>
          <w:szCs w:val="22"/>
        </w:rPr>
        <w:t xml:space="preserve"> Any exemption </w:t>
      </w:r>
      <w:r w:rsidR="00EE5282" w:rsidRPr="00D10FAD">
        <w:rPr>
          <w:sz w:val="22"/>
          <w:szCs w:val="22"/>
        </w:rPr>
        <w:t xml:space="preserve">for small and micro businesses </w:t>
      </w:r>
      <w:r w:rsidR="00EE5282">
        <w:rPr>
          <w:sz w:val="22"/>
          <w:szCs w:val="22"/>
        </w:rPr>
        <w:t>from implementing the expanded criteria</w:t>
      </w:r>
      <w:r w:rsidR="00EE5282" w:rsidRPr="00D10FAD">
        <w:rPr>
          <w:sz w:val="22"/>
          <w:szCs w:val="22"/>
        </w:rPr>
        <w:t xml:space="preserve"> </w:t>
      </w:r>
      <w:r w:rsidR="00A8565C" w:rsidRPr="00D10FAD">
        <w:rPr>
          <w:sz w:val="22"/>
          <w:szCs w:val="22"/>
        </w:rPr>
        <w:t>would lead to a two-tiered system</w:t>
      </w:r>
      <w:r w:rsidR="00EE5282">
        <w:rPr>
          <w:sz w:val="22"/>
          <w:szCs w:val="22"/>
        </w:rPr>
        <w:t>,</w:t>
      </w:r>
      <w:r w:rsidR="00A8565C" w:rsidRPr="00D10FAD">
        <w:rPr>
          <w:sz w:val="22"/>
          <w:szCs w:val="22"/>
        </w:rPr>
        <w:t xml:space="preserve"> which </w:t>
      </w:r>
      <w:r w:rsidR="00EE5282">
        <w:rPr>
          <w:sz w:val="22"/>
          <w:szCs w:val="22"/>
        </w:rPr>
        <w:t>c</w:t>
      </w:r>
      <w:r w:rsidR="00A8565C" w:rsidRPr="00D10FAD">
        <w:rPr>
          <w:sz w:val="22"/>
          <w:szCs w:val="22"/>
        </w:rPr>
        <w:t xml:space="preserve">ould cause confusion amongst debtors. Such an exemption could also lead to larger businesses dominating the </w:t>
      </w:r>
      <w:r w:rsidR="00EE5282">
        <w:rPr>
          <w:sz w:val="22"/>
          <w:szCs w:val="22"/>
        </w:rPr>
        <w:t xml:space="preserve">DRO </w:t>
      </w:r>
      <w:r w:rsidR="00A8565C" w:rsidRPr="00D10FAD">
        <w:rPr>
          <w:sz w:val="22"/>
          <w:szCs w:val="22"/>
        </w:rPr>
        <w:t xml:space="preserve">market. </w:t>
      </w:r>
    </w:p>
    <w:p w14:paraId="29506170" w14:textId="11D50965" w:rsidR="00891C51" w:rsidRPr="00D10FAD" w:rsidRDefault="00A8565C" w:rsidP="00D10FAD">
      <w:pPr>
        <w:autoSpaceDE w:val="0"/>
        <w:autoSpaceDN w:val="0"/>
        <w:adjustRightInd w:val="0"/>
        <w:spacing w:after="120"/>
        <w:rPr>
          <w:sz w:val="22"/>
          <w:szCs w:val="22"/>
        </w:rPr>
      </w:pPr>
      <w:r w:rsidRPr="00D10FAD">
        <w:rPr>
          <w:sz w:val="22"/>
          <w:szCs w:val="22"/>
        </w:rPr>
        <w:t>1</w:t>
      </w:r>
      <w:r w:rsidR="00CC45B7" w:rsidRPr="00D10FAD">
        <w:rPr>
          <w:sz w:val="22"/>
          <w:szCs w:val="22"/>
        </w:rPr>
        <w:t>1</w:t>
      </w:r>
      <w:r w:rsidR="00EE5282">
        <w:rPr>
          <w:sz w:val="22"/>
          <w:szCs w:val="22"/>
        </w:rPr>
        <w:t>4</w:t>
      </w:r>
      <w:r w:rsidRPr="00D10FAD">
        <w:rPr>
          <w:sz w:val="22"/>
          <w:szCs w:val="22"/>
        </w:rPr>
        <w:t xml:space="preserve"> As mentioned in the analysis the burden of additional DRO demand will be met by intermediaries</w:t>
      </w:r>
      <w:r w:rsidR="00891C51" w:rsidRPr="00D10FAD">
        <w:rPr>
          <w:sz w:val="22"/>
          <w:szCs w:val="22"/>
        </w:rPr>
        <w:t xml:space="preserve"> approved by </w:t>
      </w:r>
      <w:r w:rsidRPr="00D10FAD">
        <w:rPr>
          <w:sz w:val="22"/>
          <w:szCs w:val="22"/>
        </w:rPr>
        <w:t xml:space="preserve">competent authorities. </w:t>
      </w:r>
      <w:r w:rsidR="00891C51" w:rsidRPr="00D10FAD">
        <w:rPr>
          <w:sz w:val="22"/>
          <w:szCs w:val="22"/>
        </w:rPr>
        <w:t xml:space="preserve">A total of four competent authorities have been designated in Northern Ireland and none are small or micro businesses. </w:t>
      </w:r>
    </w:p>
    <w:p w14:paraId="7E3A7749" w14:textId="173E76E1" w:rsidR="00A8565C" w:rsidRPr="00D10FAD" w:rsidRDefault="00891C51" w:rsidP="00D10FAD">
      <w:pPr>
        <w:autoSpaceDE w:val="0"/>
        <w:autoSpaceDN w:val="0"/>
        <w:adjustRightInd w:val="0"/>
        <w:spacing w:after="120"/>
        <w:rPr>
          <w:sz w:val="22"/>
          <w:szCs w:val="22"/>
        </w:rPr>
      </w:pPr>
      <w:r w:rsidRPr="00D10FAD">
        <w:rPr>
          <w:sz w:val="22"/>
          <w:szCs w:val="22"/>
        </w:rPr>
        <w:t>11</w:t>
      </w:r>
      <w:r w:rsidR="00EE5282">
        <w:rPr>
          <w:sz w:val="22"/>
          <w:szCs w:val="22"/>
        </w:rPr>
        <w:t>5</w:t>
      </w:r>
      <w:r w:rsidR="00A8565C" w:rsidRPr="00D10FAD">
        <w:rPr>
          <w:sz w:val="22"/>
          <w:szCs w:val="22"/>
        </w:rPr>
        <w:t>. As a result, the burden on competent authorities will not fall disproportionately on small and micro business.</w:t>
      </w:r>
    </w:p>
    <w:p w14:paraId="34B18DDF" w14:textId="77777777" w:rsidR="00891C51" w:rsidRPr="00D10FAD" w:rsidRDefault="00891C51" w:rsidP="00D10FAD">
      <w:pPr>
        <w:autoSpaceDE w:val="0"/>
        <w:autoSpaceDN w:val="0"/>
        <w:adjustRightInd w:val="0"/>
        <w:spacing w:after="120"/>
        <w:rPr>
          <w:sz w:val="22"/>
          <w:szCs w:val="22"/>
          <w:u w:val="single"/>
        </w:rPr>
      </w:pPr>
      <w:r w:rsidRPr="00D10FAD">
        <w:rPr>
          <w:sz w:val="22"/>
          <w:szCs w:val="22"/>
          <w:u w:val="single"/>
        </w:rPr>
        <w:t xml:space="preserve">Insolvency Practitioners </w:t>
      </w:r>
    </w:p>
    <w:p w14:paraId="7FEE2D5D" w14:textId="1053CBDD" w:rsidR="00891C51" w:rsidRPr="00D10FAD" w:rsidRDefault="00891C51" w:rsidP="00D10FAD">
      <w:pPr>
        <w:autoSpaceDE w:val="0"/>
        <w:autoSpaceDN w:val="0"/>
        <w:adjustRightInd w:val="0"/>
        <w:spacing w:after="120"/>
        <w:rPr>
          <w:sz w:val="22"/>
          <w:szCs w:val="22"/>
        </w:rPr>
      </w:pPr>
      <w:r w:rsidRPr="00D10FAD">
        <w:rPr>
          <w:sz w:val="22"/>
          <w:szCs w:val="22"/>
        </w:rPr>
        <w:t>11</w:t>
      </w:r>
      <w:r w:rsidR="005D237F">
        <w:rPr>
          <w:sz w:val="22"/>
          <w:szCs w:val="22"/>
        </w:rPr>
        <w:t>6</w:t>
      </w:r>
      <w:r w:rsidRPr="00D10FAD">
        <w:rPr>
          <w:sz w:val="22"/>
          <w:szCs w:val="22"/>
        </w:rPr>
        <w:t xml:space="preserve">. R3, the Association of Business Recovery Professionals represents 97% of Insolvency </w:t>
      </w:r>
      <w:r w:rsidR="00445021">
        <w:rPr>
          <w:sz w:val="22"/>
          <w:szCs w:val="22"/>
        </w:rPr>
        <w:t>p</w:t>
      </w:r>
      <w:r w:rsidRPr="00D10FAD">
        <w:rPr>
          <w:sz w:val="22"/>
          <w:szCs w:val="22"/>
        </w:rPr>
        <w:t>ractitioners (IPs)</w:t>
      </w:r>
      <w:r w:rsidR="00445021">
        <w:rPr>
          <w:sz w:val="22"/>
          <w:szCs w:val="22"/>
        </w:rPr>
        <w:t xml:space="preserve">. They </w:t>
      </w:r>
      <w:r w:rsidRPr="00D10FAD">
        <w:rPr>
          <w:sz w:val="22"/>
          <w:szCs w:val="22"/>
        </w:rPr>
        <w:t xml:space="preserve">estimate that 46% of </w:t>
      </w:r>
      <w:r w:rsidR="00445021">
        <w:rPr>
          <w:sz w:val="22"/>
          <w:szCs w:val="22"/>
        </w:rPr>
        <w:t>their</w:t>
      </w:r>
      <w:r w:rsidRPr="00D10FAD">
        <w:rPr>
          <w:sz w:val="22"/>
          <w:szCs w:val="22"/>
        </w:rPr>
        <w:t xml:space="preserve"> members c</w:t>
      </w:r>
      <w:r w:rsidR="006C199C">
        <w:rPr>
          <w:sz w:val="22"/>
          <w:szCs w:val="22"/>
        </w:rPr>
        <w:t>ould</w:t>
      </w:r>
      <w:r w:rsidRPr="00D10FAD">
        <w:rPr>
          <w:sz w:val="22"/>
          <w:szCs w:val="22"/>
        </w:rPr>
        <w:t xml:space="preserve"> be classed as small and micro businesses. </w:t>
      </w:r>
    </w:p>
    <w:p w14:paraId="50F1D52C" w14:textId="5095C07A" w:rsidR="00891C51" w:rsidRPr="00D10FAD" w:rsidRDefault="00891C51" w:rsidP="00D10FAD">
      <w:pPr>
        <w:autoSpaceDE w:val="0"/>
        <w:autoSpaceDN w:val="0"/>
        <w:adjustRightInd w:val="0"/>
        <w:spacing w:after="120"/>
        <w:rPr>
          <w:sz w:val="22"/>
          <w:szCs w:val="22"/>
        </w:rPr>
      </w:pPr>
      <w:r w:rsidRPr="00D10FAD">
        <w:rPr>
          <w:sz w:val="22"/>
          <w:szCs w:val="22"/>
        </w:rPr>
        <w:t>11</w:t>
      </w:r>
      <w:r w:rsidR="005D237F">
        <w:rPr>
          <w:sz w:val="22"/>
          <w:szCs w:val="22"/>
        </w:rPr>
        <w:t>7</w:t>
      </w:r>
      <w:r w:rsidRPr="00D10FAD">
        <w:rPr>
          <w:sz w:val="22"/>
          <w:szCs w:val="22"/>
        </w:rPr>
        <w:t>. As mentioned</w:t>
      </w:r>
      <w:r w:rsidR="00445021">
        <w:rPr>
          <w:sz w:val="22"/>
          <w:szCs w:val="22"/>
        </w:rPr>
        <w:t xml:space="preserve"> earlier</w:t>
      </w:r>
      <w:r w:rsidRPr="00D10FAD">
        <w:rPr>
          <w:sz w:val="22"/>
          <w:szCs w:val="22"/>
        </w:rPr>
        <w:t>, th</w:t>
      </w:r>
      <w:r w:rsidR="00C61210">
        <w:rPr>
          <w:sz w:val="22"/>
          <w:szCs w:val="22"/>
        </w:rPr>
        <w:t xml:space="preserve">ose who will become eligible to apply for a DRO under the altered criteria will include two </w:t>
      </w:r>
      <w:r w:rsidRPr="00D10FAD">
        <w:rPr>
          <w:sz w:val="22"/>
          <w:szCs w:val="22"/>
        </w:rPr>
        <w:t>groups</w:t>
      </w:r>
      <w:r w:rsidR="00C61210">
        <w:rPr>
          <w:sz w:val="22"/>
          <w:szCs w:val="22"/>
        </w:rPr>
        <w:t>,</w:t>
      </w:r>
      <w:r w:rsidRPr="00D10FAD">
        <w:rPr>
          <w:sz w:val="22"/>
          <w:szCs w:val="22"/>
        </w:rPr>
        <w:t xml:space="preserve"> those </w:t>
      </w:r>
      <w:r w:rsidR="00445021">
        <w:rPr>
          <w:sz w:val="22"/>
          <w:szCs w:val="22"/>
        </w:rPr>
        <w:t xml:space="preserve">who </w:t>
      </w:r>
      <w:r w:rsidRPr="00D10FAD">
        <w:rPr>
          <w:sz w:val="22"/>
          <w:szCs w:val="22"/>
        </w:rPr>
        <w:t xml:space="preserve">would </w:t>
      </w:r>
      <w:r w:rsidR="00445021">
        <w:rPr>
          <w:sz w:val="22"/>
          <w:szCs w:val="22"/>
        </w:rPr>
        <w:t>previously have</w:t>
      </w:r>
      <w:r w:rsidRPr="00D10FAD">
        <w:rPr>
          <w:sz w:val="22"/>
          <w:szCs w:val="22"/>
        </w:rPr>
        <w:t xml:space="preserve"> entered debtor bankruptcy and those who would have entered another debt solution. </w:t>
      </w:r>
    </w:p>
    <w:p w14:paraId="57F2B103" w14:textId="17E3A9A0" w:rsidR="00891C51" w:rsidRPr="00D10FAD" w:rsidRDefault="00891C51" w:rsidP="00D10FAD">
      <w:pPr>
        <w:autoSpaceDE w:val="0"/>
        <w:autoSpaceDN w:val="0"/>
        <w:adjustRightInd w:val="0"/>
        <w:spacing w:after="120"/>
        <w:rPr>
          <w:sz w:val="22"/>
          <w:szCs w:val="22"/>
        </w:rPr>
      </w:pPr>
      <w:r w:rsidRPr="00D10FAD">
        <w:rPr>
          <w:sz w:val="22"/>
          <w:szCs w:val="22"/>
        </w:rPr>
        <w:lastRenderedPageBreak/>
        <w:t>11</w:t>
      </w:r>
      <w:r w:rsidR="005D237F">
        <w:rPr>
          <w:sz w:val="22"/>
          <w:szCs w:val="22"/>
        </w:rPr>
        <w:t>8</w:t>
      </w:r>
      <w:r w:rsidRPr="00D10FAD">
        <w:rPr>
          <w:sz w:val="22"/>
          <w:szCs w:val="22"/>
        </w:rPr>
        <w:t>. The</w:t>
      </w:r>
      <w:r w:rsidR="00C61210">
        <w:rPr>
          <w:sz w:val="22"/>
          <w:szCs w:val="22"/>
        </w:rPr>
        <w:t xml:space="preserve"> existence of the first group w</w:t>
      </w:r>
      <w:r w:rsidRPr="00D10FAD">
        <w:rPr>
          <w:sz w:val="22"/>
          <w:szCs w:val="22"/>
        </w:rPr>
        <w:t xml:space="preserve">ill </w:t>
      </w:r>
      <w:r w:rsidR="00C61210">
        <w:rPr>
          <w:sz w:val="22"/>
          <w:szCs w:val="22"/>
        </w:rPr>
        <w:t xml:space="preserve">have </w:t>
      </w:r>
      <w:r w:rsidRPr="00D10FAD">
        <w:rPr>
          <w:sz w:val="22"/>
          <w:szCs w:val="22"/>
        </w:rPr>
        <w:t>no impact on IP</w:t>
      </w:r>
      <w:r w:rsidR="00C61210">
        <w:rPr>
          <w:sz w:val="22"/>
          <w:szCs w:val="22"/>
        </w:rPr>
        <w:t>s</w:t>
      </w:r>
      <w:r w:rsidRPr="00D10FAD">
        <w:rPr>
          <w:sz w:val="22"/>
          <w:szCs w:val="22"/>
        </w:rPr>
        <w:t xml:space="preserve"> as the Official Receiver </w:t>
      </w:r>
      <w:r w:rsidR="00C61210">
        <w:rPr>
          <w:sz w:val="22"/>
          <w:szCs w:val="22"/>
        </w:rPr>
        <w:t xml:space="preserve">almost always </w:t>
      </w:r>
      <w:r w:rsidRPr="00D10FAD">
        <w:rPr>
          <w:sz w:val="22"/>
          <w:szCs w:val="22"/>
        </w:rPr>
        <w:t xml:space="preserve">acts as trustee </w:t>
      </w:r>
      <w:r w:rsidR="000122E1">
        <w:rPr>
          <w:sz w:val="22"/>
          <w:szCs w:val="22"/>
        </w:rPr>
        <w:t>i</w:t>
      </w:r>
      <w:r w:rsidRPr="00D10FAD">
        <w:rPr>
          <w:sz w:val="22"/>
          <w:szCs w:val="22"/>
        </w:rPr>
        <w:t xml:space="preserve">n </w:t>
      </w:r>
      <w:r w:rsidR="00C61210">
        <w:rPr>
          <w:sz w:val="22"/>
          <w:szCs w:val="22"/>
        </w:rPr>
        <w:t xml:space="preserve">debtor bankruptcy </w:t>
      </w:r>
      <w:r w:rsidRPr="00D10FAD">
        <w:rPr>
          <w:sz w:val="22"/>
          <w:szCs w:val="22"/>
        </w:rPr>
        <w:t xml:space="preserve">cases. </w:t>
      </w:r>
    </w:p>
    <w:p w14:paraId="4CD151EB" w14:textId="77777777" w:rsidR="006C199C" w:rsidRDefault="00891C51" w:rsidP="00D10FAD">
      <w:pPr>
        <w:autoSpaceDE w:val="0"/>
        <w:autoSpaceDN w:val="0"/>
        <w:adjustRightInd w:val="0"/>
        <w:spacing w:after="120"/>
        <w:rPr>
          <w:sz w:val="22"/>
          <w:szCs w:val="22"/>
        </w:rPr>
      </w:pPr>
      <w:r w:rsidRPr="00D10FAD">
        <w:rPr>
          <w:sz w:val="22"/>
          <w:szCs w:val="22"/>
        </w:rPr>
        <w:t>11</w:t>
      </w:r>
      <w:r w:rsidR="005D237F">
        <w:rPr>
          <w:sz w:val="22"/>
          <w:szCs w:val="22"/>
        </w:rPr>
        <w:t>9</w:t>
      </w:r>
      <w:r w:rsidRPr="00D10FAD">
        <w:rPr>
          <w:sz w:val="22"/>
          <w:szCs w:val="22"/>
        </w:rPr>
        <w:t xml:space="preserve">. </w:t>
      </w:r>
      <w:r w:rsidR="00C61210">
        <w:rPr>
          <w:sz w:val="22"/>
          <w:szCs w:val="22"/>
        </w:rPr>
        <w:t xml:space="preserve">Those </w:t>
      </w:r>
      <w:r w:rsidRPr="00D10FAD">
        <w:rPr>
          <w:sz w:val="22"/>
          <w:szCs w:val="22"/>
        </w:rPr>
        <w:t>In the second group,</w:t>
      </w:r>
      <w:r w:rsidR="00C61210">
        <w:rPr>
          <w:sz w:val="22"/>
          <w:szCs w:val="22"/>
        </w:rPr>
        <w:t xml:space="preserve"> would have previously </w:t>
      </w:r>
      <w:r w:rsidRPr="00D10FAD">
        <w:rPr>
          <w:sz w:val="22"/>
          <w:szCs w:val="22"/>
        </w:rPr>
        <w:t>enter</w:t>
      </w:r>
      <w:r w:rsidR="00C61210">
        <w:rPr>
          <w:sz w:val="22"/>
          <w:szCs w:val="22"/>
        </w:rPr>
        <w:t xml:space="preserve">ed </w:t>
      </w:r>
      <w:r w:rsidRPr="00D10FAD">
        <w:rPr>
          <w:sz w:val="22"/>
          <w:szCs w:val="22"/>
        </w:rPr>
        <w:t>a Debt Management Plan</w:t>
      </w:r>
      <w:r w:rsidR="00F14D17">
        <w:rPr>
          <w:sz w:val="22"/>
          <w:szCs w:val="22"/>
        </w:rPr>
        <w:t xml:space="preserve"> or an IVA.</w:t>
      </w:r>
      <w:r w:rsidRPr="00D10FAD">
        <w:rPr>
          <w:sz w:val="22"/>
          <w:szCs w:val="22"/>
        </w:rPr>
        <w:t xml:space="preserve"> </w:t>
      </w:r>
      <w:r w:rsidR="00F14D17">
        <w:rPr>
          <w:sz w:val="22"/>
          <w:szCs w:val="22"/>
        </w:rPr>
        <w:t xml:space="preserve">Of the two, only IVAs are managed by IVAs </w:t>
      </w:r>
      <w:r w:rsidRPr="00D10FAD">
        <w:rPr>
          <w:sz w:val="22"/>
          <w:szCs w:val="22"/>
        </w:rPr>
        <w:t xml:space="preserve">The </w:t>
      </w:r>
      <w:r w:rsidR="00F14D17">
        <w:rPr>
          <w:sz w:val="22"/>
          <w:szCs w:val="22"/>
        </w:rPr>
        <w:t xml:space="preserve">estimated reduction of 19 in the total number of IVAs would result in an overall loss of </w:t>
      </w:r>
      <w:r w:rsidR="006C199C">
        <w:rPr>
          <w:sz w:val="22"/>
          <w:szCs w:val="22"/>
        </w:rPr>
        <w:t xml:space="preserve">IP fee income amounting to </w:t>
      </w:r>
      <w:r w:rsidRPr="00D10FAD">
        <w:rPr>
          <w:sz w:val="22"/>
          <w:szCs w:val="22"/>
        </w:rPr>
        <w:t>£</w:t>
      </w:r>
      <w:r w:rsidR="00682BAF">
        <w:rPr>
          <w:sz w:val="22"/>
          <w:szCs w:val="22"/>
        </w:rPr>
        <w:t>33</w:t>
      </w:r>
      <w:r w:rsidR="009977FB" w:rsidRPr="00D10FAD">
        <w:rPr>
          <w:sz w:val="22"/>
          <w:szCs w:val="22"/>
        </w:rPr>
        <w:t>,</w:t>
      </w:r>
      <w:r w:rsidR="00682BAF">
        <w:rPr>
          <w:sz w:val="22"/>
          <w:szCs w:val="22"/>
        </w:rPr>
        <w:t>25</w:t>
      </w:r>
      <w:r w:rsidR="009977FB" w:rsidRPr="00D10FAD">
        <w:rPr>
          <w:sz w:val="22"/>
          <w:szCs w:val="22"/>
        </w:rPr>
        <w:t>0</w:t>
      </w:r>
      <w:r w:rsidR="006C199C">
        <w:rPr>
          <w:sz w:val="22"/>
          <w:szCs w:val="22"/>
        </w:rPr>
        <w:t xml:space="preserve"> (see paragraph 86). The</w:t>
      </w:r>
      <w:r w:rsidRPr="00D10FAD">
        <w:rPr>
          <w:sz w:val="22"/>
          <w:szCs w:val="22"/>
        </w:rPr>
        <w:t xml:space="preserve"> impact is assumed to be split equally between large and small businesses in line with the R3 estimate </w:t>
      </w:r>
      <w:r w:rsidR="006C199C">
        <w:rPr>
          <w:sz w:val="22"/>
          <w:szCs w:val="22"/>
        </w:rPr>
        <w:t>of 46%</w:t>
      </w:r>
      <w:r w:rsidRPr="00D10FAD">
        <w:rPr>
          <w:sz w:val="22"/>
          <w:szCs w:val="22"/>
        </w:rPr>
        <w:t>.</w:t>
      </w:r>
    </w:p>
    <w:p w14:paraId="10CDE79D" w14:textId="576B5CBB" w:rsidR="009977FB" w:rsidRPr="00D10FAD" w:rsidRDefault="009977FB" w:rsidP="00D10FAD">
      <w:pPr>
        <w:autoSpaceDE w:val="0"/>
        <w:autoSpaceDN w:val="0"/>
        <w:adjustRightInd w:val="0"/>
        <w:spacing w:after="120"/>
        <w:rPr>
          <w:sz w:val="22"/>
          <w:szCs w:val="22"/>
          <w:u w:val="single"/>
        </w:rPr>
      </w:pPr>
      <w:r w:rsidRPr="00D10FAD">
        <w:rPr>
          <w:sz w:val="22"/>
          <w:szCs w:val="22"/>
          <w:u w:val="single"/>
        </w:rPr>
        <w:t xml:space="preserve">Creditors </w:t>
      </w:r>
    </w:p>
    <w:p w14:paraId="6460382D" w14:textId="6042A4FB" w:rsidR="00A36D91" w:rsidRPr="00D10FAD" w:rsidRDefault="009977FB" w:rsidP="00D10FAD">
      <w:pPr>
        <w:autoSpaceDE w:val="0"/>
        <w:autoSpaceDN w:val="0"/>
        <w:adjustRightInd w:val="0"/>
        <w:spacing w:after="120"/>
        <w:rPr>
          <w:sz w:val="22"/>
          <w:szCs w:val="22"/>
        </w:rPr>
      </w:pPr>
      <w:r w:rsidRPr="00D10FAD">
        <w:rPr>
          <w:sz w:val="22"/>
          <w:szCs w:val="22"/>
        </w:rPr>
        <w:t>1</w:t>
      </w:r>
      <w:r w:rsidR="00576182">
        <w:rPr>
          <w:sz w:val="22"/>
          <w:szCs w:val="22"/>
        </w:rPr>
        <w:t>20</w:t>
      </w:r>
      <w:r w:rsidRPr="00D10FAD">
        <w:rPr>
          <w:sz w:val="22"/>
          <w:szCs w:val="22"/>
        </w:rPr>
        <w:t xml:space="preserve">. Most creditors by value in the personal debt space are large financial institutions and Government creditors, therefore the impact on small and micro business will be minimal. </w:t>
      </w:r>
    </w:p>
    <w:p w14:paraId="7DB40FEE" w14:textId="77777777" w:rsidR="009977FB" w:rsidRPr="00D10FAD" w:rsidRDefault="009977FB" w:rsidP="00D10FAD">
      <w:pPr>
        <w:autoSpaceDE w:val="0"/>
        <w:autoSpaceDN w:val="0"/>
        <w:adjustRightInd w:val="0"/>
        <w:spacing w:after="120"/>
        <w:rPr>
          <w:b/>
          <w:sz w:val="22"/>
          <w:szCs w:val="22"/>
        </w:rPr>
      </w:pPr>
      <w:r w:rsidRPr="00D10FAD">
        <w:rPr>
          <w:b/>
          <w:sz w:val="22"/>
          <w:szCs w:val="22"/>
        </w:rPr>
        <w:t>Risks and Assumption</w:t>
      </w:r>
      <w:r w:rsidR="00A36D91" w:rsidRPr="00D10FAD">
        <w:rPr>
          <w:b/>
          <w:sz w:val="22"/>
          <w:szCs w:val="22"/>
        </w:rPr>
        <w:t>s</w:t>
      </w:r>
    </w:p>
    <w:p w14:paraId="062FA3C5" w14:textId="526FDD26" w:rsidR="00A36D91" w:rsidRPr="00D10FAD" w:rsidRDefault="00A36D91" w:rsidP="00D10FAD">
      <w:pPr>
        <w:autoSpaceDE w:val="0"/>
        <w:autoSpaceDN w:val="0"/>
        <w:adjustRightInd w:val="0"/>
        <w:spacing w:after="120"/>
        <w:rPr>
          <w:sz w:val="22"/>
          <w:szCs w:val="22"/>
        </w:rPr>
      </w:pPr>
      <w:r w:rsidRPr="00D10FAD">
        <w:rPr>
          <w:sz w:val="22"/>
          <w:szCs w:val="22"/>
        </w:rPr>
        <w:t>1</w:t>
      </w:r>
      <w:r w:rsidR="00576182">
        <w:rPr>
          <w:sz w:val="22"/>
          <w:szCs w:val="22"/>
        </w:rPr>
        <w:t>21</w:t>
      </w:r>
      <w:r w:rsidRPr="00D10FAD">
        <w:rPr>
          <w:sz w:val="22"/>
          <w:szCs w:val="22"/>
        </w:rPr>
        <w:t xml:space="preserve">. There is a risk that the increase in demand for DRO applications is less than estimated and can be met by intermediaries at lower cost. A larger increase in demand would result in applications being processed more slowly and it </w:t>
      </w:r>
      <w:proofErr w:type="gramStart"/>
      <w:r w:rsidRPr="00D10FAD">
        <w:rPr>
          <w:sz w:val="22"/>
          <w:szCs w:val="22"/>
        </w:rPr>
        <w:t>taking</w:t>
      </w:r>
      <w:proofErr w:type="gramEnd"/>
      <w:r w:rsidRPr="00D10FAD">
        <w:rPr>
          <w:sz w:val="22"/>
          <w:szCs w:val="22"/>
        </w:rPr>
        <w:t xml:space="preserve"> longer for debtors to receive debt relief.</w:t>
      </w:r>
    </w:p>
    <w:p w14:paraId="60B8F1C1" w14:textId="1E34C91C" w:rsidR="00A36D91" w:rsidRPr="00D10FAD" w:rsidRDefault="00A36D91" w:rsidP="00D10FAD">
      <w:pPr>
        <w:autoSpaceDE w:val="0"/>
        <w:autoSpaceDN w:val="0"/>
        <w:adjustRightInd w:val="0"/>
        <w:spacing w:after="120"/>
        <w:rPr>
          <w:sz w:val="22"/>
          <w:szCs w:val="22"/>
        </w:rPr>
      </w:pPr>
      <w:r w:rsidRPr="00D10FAD">
        <w:rPr>
          <w:sz w:val="22"/>
          <w:szCs w:val="22"/>
        </w:rPr>
        <w:t>1</w:t>
      </w:r>
      <w:r w:rsidR="00576182">
        <w:rPr>
          <w:sz w:val="22"/>
          <w:szCs w:val="22"/>
        </w:rPr>
        <w:t>22</w:t>
      </w:r>
      <w:r w:rsidRPr="00D10FAD">
        <w:rPr>
          <w:sz w:val="22"/>
          <w:szCs w:val="22"/>
        </w:rPr>
        <w:t>. The review of the 2015 DRO eligibility changes in England and Wales showed that the assumed number of cases to enter a DRO that would previously have entered debtor bankruptcy w</w:t>
      </w:r>
      <w:r w:rsidR="00984D44" w:rsidRPr="00D10FAD">
        <w:rPr>
          <w:sz w:val="22"/>
          <w:szCs w:val="22"/>
        </w:rPr>
        <w:t>as</w:t>
      </w:r>
      <w:r w:rsidRPr="00D10FAD">
        <w:rPr>
          <w:sz w:val="22"/>
          <w:szCs w:val="22"/>
        </w:rPr>
        <w:t xml:space="preserve"> negligible and consequently there is a risk that people will not transfer as expected. This risk has been mitigated in the cost benefit analysis by assuming a small proportion, </w:t>
      </w:r>
      <w:r w:rsidR="00576182">
        <w:rPr>
          <w:sz w:val="22"/>
          <w:szCs w:val="22"/>
        </w:rPr>
        <w:t>10</w:t>
      </w:r>
      <w:r w:rsidRPr="00D10FAD">
        <w:rPr>
          <w:sz w:val="22"/>
          <w:szCs w:val="22"/>
        </w:rPr>
        <w:t>% (</w:t>
      </w:r>
      <w:r w:rsidR="00B033BF" w:rsidRPr="00D10FAD">
        <w:rPr>
          <w:sz w:val="22"/>
          <w:szCs w:val="22"/>
        </w:rPr>
        <w:t>1</w:t>
      </w:r>
      <w:r w:rsidR="00576182">
        <w:rPr>
          <w:sz w:val="22"/>
          <w:szCs w:val="22"/>
        </w:rPr>
        <w:t>2</w:t>
      </w:r>
      <w:r w:rsidRPr="00D10FAD">
        <w:rPr>
          <w:sz w:val="22"/>
          <w:szCs w:val="22"/>
        </w:rPr>
        <w:t xml:space="preserve"> cases), enter a DRO to reflect our efforts working with the sector. If the cases are lower than expected this will be broadly neutral to positive (£0-</w:t>
      </w:r>
      <w:r w:rsidR="00B033BF" w:rsidRPr="00D10FAD">
        <w:rPr>
          <w:sz w:val="22"/>
          <w:szCs w:val="22"/>
        </w:rPr>
        <w:t>4</w:t>
      </w:r>
      <w:r w:rsidR="00EE62FF">
        <w:rPr>
          <w:sz w:val="22"/>
          <w:szCs w:val="22"/>
        </w:rPr>
        <w:t>5</w:t>
      </w:r>
      <w:r w:rsidR="00B033BF" w:rsidRPr="00D10FAD">
        <w:rPr>
          <w:sz w:val="22"/>
          <w:szCs w:val="22"/>
        </w:rPr>
        <w:t>,</w:t>
      </w:r>
      <w:r w:rsidR="00576182">
        <w:rPr>
          <w:sz w:val="22"/>
          <w:szCs w:val="22"/>
        </w:rPr>
        <w:t>0</w:t>
      </w:r>
      <w:r w:rsidR="00EE62FF">
        <w:rPr>
          <w:sz w:val="22"/>
          <w:szCs w:val="22"/>
        </w:rPr>
        <w:t>79</w:t>
      </w:r>
      <w:r w:rsidRPr="00D10FAD">
        <w:rPr>
          <w:sz w:val="22"/>
          <w:szCs w:val="22"/>
        </w:rPr>
        <w:t xml:space="preserve"> annual benefit) to the Insolvency Service finances but as most of the new DRO cases will primarily be people able to access </w:t>
      </w:r>
      <w:r w:rsidR="00B033BF" w:rsidRPr="00D10FAD">
        <w:rPr>
          <w:sz w:val="22"/>
          <w:szCs w:val="22"/>
        </w:rPr>
        <w:t xml:space="preserve">debt advice </w:t>
      </w:r>
      <w:r w:rsidRPr="00D10FAD">
        <w:rPr>
          <w:sz w:val="22"/>
          <w:szCs w:val="22"/>
        </w:rPr>
        <w:t>for the first time, should the risk materialise the overall impact on DRO numbers will be small.</w:t>
      </w:r>
    </w:p>
    <w:p w14:paraId="78DA93FF" w14:textId="1746A25B" w:rsidR="00AD6507" w:rsidRPr="00D10FAD" w:rsidRDefault="00AD6507" w:rsidP="00D10FAD">
      <w:pPr>
        <w:autoSpaceDE w:val="0"/>
        <w:autoSpaceDN w:val="0"/>
        <w:adjustRightInd w:val="0"/>
        <w:spacing w:after="120"/>
        <w:rPr>
          <w:sz w:val="22"/>
          <w:szCs w:val="22"/>
        </w:rPr>
      </w:pPr>
      <w:r w:rsidRPr="00D10FAD">
        <w:rPr>
          <w:sz w:val="22"/>
          <w:szCs w:val="22"/>
        </w:rPr>
        <w:t>1</w:t>
      </w:r>
      <w:r w:rsidR="00576182">
        <w:rPr>
          <w:sz w:val="22"/>
          <w:szCs w:val="22"/>
        </w:rPr>
        <w:t>23</w:t>
      </w:r>
      <w:r w:rsidRPr="00D10FAD">
        <w:rPr>
          <w:sz w:val="22"/>
          <w:szCs w:val="22"/>
        </w:rPr>
        <w:t xml:space="preserve">. Conversely, if the number entering a DRO that would have otherwise entered debtor bankruptcy is smaller or larger than expected the cost to business will be too. Overall, </w:t>
      </w:r>
      <w:r w:rsidR="008B7AD3">
        <w:rPr>
          <w:sz w:val="22"/>
          <w:szCs w:val="22"/>
        </w:rPr>
        <w:t>ju</w:t>
      </w:r>
      <w:r w:rsidRPr="00D10FAD">
        <w:rPr>
          <w:sz w:val="22"/>
          <w:szCs w:val="22"/>
        </w:rPr>
        <w:t xml:space="preserve">st </w:t>
      </w:r>
      <w:r w:rsidR="00257406" w:rsidRPr="00D10FAD">
        <w:rPr>
          <w:sz w:val="22"/>
          <w:szCs w:val="22"/>
        </w:rPr>
        <w:t>1</w:t>
      </w:r>
      <w:r w:rsidR="00576182">
        <w:rPr>
          <w:sz w:val="22"/>
          <w:szCs w:val="22"/>
        </w:rPr>
        <w:t>2</w:t>
      </w:r>
      <w:r w:rsidRPr="00D10FAD">
        <w:rPr>
          <w:color w:val="FF0000"/>
          <w:sz w:val="22"/>
          <w:szCs w:val="22"/>
        </w:rPr>
        <w:t xml:space="preserve"> </w:t>
      </w:r>
      <w:r w:rsidRPr="00D10FAD">
        <w:rPr>
          <w:sz w:val="22"/>
          <w:szCs w:val="22"/>
        </w:rPr>
        <w:t xml:space="preserve">cases </w:t>
      </w:r>
      <w:r w:rsidR="008B7AD3">
        <w:rPr>
          <w:sz w:val="22"/>
          <w:szCs w:val="22"/>
        </w:rPr>
        <w:t xml:space="preserve">are </w:t>
      </w:r>
      <w:r w:rsidRPr="00D10FAD">
        <w:rPr>
          <w:sz w:val="22"/>
          <w:szCs w:val="22"/>
        </w:rPr>
        <w:t xml:space="preserve">expected out of the </w:t>
      </w:r>
      <w:r w:rsidR="00257406" w:rsidRPr="00D10FAD">
        <w:rPr>
          <w:sz w:val="22"/>
          <w:szCs w:val="22"/>
        </w:rPr>
        <w:t>2</w:t>
      </w:r>
      <w:r w:rsidR="00576182">
        <w:rPr>
          <w:sz w:val="22"/>
          <w:szCs w:val="22"/>
        </w:rPr>
        <w:t>80</w:t>
      </w:r>
      <w:r w:rsidRPr="00D10FAD">
        <w:rPr>
          <w:sz w:val="22"/>
          <w:szCs w:val="22"/>
        </w:rPr>
        <w:t xml:space="preserve"> additional DROs anticipated, constituting just </w:t>
      </w:r>
      <w:r w:rsidR="008B7AD3">
        <w:rPr>
          <w:sz w:val="22"/>
          <w:szCs w:val="22"/>
        </w:rPr>
        <w:t>4</w:t>
      </w:r>
      <w:r w:rsidRPr="00D10FAD">
        <w:rPr>
          <w:sz w:val="22"/>
          <w:szCs w:val="22"/>
        </w:rPr>
        <w:t xml:space="preserve">%. Importantly, there will be no cost to creditors for cases that would otherwise enter debtor bankruptcy (as the returns in debtor bankruptcy and DRO for newly eligible will be zero) so the only cost will be the cost </w:t>
      </w:r>
      <w:r w:rsidR="00984D44" w:rsidRPr="00D10FAD">
        <w:rPr>
          <w:sz w:val="22"/>
          <w:szCs w:val="22"/>
        </w:rPr>
        <w:t>to</w:t>
      </w:r>
      <w:r w:rsidRPr="00D10FAD">
        <w:rPr>
          <w:sz w:val="22"/>
          <w:szCs w:val="22"/>
        </w:rPr>
        <w:t xml:space="preserve"> competent authorities from increased DRO demand. The current cost attributable to these cases, assuming </w:t>
      </w:r>
      <w:r w:rsidR="008B7AD3">
        <w:rPr>
          <w:sz w:val="22"/>
          <w:szCs w:val="22"/>
        </w:rPr>
        <w:t>10</w:t>
      </w:r>
      <w:r w:rsidRPr="00D10FAD">
        <w:rPr>
          <w:sz w:val="22"/>
          <w:szCs w:val="22"/>
        </w:rPr>
        <w:t>% (</w:t>
      </w:r>
      <w:r w:rsidR="00257406" w:rsidRPr="00D10FAD">
        <w:rPr>
          <w:sz w:val="22"/>
          <w:szCs w:val="22"/>
        </w:rPr>
        <w:t>1</w:t>
      </w:r>
      <w:r w:rsidR="005D6318">
        <w:rPr>
          <w:sz w:val="22"/>
          <w:szCs w:val="22"/>
        </w:rPr>
        <w:t>2</w:t>
      </w:r>
      <w:r w:rsidRPr="00D10FAD">
        <w:rPr>
          <w:sz w:val="22"/>
          <w:szCs w:val="22"/>
        </w:rPr>
        <w:t>) enter a DRO, is £</w:t>
      </w:r>
      <w:r w:rsidR="00E72138">
        <w:rPr>
          <w:sz w:val="22"/>
          <w:szCs w:val="22"/>
        </w:rPr>
        <w:t>3,750</w:t>
      </w:r>
      <w:r w:rsidRPr="00D10FAD">
        <w:rPr>
          <w:sz w:val="22"/>
          <w:szCs w:val="22"/>
        </w:rPr>
        <w:t>, this increases to £</w:t>
      </w:r>
      <w:r w:rsidR="00E72138">
        <w:rPr>
          <w:sz w:val="22"/>
          <w:szCs w:val="22"/>
        </w:rPr>
        <w:t>18,750</w:t>
      </w:r>
      <w:r w:rsidRPr="00D10FAD">
        <w:rPr>
          <w:sz w:val="22"/>
          <w:szCs w:val="22"/>
        </w:rPr>
        <w:t xml:space="preserve"> for 50% and £</w:t>
      </w:r>
      <w:r w:rsidR="00E72138">
        <w:rPr>
          <w:sz w:val="22"/>
          <w:szCs w:val="22"/>
        </w:rPr>
        <w:t>37</w:t>
      </w:r>
      <w:r w:rsidR="002B79BE" w:rsidRPr="00D10FAD">
        <w:rPr>
          <w:sz w:val="22"/>
          <w:szCs w:val="22"/>
        </w:rPr>
        <w:t>,</w:t>
      </w:r>
      <w:r w:rsidR="00E72138">
        <w:rPr>
          <w:sz w:val="22"/>
          <w:szCs w:val="22"/>
        </w:rPr>
        <w:t>500</w:t>
      </w:r>
      <w:r w:rsidRPr="00D10FAD">
        <w:rPr>
          <w:sz w:val="22"/>
          <w:szCs w:val="22"/>
        </w:rPr>
        <w:t xml:space="preserve"> if all eligible bankruptcies enter a DRO. Therefore, the increased cost, should there be greater than expected numbers of these cases is small compared to the ongoing costs calculated.</w:t>
      </w:r>
    </w:p>
    <w:p w14:paraId="04BF6091" w14:textId="19D8D375" w:rsidR="005D2A94" w:rsidRPr="00D10FAD" w:rsidRDefault="00500CFE" w:rsidP="00D10FAD">
      <w:pPr>
        <w:autoSpaceDE w:val="0"/>
        <w:autoSpaceDN w:val="0"/>
        <w:adjustRightInd w:val="0"/>
        <w:spacing w:after="120"/>
        <w:rPr>
          <w:sz w:val="22"/>
          <w:szCs w:val="22"/>
        </w:rPr>
      </w:pPr>
      <w:r w:rsidRPr="00D10FAD">
        <w:rPr>
          <w:sz w:val="22"/>
          <w:szCs w:val="22"/>
        </w:rPr>
        <w:t>12</w:t>
      </w:r>
      <w:r w:rsidR="008270C2">
        <w:rPr>
          <w:sz w:val="22"/>
          <w:szCs w:val="22"/>
        </w:rPr>
        <w:t>4</w:t>
      </w:r>
      <w:r w:rsidR="004A5EEB" w:rsidRPr="00D10FAD">
        <w:rPr>
          <w:sz w:val="22"/>
          <w:szCs w:val="22"/>
        </w:rPr>
        <w:t>.</w:t>
      </w:r>
      <w:r w:rsidRPr="00D10FAD">
        <w:rPr>
          <w:sz w:val="22"/>
          <w:szCs w:val="22"/>
        </w:rPr>
        <w:t xml:space="preserve"> </w:t>
      </w:r>
      <w:r w:rsidR="008456F2" w:rsidRPr="00D10FAD">
        <w:rPr>
          <w:sz w:val="22"/>
          <w:szCs w:val="22"/>
        </w:rPr>
        <w:t xml:space="preserve">The original proposal in England and Wales was to raise the limit on surplus monthly income to £100. </w:t>
      </w:r>
      <w:r w:rsidR="00A11C61" w:rsidRPr="00D10FAD">
        <w:rPr>
          <w:sz w:val="22"/>
          <w:szCs w:val="22"/>
        </w:rPr>
        <w:t>However</w:t>
      </w:r>
      <w:r w:rsidR="000122E1">
        <w:rPr>
          <w:sz w:val="22"/>
          <w:szCs w:val="22"/>
        </w:rPr>
        <w:t>,</w:t>
      </w:r>
      <w:r w:rsidR="00A11C61" w:rsidRPr="00D10FAD">
        <w:rPr>
          <w:sz w:val="22"/>
          <w:szCs w:val="22"/>
        </w:rPr>
        <w:t xml:space="preserve"> </w:t>
      </w:r>
      <w:r w:rsidR="00981E39" w:rsidRPr="00D10FAD">
        <w:rPr>
          <w:sz w:val="22"/>
          <w:szCs w:val="22"/>
        </w:rPr>
        <w:t xml:space="preserve">concerns were raised </w:t>
      </w:r>
      <w:r w:rsidR="000122E1">
        <w:rPr>
          <w:sz w:val="22"/>
          <w:szCs w:val="22"/>
        </w:rPr>
        <w:t xml:space="preserve">by </w:t>
      </w:r>
      <w:r w:rsidR="00981E39" w:rsidRPr="00D10FAD">
        <w:rPr>
          <w:sz w:val="22"/>
          <w:szCs w:val="22"/>
        </w:rPr>
        <w:t xml:space="preserve">creditors </w:t>
      </w:r>
      <w:r w:rsidR="00A11C61" w:rsidRPr="00D10FAD">
        <w:rPr>
          <w:sz w:val="22"/>
          <w:szCs w:val="22"/>
        </w:rPr>
        <w:t xml:space="preserve">during the consultation that an increase to this </w:t>
      </w:r>
      <w:r w:rsidR="00981E39" w:rsidRPr="00D10FAD">
        <w:rPr>
          <w:sz w:val="22"/>
          <w:szCs w:val="22"/>
        </w:rPr>
        <w:t xml:space="preserve">level would </w:t>
      </w:r>
      <w:r w:rsidR="00A11C61" w:rsidRPr="00D10FAD">
        <w:rPr>
          <w:sz w:val="22"/>
          <w:szCs w:val="22"/>
        </w:rPr>
        <w:t xml:space="preserve">pose a significant risk due to </w:t>
      </w:r>
      <w:r w:rsidRPr="00D10FAD">
        <w:rPr>
          <w:sz w:val="22"/>
          <w:szCs w:val="22"/>
        </w:rPr>
        <w:t xml:space="preserve">the severity of the impact </w:t>
      </w:r>
      <w:r w:rsidR="00A11C61" w:rsidRPr="00D10FAD">
        <w:rPr>
          <w:sz w:val="22"/>
          <w:szCs w:val="22"/>
        </w:rPr>
        <w:t xml:space="preserve">it </w:t>
      </w:r>
      <w:r w:rsidRPr="00D10FAD">
        <w:rPr>
          <w:sz w:val="22"/>
          <w:szCs w:val="22"/>
        </w:rPr>
        <w:t>would have on potential returns to creditors</w:t>
      </w:r>
      <w:r w:rsidR="000E3543" w:rsidRPr="00D10FAD">
        <w:rPr>
          <w:sz w:val="22"/>
          <w:szCs w:val="22"/>
        </w:rPr>
        <w:t xml:space="preserve">.  </w:t>
      </w:r>
      <w:r w:rsidR="001957EA" w:rsidRPr="00D10FAD">
        <w:rPr>
          <w:sz w:val="22"/>
          <w:szCs w:val="22"/>
        </w:rPr>
        <w:t xml:space="preserve">It could have </w:t>
      </w:r>
      <w:r w:rsidR="004A5EEB" w:rsidRPr="00D10FAD">
        <w:rPr>
          <w:sz w:val="22"/>
          <w:szCs w:val="22"/>
        </w:rPr>
        <w:t>le</w:t>
      </w:r>
      <w:r w:rsidR="001957EA" w:rsidRPr="00D10FAD">
        <w:rPr>
          <w:sz w:val="22"/>
          <w:szCs w:val="22"/>
        </w:rPr>
        <w:t>d</w:t>
      </w:r>
      <w:r w:rsidR="004A5EEB" w:rsidRPr="00D10FAD">
        <w:rPr>
          <w:sz w:val="22"/>
          <w:szCs w:val="22"/>
        </w:rPr>
        <w:t xml:space="preserve"> to </w:t>
      </w:r>
      <w:r w:rsidR="005476CD" w:rsidRPr="00D10FAD">
        <w:rPr>
          <w:sz w:val="22"/>
          <w:szCs w:val="22"/>
        </w:rPr>
        <w:t xml:space="preserve">creditors being forced to write off more </w:t>
      </w:r>
      <w:r w:rsidR="00A7233F" w:rsidRPr="00D10FAD">
        <w:rPr>
          <w:sz w:val="22"/>
          <w:szCs w:val="22"/>
        </w:rPr>
        <w:t>debt, resulting in an</w:t>
      </w:r>
      <w:r w:rsidR="005476CD" w:rsidRPr="00D10FAD">
        <w:rPr>
          <w:sz w:val="22"/>
          <w:szCs w:val="22"/>
        </w:rPr>
        <w:t xml:space="preserve"> </w:t>
      </w:r>
      <w:r w:rsidR="004A5EEB" w:rsidRPr="00D10FAD">
        <w:rPr>
          <w:sz w:val="22"/>
          <w:szCs w:val="22"/>
        </w:rPr>
        <w:t xml:space="preserve">adverse impact on the accessibility and cost of credit.  </w:t>
      </w:r>
      <w:r w:rsidR="00A11C61" w:rsidRPr="00D10FAD">
        <w:rPr>
          <w:sz w:val="22"/>
          <w:szCs w:val="22"/>
        </w:rPr>
        <w:t xml:space="preserve">It would have represented a </w:t>
      </w:r>
      <w:r w:rsidR="00981E39" w:rsidRPr="00D10FAD">
        <w:rPr>
          <w:sz w:val="22"/>
          <w:szCs w:val="22"/>
        </w:rPr>
        <w:t xml:space="preserve">distinct </w:t>
      </w:r>
      <w:r w:rsidR="00A11C61" w:rsidRPr="00D10FAD">
        <w:rPr>
          <w:sz w:val="22"/>
          <w:szCs w:val="22"/>
        </w:rPr>
        <w:t xml:space="preserve">move away from the “can pay, will pay” ethos, which </w:t>
      </w:r>
      <w:r w:rsidR="00981E39" w:rsidRPr="00D10FAD">
        <w:rPr>
          <w:sz w:val="22"/>
          <w:szCs w:val="22"/>
        </w:rPr>
        <w:t xml:space="preserve">motivates </w:t>
      </w:r>
      <w:r w:rsidR="00A11C61" w:rsidRPr="00D10FAD">
        <w:rPr>
          <w:sz w:val="22"/>
          <w:szCs w:val="22"/>
        </w:rPr>
        <w:t xml:space="preserve">people </w:t>
      </w:r>
      <w:r w:rsidR="00981E39" w:rsidRPr="00D10FAD">
        <w:rPr>
          <w:sz w:val="22"/>
          <w:szCs w:val="22"/>
        </w:rPr>
        <w:t xml:space="preserve">to </w:t>
      </w:r>
      <w:proofErr w:type="gramStart"/>
      <w:r w:rsidR="00981E39" w:rsidRPr="00D10FAD">
        <w:rPr>
          <w:sz w:val="22"/>
          <w:szCs w:val="22"/>
        </w:rPr>
        <w:t>enter</w:t>
      </w:r>
      <w:r w:rsidR="00A11C61" w:rsidRPr="00D10FAD">
        <w:rPr>
          <w:sz w:val="22"/>
          <w:szCs w:val="22"/>
        </w:rPr>
        <w:t xml:space="preserve"> into</w:t>
      </w:r>
      <w:proofErr w:type="gramEnd"/>
      <w:r w:rsidR="00A11C61" w:rsidRPr="00D10FAD">
        <w:rPr>
          <w:sz w:val="22"/>
          <w:szCs w:val="22"/>
        </w:rPr>
        <w:t xml:space="preserve"> arrangement</w:t>
      </w:r>
      <w:r w:rsidR="000122E1">
        <w:rPr>
          <w:sz w:val="22"/>
          <w:szCs w:val="22"/>
        </w:rPr>
        <w:t>s</w:t>
      </w:r>
      <w:r w:rsidR="00A11C61" w:rsidRPr="00D10FAD">
        <w:rPr>
          <w:sz w:val="22"/>
          <w:szCs w:val="22"/>
        </w:rPr>
        <w:t xml:space="preserve"> with their creditors to pay contributions of less than £100 per month. </w:t>
      </w:r>
      <w:r w:rsidR="005D2A94" w:rsidRPr="00D10FAD">
        <w:rPr>
          <w:sz w:val="22"/>
          <w:szCs w:val="22"/>
        </w:rPr>
        <w:t>Potential k</w:t>
      </w:r>
      <w:r w:rsidR="00981E39" w:rsidRPr="00D10FAD">
        <w:rPr>
          <w:sz w:val="22"/>
          <w:szCs w:val="22"/>
        </w:rPr>
        <w:t>nock</w:t>
      </w:r>
      <w:r w:rsidR="000122E1">
        <w:rPr>
          <w:sz w:val="22"/>
          <w:szCs w:val="22"/>
        </w:rPr>
        <w:t>-</w:t>
      </w:r>
      <w:r w:rsidR="00981E39" w:rsidRPr="00D10FAD">
        <w:rPr>
          <w:sz w:val="22"/>
          <w:szCs w:val="22"/>
        </w:rPr>
        <w:t xml:space="preserve">on </w:t>
      </w:r>
      <w:r w:rsidR="005D2A94" w:rsidRPr="00D10FAD">
        <w:rPr>
          <w:sz w:val="22"/>
          <w:szCs w:val="22"/>
        </w:rPr>
        <w:t>effects identified by creditors were that:</w:t>
      </w:r>
    </w:p>
    <w:p w14:paraId="34815D12" w14:textId="77777777" w:rsidR="005D2A94" w:rsidRPr="00D10FAD" w:rsidRDefault="005D2A94" w:rsidP="00D10FAD">
      <w:pPr>
        <w:numPr>
          <w:ilvl w:val="0"/>
          <w:numId w:val="8"/>
        </w:numPr>
        <w:autoSpaceDE w:val="0"/>
        <w:autoSpaceDN w:val="0"/>
        <w:adjustRightInd w:val="0"/>
        <w:spacing w:after="120"/>
        <w:rPr>
          <w:sz w:val="22"/>
          <w:szCs w:val="22"/>
        </w:rPr>
      </w:pPr>
      <w:r w:rsidRPr="00D10FAD">
        <w:rPr>
          <w:sz w:val="22"/>
          <w:szCs w:val="22"/>
        </w:rPr>
        <w:t>The cost of credit would be likely to rise for everyone as creditors would have to write off significantly more debt than before, and</w:t>
      </w:r>
    </w:p>
    <w:p w14:paraId="61DC3934" w14:textId="09E10932" w:rsidR="005D2A94" w:rsidRPr="00D10FAD" w:rsidRDefault="005D2A94" w:rsidP="00D10FAD">
      <w:pPr>
        <w:numPr>
          <w:ilvl w:val="0"/>
          <w:numId w:val="8"/>
        </w:numPr>
        <w:autoSpaceDE w:val="0"/>
        <w:autoSpaceDN w:val="0"/>
        <w:adjustRightInd w:val="0"/>
        <w:spacing w:after="120"/>
        <w:rPr>
          <w:sz w:val="22"/>
          <w:szCs w:val="22"/>
        </w:rPr>
      </w:pPr>
      <w:r w:rsidRPr="00D10FAD">
        <w:rPr>
          <w:sz w:val="22"/>
          <w:szCs w:val="22"/>
        </w:rPr>
        <w:t xml:space="preserve">It could lead to a change in lending policies that would deny access to mainstream credit to </w:t>
      </w:r>
      <w:r w:rsidR="000122E1">
        <w:rPr>
          <w:sz w:val="22"/>
          <w:szCs w:val="22"/>
        </w:rPr>
        <w:t>t</w:t>
      </w:r>
      <w:r w:rsidRPr="00D10FAD">
        <w:rPr>
          <w:sz w:val="22"/>
          <w:szCs w:val="22"/>
        </w:rPr>
        <w:t xml:space="preserve">hose in </w:t>
      </w:r>
      <w:proofErr w:type="gramStart"/>
      <w:r w:rsidRPr="00D10FAD">
        <w:rPr>
          <w:sz w:val="22"/>
          <w:szCs w:val="22"/>
        </w:rPr>
        <w:t>low income</w:t>
      </w:r>
      <w:proofErr w:type="gramEnd"/>
      <w:r w:rsidRPr="00D10FAD">
        <w:rPr>
          <w:sz w:val="22"/>
          <w:szCs w:val="22"/>
        </w:rPr>
        <w:t xml:space="preserve"> brackets who need it the most</w:t>
      </w:r>
      <w:r w:rsidR="000122E1">
        <w:rPr>
          <w:sz w:val="22"/>
          <w:szCs w:val="22"/>
        </w:rPr>
        <w:t>.</w:t>
      </w:r>
    </w:p>
    <w:p w14:paraId="77CFAC24" w14:textId="40336EFE" w:rsidR="00500CFE" w:rsidRPr="00D10FAD" w:rsidRDefault="000122E1" w:rsidP="00D10FAD">
      <w:pPr>
        <w:autoSpaceDE w:val="0"/>
        <w:autoSpaceDN w:val="0"/>
        <w:adjustRightInd w:val="0"/>
        <w:spacing w:after="120"/>
        <w:rPr>
          <w:sz w:val="22"/>
          <w:szCs w:val="22"/>
        </w:rPr>
      </w:pPr>
      <w:r>
        <w:rPr>
          <w:sz w:val="22"/>
          <w:szCs w:val="22"/>
        </w:rPr>
        <w:t>12</w:t>
      </w:r>
      <w:r w:rsidR="008270C2">
        <w:rPr>
          <w:sz w:val="22"/>
          <w:szCs w:val="22"/>
        </w:rPr>
        <w:t>5</w:t>
      </w:r>
      <w:r>
        <w:rPr>
          <w:sz w:val="22"/>
          <w:szCs w:val="22"/>
        </w:rPr>
        <w:t xml:space="preserve">. </w:t>
      </w:r>
      <w:r w:rsidR="001957EA" w:rsidRPr="00D10FAD">
        <w:rPr>
          <w:sz w:val="22"/>
          <w:szCs w:val="22"/>
        </w:rPr>
        <w:t xml:space="preserve">To mitigate this risk the revised cap on surplus income was instead set at £75.  </w:t>
      </w:r>
      <w:r w:rsidR="004A5EEB" w:rsidRPr="00D10FAD">
        <w:rPr>
          <w:sz w:val="22"/>
          <w:szCs w:val="22"/>
        </w:rPr>
        <w:t>Th</w:t>
      </w:r>
      <w:r w:rsidR="001957EA" w:rsidRPr="00D10FAD">
        <w:rPr>
          <w:sz w:val="22"/>
          <w:szCs w:val="22"/>
        </w:rPr>
        <w:t>is</w:t>
      </w:r>
      <w:r w:rsidR="004901E0" w:rsidRPr="00D10FAD">
        <w:rPr>
          <w:sz w:val="22"/>
          <w:szCs w:val="22"/>
        </w:rPr>
        <w:t xml:space="preserve"> reduces </w:t>
      </w:r>
      <w:r w:rsidR="001957EA" w:rsidRPr="00D10FAD">
        <w:rPr>
          <w:sz w:val="22"/>
          <w:szCs w:val="22"/>
        </w:rPr>
        <w:t xml:space="preserve">the impact </w:t>
      </w:r>
      <w:r w:rsidR="00500CFE" w:rsidRPr="00D10FAD">
        <w:rPr>
          <w:sz w:val="22"/>
          <w:szCs w:val="22"/>
        </w:rPr>
        <w:t xml:space="preserve">which </w:t>
      </w:r>
      <w:r w:rsidR="001957EA" w:rsidRPr="00D10FAD">
        <w:rPr>
          <w:sz w:val="22"/>
          <w:szCs w:val="22"/>
        </w:rPr>
        <w:t>the increa</w:t>
      </w:r>
      <w:r w:rsidR="00500CFE" w:rsidRPr="00D10FAD">
        <w:rPr>
          <w:sz w:val="22"/>
          <w:szCs w:val="22"/>
        </w:rPr>
        <w:t>s</w:t>
      </w:r>
      <w:r w:rsidR="001957EA" w:rsidRPr="00D10FAD">
        <w:rPr>
          <w:sz w:val="22"/>
          <w:szCs w:val="22"/>
        </w:rPr>
        <w:t>e</w:t>
      </w:r>
      <w:r w:rsidR="00500CFE" w:rsidRPr="00D10FAD">
        <w:rPr>
          <w:sz w:val="22"/>
          <w:szCs w:val="22"/>
        </w:rPr>
        <w:t>s</w:t>
      </w:r>
      <w:r w:rsidR="001957EA" w:rsidRPr="00D10FAD">
        <w:rPr>
          <w:sz w:val="22"/>
          <w:szCs w:val="22"/>
        </w:rPr>
        <w:t xml:space="preserve"> </w:t>
      </w:r>
      <w:r w:rsidR="009C5761" w:rsidRPr="00D10FAD">
        <w:rPr>
          <w:sz w:val="22"/>
          <w:szCs w:val="22"/>
        </w:rPr>
        <w:t xml:space="preserve">to the monetary eligibility </w:t>
      </w:r>
      <w:r w:rsidR="00500CFE" w:rsidRPr="00D10FAD">
        <w:rPr>
          <w:sz w:val="22"/>
          <w:szCs w:val="22"/>
        </w:rPr>
        <w:t>limits</w:t>
      </w:r>
      <w:r w:rsidR="009C5761" w:rsidRPr="00D10FAD">
        <w:rPr>
          <w:sz w:val="22"/>
          <w:szCs w:val="22"/>
        </w:rPr>
        <w:t xml:space="preserve"> </w:t>
      </w:r>
      <w:r w:rsidR="00500CFE" w:rsidRPr="00D10FAD">
        <w:rPr>
          <w:sz w:val="22"/>
          <w:szCs w:val="22"/>
        </w:rPr>
        <w:t xml:space="preserve">for DROs will have </w:t>
      </w:r>
      <w:r w:rsidR="001957EA" w:rsidRPr="00D10FAD">
        <w:rPr>
          <w:sz w:val="22"/>
          <w:szCs w:val="22"/>
        </w:rPr>
        <w:t xml:space="preserve">on both formal and informal debt solutions, with just 13% of </w:t>
      </w:r>
      <w:r w:rsidR="00275370" w:rsidRPr="00D10FAD">
        <w:rPr>
          <w:sz w:val="22"/>
          <w:szCs w:val="22"/>
        </w:rPr>
        <w:t xml:space="preserve">those </w:t>
      </w:r>
      <w:r w:rsidR="001957EA" w:rsidRPr="00D10FAD">
        <w:rPr>
          <w:sz w:val="22"/>
          <w:szCs w:val="22"/>
        </w:rPr>
        <w:t>able to obtain a DR</w:t>
      </w:r>
      <w:r w:rsidR="00275370" w:rsidRPr="00D10FAD">
        <w:rPr>
          <w:sz w:val="22"/>
          <w:szCs w:val="22"/>
        </w:rPr>
        <w:t>O</w:t>
      </w:r>
      <w:r w:rsidR="001957EA" w:rsidRPr="00D10FAD">
        <w:rPr>
          <w:sz w:val="22"/>
          <w:szCs w:val="22"/>
        </w:rPr>
        <w:t xml:space="preserve"> for t</w:t>
      </w:r>
      <w:r w:rsidR="00275370" w:rsidRPr="00D10FAD">
        <w:rPr>
          <w:sz w:val="22"/>
          <w:szCs w:val="22"/>
        </w:rPr>
        <w:t>h</w:t>
      </w:r>
      <w:r w:rsidR="001957EA" w:rsidRPr="00D10FAD">
        <w:rPr>
          <w:sz w:val="22"/>
          <w:szCs w:val="22"/>
        </w:rPr>
        <w:t>e first tim</w:t>
      </w:r>
      <w:r w:rsidR="00275370" w:rsidRPr="00D10FAD">
        <w:rPr>
          <w:sz w:val="22"/>
          <w:szCs w:val="22"/>
        </w:rPr>
        <w:t>e</w:t>
      </w:r>
      <w:r w:rsidR="001957EA" w:rsidRPr="00D10FAD">
        <w:rPr>
          <w:sz w:val="22"/>
          <w:szCs w:val="22"/>
        </w:rPr>
        <w:t xml:space="preserve"> </w:t>
      </w:r>
      <w:r w:rsidR="009C5761" w:rsidRPr="00D10FAD">
        <w:rPr>
          <w:sz w:val="22"/>
          <w:szCs w:val="22"/>
        </w:rPr>
        <w:t xml:space="preserve">through debt advice expected to be people who would </w:t>
      </w:r>
      <w:r w:rsidR="001957EA" w:rsidRPr="00D10FAD">
        <w:rPr>
          <w:sz w:val="22"/>
          <w:szCs w:val="22"/>
        </w:rPr>
        <w:t xml:space="preserve">have </w:t>
      </w:r>
      <w:r w:rsidR="00275370" w:rsidRPr="00D10FAD">
        <w:rPr>
          <w:sz w:val="22"/>
          <w:szCs w:val="22"/>
        </w:rPr>
        <w:t>utilised a solution that would have resulted in a return to creditor</w:t>
      </w:r>
      <w:r w:rsidR="00500CFE" w:rsidRPr="00D10FAD">
        <w:rPr>
          <w:sz w:val="22"/>
          <w:szCs w:val="22"/>
        </w:rPr>
        <w:t>s</w:t>
      </w:r>
      <w:r w:rsidR="009C5761" w:rsidRPr="00D10FAD">
        <w:rPr>
          <w:sz w:val="22"/>
          <w:szCs w:val="22"/>
        </w:rPr>
        <w:t xml:space="preserve"> had the </w:t>
      </w:r>
      <w:r w:rsidR="00500CFE" w:rsidRPr="00D10FAD">
        <w:rPr>
          <w:sz w:val="22"/>
          <w:szCs w:val="22"/>
        </w:rPr>
        <w:t xml:space="preserve">eligibility limits for DROs not been increased. </w:t>
      </w:r>
    </w:p>
    <w:p w14:paraId="63F3B725" w14:textId="7B096B0D" w:rsidR="004A5EEB" w:rsidRPr="00D10FAD" w:rsidRDefault="00500CFE" w:rsidP="00D10FAD">
      <w:pPr>
        <w:autoSpaceDE w:val="0"/>
        <w:autoSpaceDN w:val="0"/>
        <w:adjustRightInd w:val="0"/>
        <w:spacing w:after="120"/>
        <w:rPr>
          <w:sz w:val="22"/>
          <w:szCs w:val="22"/>
        </w:rPr>
      </w:pPr>
      <w:r w:rsidRPr="00D10FAD">
        <w:rPr>
          <w:sz w:val="22"/>
          <w:szCs w:val="22"/>
        </w:rPr>
        <w:t>12</w:t>
      </w:r>
      <w:r w:rsidR="008270C2">
        <w:rPr>
          <w:sz w:val="22"/>
          <w:szCs w:val="22"/>
        </w:rPr>
        <w:t>6</w:t>
      </w:r>
      <w:r w:rsidRPr="00D10FAD">
        <w:rPr>
          <w:sz w:val="22"/>
          <w:szCs w:val="22"/>
        </w:rPr>
        <w:t xml:space="preserve">. As identified in the previous paragraph there is a risk of an unintended consequence around adverse changes to the cost and accessibility of credit that could disadvantage lower income brackets. This unintended consequence would stem from creditors being forced to write off a considerable amount of debt </w:t>
      </w:r>
      <w:proofErr w:type="gramStart"/>
      <w:r w:rsidRPr="00D10FAD">
        <w:rPr>
          <w:sz w:val="22"/>
          <w:szCs w:val="22"/>
        </w:rPr>
        <w:t>as a result of</w:t>
      </w:r>
      <w:proofErr w:type="gramEnd"/>
      <w:r w:rsidRPr="00D10FAD">
        <w:rPr>
          <w:sz w:val="22"/>
          <w:szCs w:val="22"/>
        </w:rPr>
        <w:t xml:space="preserve"> the changes and therefore needing to change lending practices. This risk has been mitigated by revising surplus income criteria to reduce the impact on creditors, whilst also still achieving the policy objective </w:t>
      </w:r>
      <w:r w:rsidR="0009034E">
        <w:rPr>
          <w:sz w:val="22"/>
          <w:szCs w:val="22"/>
        </w:rPr>
        <w:t>of</w:t>
      </w:r>
      <w:r w:rsidR="0009034E" w:rsidRPr="00D10FAD">
        <w:rPr>
          <w:sz w:val="22"/>
          <w:szCs w:val="22"/>
        </w:rPr>
        <w:t xml:space="preserve"> </w:t>
      </w:r>
      <w:r w:rsidRPr="00D10FAD">
        <w:rPr>
          <w:sz w:val="22"/>
          <w:szCs w:val="22"/>
        </w:rPr>
        <w:t>enabling more people with low surplus income to access debt relief.</w:t>
      </w:r>
    </w:p>
    <w:p w14:paraId="0A3A1AA7" w14:textId="0C80B0BE" w:rsidR="003C4AD8" w:rsidRPr="00D10FAD" w:rsidRDefault="003C4AD8" w:rsidP="00D10FAD">
      <w:pPr>
        <w:autoSpaceDE w:val="0"/>
        <w:autoSpaceDN w:val="0"/>
        <w:adjustRightInd w:val="0"/>
        <w:spacing w:after="120"/>
        <w:rPr>
          <w:sz w:val="22"/>
          <w:szCs w:val="22"/>
        </w:rPr>
      </w:pPr>
      <w:r w:rsidRPr="00D10FAD">
        <w:rPr>
          <w:sz w:val="22"/>
          <w:szCs w:val="22"/>
        </w:rPr>
        <w:t>12</w:t>
      </w:r>
      <w:r w:rsidR="008270C2">
        <w:rPr>
          <w:sz w:val="22"/>
          <w:szCs w:val="22"/>
        </w:rPr>
        <w:t>7</w:t>
      </w:r>
      <w:r w:rsidRPr="00D10FAD">
        <w:rPr>
          <w:sz w:val="22"/>
          <w:szCs w:val="22"/>
        </w:rPr>
        <w:t xml:space="preserve">. There is a risk that making it easier for individuals to write off problem debts may lead to them borrowing more recklessly and this moral hazard may worsen individual’s indebtedness instead of helping them. The Insolvency Service thinks the risk of this is low as a similar concern was raised when </w:t>
      </w:r>
      <w:r w:rsidRPr="00D10FAD">
        <w:rPr>
          <w:sz w:val="22"/>
          <w:szCs w:val="22"/>
        </w:rPr>
        <w:lastRenderedPageBreak/>
        <w:t xml:space="preserve">DROs were initially introduced in 2011 and we are not aware of any evidence linking reckless borrowing </w:t>
      </w:r>
      <w:r w:rsidR="00ED7EE4">
        <w:rPr>
          <w:sz w:val="22"/>
          <w:szCs w:val="22"/>
        </w:rPr>
        <w:t>to</w:t>
      </w:r>
      <w:r w:rsidRPr="00D10FAD">
        <w:rPr>
          <w:sz w:val="22"/>
          <w:szCs w:val="22"/>
        </w:rPr>
        <w:t xml:space="preserve"> the availability of DROs. The Insolvency Service applies an enforcement framework for DROs enabling abuse to be identified and action taken. </w:t>
      </w:r>
      <w:r w:rsidR="00FD5405" w:rsidRPr="00D10FAD">
        <w:rPr>
          <w:sz w:val="22"/>
          <w:szCs w:val="22"/>
        </w:rPr>
        <w:t xml:space="preserve">No-one </w:t>
      </w:r>
      <w:r w:rsidR="003B51F4" w:rsidRPr="00D10FAD">
        <w:rPr>
          <w:sz w:val="22"/>
          <w:szCs w:val="22"/>
        </w:rPr>
        <w:t xml:space="preserve">in Northern Ireland </w:t>
      </w:r>
      <w:r w:rsidR="00FD5405" w:rsidRPr="00D10FAD">
        <w:rPr>
          <w:sz w:val="22"/>
          <w:szCs w:val="22"/>
        </w:rPr>
        <w:t xml:space="preserve">is currently subject to a </w:t>
      </w:r>
      <w:r w:rsidRPr="00D10FAD">
        <w:rPr>
          <w:sz w:val="22"/>
          <w:szCs w:val="22"/>
        </w:rPr>
        <w:t xml:space="preserve">debt relief restriction order </w:t>
      </w:r>
      <w:r w:rsidR="00FD5405" w:rsidRPr="00D10FAD">
        <w:rPr>
          <w:sz w:val="22"/>
          <w:szCs w:val="22"/>
        </w:rPr>
        <w:t xml:space="preserve">or </w:t>
      </w:r>
      <w:r w:rsidRPr="00D10FAD">
        <w:rPr>
          <w:sz w:val="22"/>
          <w:szCs w:val="22"/>
        </w:rPr>
        <w:t>undertaking</w:t>
      </w:r>
      <w:r w:rsidR="00FD5405" w:rsidRPr="00D10FAD">
        <w:rPr>
          <w:sz w:val="22"/>
          <w:szCs w:val="22"/>
        </w:rPr>
        <w:t xml:space="preserve"> which indicates that there is very little </w:t>
      </w:r>
      <w:r w:rsidRPr="00D10FAD">
        <w:rPr>
          <w:sz w:val="22"/>
          <w:szCs w:val="22"/>
        </w:rPr>
        <w:t>abuse. The risk of abuse of DROs through recidivism is low as those entering one cannot enter again within 6 years and a DRO remains on an individual’s credit file for 6 years from approval date thus limiting their ability to obtain credit. Furthermore, if this risk were to materialise the potential risk to creditors, has been mitigated as the eligibility criteria have been chosen to balance the interest of both creditors and debtors.</w:t>
      </w:r>
    </w:p>
    <w:p w14:paraId="526C9E61" w14:textId="77777777" w:rsidR="00245F61" w:rsidRPr="00D10FAD" w:rsidRDefault="00245F61" w:rsidP="00D10FAD">
      <w:pPr>
        <w:autoSpaceDE w:val="0"/>
        <w:autoSpaceDN w:val="0"/>
        <w:adjustRightInd w:val="0"/>
        <w:spacing w:after="120"/>
        <w:rPr>
          <w:b/>
          <w:sz w:val="22"/>
          <w:szCs w:val="22"/>
        </w:rPr>
      </w:pPr>
      <w:r w:rsidRPr="00D10FAD">
        <w:rPr>
          <w:b/>
          <w:sz w:val="22"/>
          <w:szCs w:val="22"/>
        </w:rPr>
        <w:t xml:space="preserve">Monitoring &amp; Evaluation </w:t>
      </w:r>
    </w:p>
    <w:p w14:paraId="529F4807" w14:textId="3957C382" w:rsidR="002F14BE" w:rsidRPr="00D10FAD" w:rsidRDefault="00245F61" w:rsidP="00D10FAD">
      <w:pPr>
        <w:autoSpaceDE w:val="0"/>
        <w:autoSpaceDN w:val="0"/>
        <w:adjustRightInd w:val="0"/>
        <w:spacing w:after="120"/>
        <w:rPr>
          <w:sz w:val="22"/>
          <w:szCs w:val="22"/>
        </w:rPr>
      </w:pPr>
      <w:r w:rsidRPr="00D10FAD">
        <w:rPr>
          <w:sz w:val="22"/>
          <w:szCs w:val="22"/>
        </w:rPr>
        <w:t>12</w:t>
      </w:r>
      <w:r w:rsidR="008270C2">
        <w:rPr>
          <w:sz w:val="22"/>
          <w:szCs w:val="22"/>
        </w:rPr>
        <w:t>8</w:t>
      </w:r>
      <w:r w:rsidRPr="00D10FAD">
        <w:rPr>
          <w:sz w:val="22"/>
          <w:szCs w:val="22"/>
        </w:rPr>
        <w:t>. In line with Better Regulation guidance, a post-implementation review (PIR) of the measures will be conducted, making use of guidance on evaluation in the Magenta book</w:t>
      </w:r>
      <w:r w:rsidR="00BC257C">
        <w:rPr>
          <w:rStyle w:val="FootnoteReference"/>
          <w:sz w:val="22"/>
          <w:szCs w:val="22"/>
        </w:rPr>
        <w:footnoteReference w:id="25"/>
      </w:r>
      <w:r w:rsidRPr="00D10FAD">
        <w:rPr>
          <w:sz w:val="22"/>
          <w:szCs w:val="22"/>
        </w:rPr>
        <w:t xml:space="preserve">. This will occur within five years of the measures coming into force. The PIR will help inform policy making decisions within the Insolvency Service. </w:t>
      </w:r>
    </w:p>
    <w:p w14:paraId="2DAC00F9" w14:textId="0F17C7B0" w:rsidR="0035436E" w:rsidRPr="00D10FAD" w:rsidRDefault="00245F61" w:rsidP="00D10FAD">
      <w:pPr>
        <w:autoSpaceDE w:val="0"/>
        <w:autoSpaceDN w:val="0"/>
        <w:adjustRightInd w:val="0"/>
        <w:spacing w:after="120"/>
        <w:rPr>
          <w:sz w:val="22"/>
          <w:szCs w:val="22"/>
        </w:rPr>
      </w:pPr>
      <w:r w:rsidRPr="00D10FAD">
        <w:rPr>
          <w:sz w:val="22"/>
          <w:szCs w:val="22"/>
        </w:rPr>
        <w:t>12</w:t>
      </w:r>
      <w:r w:rsidR="008270C2">
        <w:rPr>
          <w:sz w:val="22"/>
          <w:szCs w:val="22"/>
        </w:rPr>
        <w:t>9</w:t>
      </w:r>
      <w:r w:rsidRPr="00D10FAD">
        <w:rPr>
          <w:sz w:val="22"/>
          <w:szCs w:val="22"/>
        </w:rPr>
        <w:t xml:space="preserve">. A logic model for the policy intervention can be seen below: </w:t>
      </w:r>
    </w:p>
    <w:p w14:paraId="46DB944E" w14:textId="3F66BB34" w:rsidR="00245F61" w:rsidRPr="00D10FAD" w:rsidRDefault="00BC257C" w:rsidP="00D10FAD">
      <w:pPr>
        <w:autoSpaceDE w:val="0"/>
        <w:autoSpaceDN w:val="0"/>
        <w:adjustRightInd w:val="0"/>
        <w:spacing w:after="120"/>
        <w:rPr>
          <w:b/>
          <w:sz w:val="22"/>
          <w:szCs w:val="22"/>
        </w:rPr>
      </w:pPr>
      <w:r w:rsidRPr="00D10FAD">
        <w:rPr>
          <w:b/>
          <w:sz w:val="22"/>
          <w:szCs w:val="22"/>
        </w:rPr>
        <w:t xml:space="preserve">Table </w:t>
      </w:r>
      <w:r w:rsidR="00ED7EE4">
        <w:rPr>
          <w:b/>
          <w:sz w:val="22"/>
          <w:szCs w:val="22"/>
        </w:rPr>
        <w:t>7</w:t>
      </w:r>
      <w:r w:rsidR="00245F61" w:rsidRPr="00D10FAD">
        <w:rPr>
          <w:b/>
          <w:sz w:val="22"/>
          <w:szCs w:val="22"/>
        </w:rPr>
        <w:t>: Logic model of the policy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600"/>
        <w:gridCol w:w="1944"/>
        <w:gridCol w:w="1843"/>
        <w:gridCol w:w="2391"/>
      </w:tblGrid>
      <w:tr w:rsidR="00735376" w:rsidRPr="00633593" w14:paraId="68A8FAF0" w14:textId="77777777" w:rsidTr="00D10FAD">
        <w:tc>
          <w:tcPr>
            <w:tcW w:w="2518" w:type="dxa"/>
            <w:shd w:val="clear" w:color="auto" w:fill="auto"/>
          </w:tcPr>
          <w:p w14:paraId="451EA3C0" w14:textId="77777777" w:rsidR="00245F61" w:rsidRPr="00D10FAD" w:rsidRDefault="00245F61" w:rsidP="00735376">
            <w:pPr>
              <w:autoSpaceDE w:val="0"/>
              <w:autoSpaceDN w:val="0"/>
              <w:adjustRightInd w:val="0"/>
              <w:rPr>
                <w:sz w:val="22"/>
                <w:szCs w:val="22"/>
              </w:rPr>
            </w:pPr>
            <w:r w:rsidRPr="00D10FAD">
              <w:rPr>
                <w:sz w:val="22"/>
                <w:szCs w:val="22"/>
              </w:rPr>
              <w:t>Context</w:t>
            </w:r>
          </w:p>
        </w:tc>
        <w:tc>
          <w:tcPr>
            <w:tcW w:w="1600" w:type="dxa"/>
            <w:shd w:val="clear" w:color="auto" w:fill="auto"/>
          </w:tcPr>
          <w:p w14:paraId="437CC44E" w14:textId="77777777" w:rsidR="00245F61" w:rsidRPr="00D10FAD" w:rsidRDefault="00245F61" w:rsidP="00735376">
            <w:pPr>
              <w:autoSpaceDE w:val="0"/>
              <w:autoSpaceDN w:val="0"/>
              <w:adjustRightInd w:val="0"/>
              <w:rPr>
                <w:sz w:val="22"/>
                <w:szCs w:val="22"/>
              </w:rPr>
            </w:pPr>
            <w:r w:rsidRPr="00D10FAD">
              <w:rPr>
                <w:sz w:val="22"/>
                <w:szCs w:val="22"/>
              </w:rPr>
              <w:t>Inputs</w:t>
            </w:r>
          </w:p>
        </w:tc>
        <w:tc>
          <w:tcPr>
            <w:tcW w:w="1944" w:type="dxa"/>
            <w:shd w:val="clear" w:color="auto" w:fill="auto"/>
          </w:tcPr>
          <w:p w14:paraId="2483D016" w14:textId="77777777" w:rsidR="00245F61" w:rsidRPr="00D10FAD" w:rsidRDefault="00245F61" w:rsidP="00735376">
            <w:pPr>
              <w:autoSpaceDE w:val="0"/>
              <w:autoSpaceDN w:val="0"/>
              <w:adjustRightInd w:val="0"/>
              <w:rPr>
                <w:sz w:val="22"/>
                <w:szCs w:val="22"/>
              </w:rPr>
            </w:pPr>
            <w:r w:rsidRPr="00D10FAD">
              <w:rPr>
                <w:sz w:val="22"/>
                <w:szCs w:val="22"/>
              </w:rPr>
              <w:t>Outputs</w:t>
            </w:r>
          </w:p>
        </w:tc>
        <w:tc>
          <w:tcPr>
            <w:tcW w:w="1843" w:type="dxa"/>
            <w:shd w:val="clear" w:color="auto" w:fill="auto"/>
          </w:tcPr>
          <w:p w14:paraId="6FD2971C" w14:textId="77777777" w:rsidR="00245F61" w:rsidRPr="00D10FAD" w:rsidRDefault="00245F61" w:rsidP="00735376">
            <w:pPr>
              <w:autoSpaceDE w:val="0"/>
              <w:autoSpaceDN w:val="0"/>
              <w:adjustRightInd w:val="0"/>
              <w:rPr>
                <w:sz w:val="22"/>
                <w:szCs w:val="22"/>
              </w:rPr>
            </w:pPr>
            <w:r w:rsidRPr="00D10FAD">
              <w:rPr>
                <w:sz w:val="22"/>
                <w:szCs w:val="22"/>
              </w:rPr>
              <w:t>Outcomes</w:t>
            </w:r>
          </w:p>
        </w:tc>
        <w:tc>
          <w:tcPr>
            <w:tcW w:w="2391" w:type="dxa"/>
            <w:shd w:val="clear" w:color="auto" w:fill="auto"/>
          </w:tcPr>
          <w:p w14:paraId="7CFBF312" w14:textId="77777777" w:rsidR="00245F61" w:rsidRPr="00D10FAD" w:rsidRDefault="00245F61" w:rsidP="00735376">
            <w:pPr>
              <w:autoSpaceDE w:val="0"/>
              <w:autoSpaceDN w:val="0"/>
              <w:adjustRightInd w:val="0"/>
              <w:rPr>
                <w:sz w:val="22"/>
                <w:szCs w:val="22"/>
              </w:rPr>
            </w:pPr>
            <w:r w:rsidRPr="00D10FAD">
              <w:rPr>
                <w:sz w:val="22"/>
                <w:szCs w:val="22"/>
              </w:rPr>
              <w:t>Impacts</w:t>
            </w:r>
          </w:p>
        </w:tc>
      </w:tr>
      <w:tr w:rsidR="00735376" w:rsidRPr="00633593" w14:paraId="0808F734" w14:textId="77777777" w:rsidTr="00D10FAD">
        <w:tc>
          <w:tcPr>
            <w:tcW w:w="2518" w:type="dxa"/>
            <w:shd w:val="clear" w:color="auto" w:fill="auto"/>
          </w:tcPr>
          <w:p w14:paraId="35AFBDB4" w14:textId="77777777" w:rsidR="00245F61" w:rsidRPr="00D10FAD" w:rsidRDefault="00245F61" w:rsidP="00735376">
            <w:pPr>
              <w:autoSpaceDE w:val="0"/>
              <w:autoSpaceDN w:val="0"/>
              <w:adjustRightInd w:val="0"/>
              <w:rPr>
                <w:sz w:val="22"/>
                <w:szCs w:val="22"/>
              </w:rPr>
            </w:pPr>
            <w:r w:rsidRPr="00D10FAD">
              <w:rPr>
                <w:sz w:val="22"/>
                <w:szCs w:val="22"/>
              </w:rPr>
              <w:t>DROs were introduced in 20</w:t>
            </w:r>
            <w:r w:rsidR="00970270" w:rsidRPr="00D10FAD">
              <w:rPr>
                <w:sz w:val="22"/>
                <w:szCs w:val="22"/>
              </w:rPr>
              <w:t>11</w:t>
            </w:r>
            <w:r w:rsidRPr="00D10FAD">
              <w:rPr>
                <w:sz w:val="22"/>
                <w:szCs w:val="22"/>
              </w:rPr>
              <w:t xml:space="preserve"> as a form of personal debt relief. </w:t>
            </w:r>
          </w:p>
          <w:p w14:paraId="320D672D" w14:textId="2E1112CE" w:rsidR="00245F61" w:rsidRPr="00D10FAD" w:rsidRDefault="00245F61" w:rsidP="00735376">
            <w:pPr>
              <w:autoSpaceDE w:val="0"/>
              <w:autoSpaceDN w:val="0"/>
              <w:adjustRightInd w:val="0"/>
              <w:rPr>
                <w:sz w:val="22"/>
                <w:szCs w:val="22"/>
              </w:rPr>
            </w:pPr>
            <w:r w:rsidRPr="00D10FAD">
              <w:rPr>
                <w:sz w:val="22"/>
                <w:szCs w:val="22"/>
              </w:rPr>
              <w:t>Changes to eligibility criteria were last made in 2016</w:t>
            </w:r>
            <w:r w:rsidR="00ED7EE4">
              <w:rPr>
                <w:sz w:val="22"/>
                <w:szCs w:val="22"/>
              </w:rPr>
              <w:t xml:space="preserve"> (the value at which a vehicle is disregarded was increased in 2024)</w:t>
            </w:r>
            <w:r w:rsidRPr="00D10FAD">
              <w:rPr>
                <w:sz w:val="22"/>
                <w:szCs w:val="22"/>
              </w:rPr>
              <w:t>.</w:t>
            </w:r>
          </w:p>
          <w:p w14:paraId="473BF972" w14:textId="77777777" w:rsidR="00DC1BF8" w:rsidRPr="00D10FAD" w:rsidRDefault="00DC1BF8" w:rsidP="00735376">
            <w:pPr>
              <w:autoSpaceDE w:val="0"/>
              <w:autoSpaceDN w:val="0"/>
              <w:adjustRightInd w:val="0"/>
              <w:rPr>
                <w:sz w:val="22"/>
                <w:szCs w:val="22"/>
              </w:rPr>
            </w:pPr>
          </w:p>
          <w:p w14:paraId="62DD6AEB" w14:textId="77777777" w:rsidR="00DC1BF8" w:rsidRPr="00D10FAD" w:rsidRDefault="00DC1BF8" w:rsidP="00735376">
            <w:pPr>
              <w:autoSpaceDE w:val="0"/>
              <w:autoSpaceDN w:val="0"/>
              <w:adjustRightInd w:val="0"/>
              <w:rPr>
                <w:sz w:val="22"/>
                <w:szCs w:val="22"/>
              </w:rPr>
            </w:pPr>
            <w:r w:rsidRPr="00D10FAD">
              <w:rPr>
                <w:sz w:val="22"/>
                <w:szCs w:val="22"/>
              </w:rPr>
              <w:t>The aim of this policy is to give more people with low-level assets, low surplus income and low levels of debt, who are experiencing financial distress, access to a suitable option for debt relief.</w:t>
            </w:r>
          </w:p>
        </w:tc>
        <w:tc>
          <w:tcPr>
            <w:tcW w:w="1600" w:type="dxa"/>
            <w:shd w:val="clear" w:color="auto" w:fill="auto"/>
          </w:tcPr>
          <w:p w14:paraId="635BB7C6" w14:textId="77777777" w:rsidR="00245F61" w:rsidRPr="00D10FAD" w:rsidRDefault="00DC1BF8" w:rsidP="00735376">
            <w:pPr>
              <w:autoSpaceDE w:val="0"/>
              <w:autoSpaceDN w:val="0"/>
              <w:adjustRightInd w:val="0"/>
              <w:rPr>
                <w:sz w:val="22"/>
                <w:szCs w:val="22"/>
              </w:rPr>
            </w:pPr>
            <w:r w:rsidRPr="00D10FAD">
              <w:rPr>
                <w:sz w:val="22"/>
                <w:szCs w:val="22"/>
              </w:rPr>
              <w:t>Changes to eligibility criteria made via secondary legislation</w:t>
            </w:r>
          </w:p>
        </w:tc>
        <w:tc>
          <w:tcPr>
            <w:tcW w:w="1944" w:type="dxa"/>
            <w:shd w:val="clear" w:color="auto" w:fill="auto"/>
          </w:tcPr>
          <w:p w14:paraId="50A6112D" w14:textId="77777777" w:rsidR="00245F61" w:rsidRPr="00D10FAD" w:rsidRDefault="00DC1BF8" w:rsidP="00735376">
            <w:pPr>
              <w:autoSpaceDE w:val="0"/>
              <w:autoSpaceDN w:val="0"/>
              <w:adjustRightInd w:val="0"/>
              <w:rPr>
                <w:sz w:val="22"/>
                <w:szCs w:val="22"/>
              </w:rPr>
            </w:pPr>
            <w:r w:rsidRPr="00D10FAD">
              <w:rPr>
                <w:sz w:val="22"/>
                <w:szCs w:val="22"/>
              </w:rPr>
              <w:t>More people can access DROs as a form of debt relief; both from debtor bankruptcy and (particularly) from people able to access a DRO for the first time through debt advice.</w:t>
            </w:r>
          </w:p>
        </w:tc>
        <w:tc>
          <w:tcPr>
            <w:tcW w:w="1843" w:type="dxa"/>
            <w:shd w:val="clear" w:color="auto" w:fill="auto"/>
          </w:tcPr>
          <w:p w14:paraId="0DEDDAEB" w14:textId="77777777" w:rsidR="00245F61" w:rsidRPr="00D10FAD" w:rsidRDefault="00DC1BF8" w:rsidP="00735376">
            <w:pPr>
              <w:autoSpaceDE w:val="0"/>
              <w:autoSpaceDN w:val="0"/>
              <w:adjustRightInd w:val="0"/>
              <w:rPr>
                <w:sz w:val="22"/>
                <w:szCs w:val="22"/>
              </w:rPr>
            </w:pPr>
            <w:r w:rsidRPr="00D10FAD">
              <w:rPr>
                <w:sz w:val="22"/>
                <w:szCs w:val="22"/>
              </w:rPr>
              <w:t>More people use DROs as a form of debt relief. Both from debtor bankruptcy and from people able to access a DRO for the first time through debt advice</w:t>
            </w:r>
          </w:p>
        </w:tc>
        <w:tc>
          <w:tcPr>
            <w:tcW w:w="2391" w:type="dxa"/>
            <w:shd w:val="clear" w:color="auto" w:fill="auto"/>
          </w:tcPr>
          <w:p w14:paraId="78F42E9A" w14:textId="77777777" w:rsidR="00245F61" w:rsidRPr="00D10FAD" w:rsidRDefault="00DC1BF8" w:rsidP="00735376">
            <w:pPr>
              <w:autoSpaceDE w:val="0"/>
              <w:autoSpaceDN w:val="0"/>
              <w:adjustRightInd w:val="0"/>
              <w:rPr>
                <w:sz w:val="22"/>
                <w:szCs w:val="22"/>
              </w:rPr>
            </w:pPr>
            <w:r w:rsidRPr="00D10FAD">
              <w:rPr>
                <w:sz w:val="22"/>
                <w:szCs w:val="22"/>
              </w:rPr>
              <w:t xml:space="preserve">Provides debt relief and eliminates the gap in the market allowing more people to make a 'fresh start'. This would bring wider societal &amp; economic </w:t>
            </w:r>
            <w:proofErr w:type="gramStart"/>
            <w:r w:rsidRPr="00D10FAD">
              <w:rPr>
                <w:sz w:val="22"/>
                <w:szCs w:val="22"/>
              </w:rPr>
              <w:t>benefits</w:t>
            </w:r>
            <w:proofErr w:type="gramEnd"/>
          </w:p>
          <w:p w14:paraId="4AACC3DA" w14:textId="77777777" w:rsidR="00DC1BF8" w:rsidRPr="00D10FAD" w:rsidRDefault="00DC1BF8" w:rsidP="00735376">
            <w:pPr>
              <w:autoSpaceDE w:val="0"/>
              <w:autoSpaceDN w:val="0"/>
              <w:adjustRightInd w:val="0"/>
              <w:rPr>
                <w:sz w:val="22"/>
                <w:szCs w:val="22"/>
              </w:rPr>
            </w:pPr>
          </w:p>
          <w:p w14:paraId="60E2706A" w14:textId="77777777" w:rsidR="00DC1BF8" w:rsidRPr="00D10FAD" w:rsidRDefault="00DC1BF8" w:rsidP="00735376">
            <w:pPr>
              <w:autoSpaceDE w:val="0"/>
              <w:autoSpaceDN w:val="0"/>
              <w:adjustRightInd w:val="0"/>
              <w:rPr>
                <w:sz w:val="22"/>
                <w:szCs w:val="22"/>
              </w:rPr>
            </w:pPr>
            <w:r w:rsidRPr="00D10FAD">
              <w:rPr>
                <w:sz w:val="22"/>
                <w:szCs w:val="22"/>
              </w:rPr>
              <w:t>Some cost will be incurred by business through loss of creditor returns and the cost of administrating the new policy.</w:t>
            </w:r>
          </w:p>
          <w:p w14:paraId="69FF73C3" w14:textId="77777777" w:rsidR="00DC1BF8" w:rsidRPr="00D10FAD" w:rsidRDefault="00DC1BF8" w:rsidP="00735376">
            <w:pPr>
              <w:autoSpaceDE w:val="0"/>
              <w:autoSpaceDN w:val="0"/>
              <w:adjustRightInd w:val="0"/>
              <w:rPr>
                <w:sz w:val="22"/>
                <w:szCs w:val="22"/>
              </w:rPr>
            </w:pPr>
          </w:p>
        </w:tc>
      </w:tr>
    </w:tbl>
    <w:p w14:paraId="287FBA1C" w14:textId="77777777" w:rsidR="008270C2" w:rsidRDefault="008270C2" w:rsidP="00D10FAD">
      <w:pPr>
        <w:autoSpaceDE w:val="0"/>
        <w:autoSpaceDN w:val="0"/>
        <w:adjustRightInd w:val="0"/>
        <w:spacing w:after="120"/>
        <w:rPr>
          <w:sz w:val="22"/>
          <w:szCs w:val="22"/>
        </w:rPr>
      </w:pPr>
    </w:p>
    <w:p w14:paraId="053E9980" w14:textId="1FEA05F0" w:rsidR="00970270" w:rsidRPr="00D10FAD" w:rsidRDefault="00DC1BF8" w:rsidP="00D10FAD">
      <w:pPr>
        <w:autoSpaceDE w:val="0"/>
        <w:autoSpaceDN w:val="0"/>
        <w:adjustRightInd w:val="0"/>
        <w:spacing w:after="120"/>
        <w:rPr>
          <w:sz w:val="22"/>
          <w:szCs w:val="22"/>
        </w:rPr>
      </w:pPr>
      <w:r w:rsidRPr="00D10FAD">
        <w:rPr>
          <w:sz w:val="22"/>
          <w:szCs w:val="22"/>
        </w:rPr>
        <w:t>1</w:t>
      </w:r>
      <w:r w:rsidR="008270C2">
        <w:rPr>
          <w:sz w:val="22"/>
          <w:szCs w:val="22"/>
        </w:rPr>
        <w:t>30</w:t>
      </w:r>
      <w:r w:rsidRPr="00D10FAD">
        <w:rPr>
          <w:sz w:val="22"/>
          <w:szCs w:val="22"/>
        </w:rPr>
        <w:t xml:space="preserve">. The PIR will be used to establish if: </w:t>
      </w:r>
    </w:p>
    <w:p w14:paraId="4D936465" w14:textId="6ADC09C0" w:rsidR="00970270" w:rsidRPr="00D10FAD" w:rsidRDefault="00DC1BF8" w:rsidP="00D10FAD">
      <w:pPr>
        <w:numPr>
          <w:ilvl w:val="0"/>
          <w:numId w:val="12"/>
        </w:numPr>
        <w:autoSpaceDE w:val="0"/>
        <w:autoSpaceDN w:val="0"/>
        <w:adjustRightInd w:val="0"/>
        <w:spacing w:after="120"/>
        <w:rPr>
          <w:sz w:val="22"/>
          <w:szCs w:val="22"/>
        </w:rPr>
      </w:pPr>
      <w:r w:rsidRPr="00D10FAD">
        <w:rPr>
          <w:sz w:val="22"/>
          <w:szCs w:val="22"/>
        </w:rPr>
        <w:t xml:space="preserve">The policy change met the </w:t>
      </w:r>
      <w:proofErr w:type="gramStart"/>
      <w:r w:rsidRPr="00D10FAD">
        <w:rPr>
          <w:sz w:val="22"/>
          <w:szCs w:val="22"/>
        </w:rPr>
        <w:t>objective</w:t>
      </w:r>
      <w:proofErr w:type="gramEnd"/>
      <w:r w:rsidRPr="00D10FAD">
        <w:rPr>
          <w:sz w:val="22"/>
          <w:szCs w:val="22"/>
        </w:rPr>
        <w:t xml:space="preserve"> </w:t>
      </w:r>
    </w:p>
    <w:p w14:paraId="2A7F4691" w14:textId="166F0C01" w:rsidR="00970270" w:rsidRPr="00D10FAD" w:rsidRDefault="00DC1BF8" w:rsidP="00D10FAD">
      <w:pPr>
        <w:numPr>
          <w:ilvl w:val="0"/>
          <w:numId w:val="12"/>
        </w:numPr>
        <w:autoSpaceDE w:val="0"/>
        <w:autoSpaceDN w:val="0"/>
        <w:adjustRightInd w:val="0"/>
        <w:spacing w:after="120"/>
        <w:rPr>
          <w:sz w:val="22"/>
          <w:szCs w:val="22"/>
        </w:rPr>
      </w:pPr>
      <w:r w:rsidRPr="00D10FAD">
        <w:rPr>
          <w:sz w:val="22"/>
          <w:szCs w:val="22"/>
        </w:rPr>
        <w:t xml:space="preserve">The policy change resulted in any unintended </w:t>
      </w:r>
      <w:proofErr w:type="gramStart"/>
      <w:r w:rsidRPr="00D10FAD">
        <w:rPr>
          <w:sz w:val="22"/>
          <w:szCs w:val="22"/>
        </w:rPr>
        <w:t>consequences</w:t>
      </w:r>
      <w:proofErr w:type="gramEnd"/>
      <w:r w:rsidRPr="00D10FAD">
        <w:rPr>
          <w:sz w:val="22"/>
          <w:szCs w:val="22"/>
        </w:rPr>
        <w:t xml:space="preserve"> </w:t>
      </w:r>
    </w:p>
    <w:p w14:paraId="6FC2F447" w14:textId="3D2C4294" w:rsidR="00245F61" w:rsidRPr="00D10FAD" w:rsidRDefault="00DC1BF8" w:rsidP="00D10FAD">
      <w:pPr>
        <w:numPr>
          <w:ilvl w:val="0"/>
          <w:numId w:val="12"/>
        </w:numPr>
        <w:autoSpaceDE w:val="0"/>
        <w:autoSpaceDN w:val="0"/>
        <w:adjustRightInd w:val="0"/>
        <w:spacing w:after="120"/>
        <w:rPr>
          <w:sz w:val="22"/>
          <w:szCs w:val="22"/>
        </w:rPr>
      </w:pPr>
      <w:r w:rsidRPr="00D10FAD">
        <w:rPr>
          <w:sz w:val="22"/>
          <w:szCs w:val="22"/>
        </w:rPr>
        <w:t>If there are any opportunities to reduce the burden on business.</w:t>
      </w:r>
    </w:p>
    <w:p w14:paraId="2B06634A" w14:textId="4A5B7456" w:rsidR="00DC1BF8" w:rsidRPr="00D10FAD" w:rsidRDefault="00DC1BF8" w:rsidP="00D10FAD">
      <w:pPr>
        <w:autoSpaceDE w:val="0"/>
        <w:autoSpaceDN w:val="0"/>
        <w:adjustRightInd w:val="0"/>
        <w:spacing w:after="120"/>
        <w:rPr>
          <w:sz w:val="22"/>
          <w:szCs w:val="22"/>
        </w:rPr>
      </w:pPr>
      <w:r w:rsidRPr="00D10FAD">
        <w:rPr>
          <w:sz w:val="22"/>
          <w:szCs w:val="22"/>
        </w:rPr>
        <w:t>1</w:t>
      </w:r>
      <w:r w:rsidR="008270C2">
        <w:rPr>
          <w:sz w:val="22"/>
          <w:szCs w:val="22"/>
        </w:rPr>
        <w:t>31</w:t>
      </w:r>
      <w:r w:rsidRPr="00D10FAD">
        <w:rPr>
          <w:sz w:val="22"/>
          <w:szCs w:val="22"/>
        </w:rPr>
        <w:t xml:space="preserve">. In line with Magenta book guidance, a proportionate PIR will be carried out; as the equivalent annual net direct cost to business in this impact assessment comfortably falls under the threshold of £50m, at which a more substantial review would be required. </w:t>
      </w:r>
    </w:p>
    <w:p w14:paraId="5BACA05A" w14:textId="6DC5BB38" w:rsidR="00DC1BF8" w:rsidRPr="00D10FAD" w:rsidRDefault="00DC1BF8" w:rsidP="00D10FAD">
      <w:pPr>
        <w:autoSpaceDE w:val="0"/>
        <w:autoSpaceDN w:val="0"/>
        <w:adjustRightInd w:val="0"/>
        <w:spacing w:after="120"/>
        <w:rPr>
          <w:sz w:val="22"/>
          <w:szCs w:val="22"/>
        </w:rPr>
      </w:pPr>
      <w:r w:rsidRPr="00D10FAD">
        <w:rPr>
          <w:sz w:val="22"/>
          <w:szCs w:val="22"/>
        </w:rPr>
        <w:t>1</w:t>
      </w:r>
      <w:r w:rsidR="008270C2">
        <w:rPr>
          <w:sz w:val="22"/>
          <w:szCs w:val="22"/>
        </w:rPr>
        <w:t>32</w:t>
      </w:r>
      <w:r w:rsidRPr="00D10FAD">
        <w:rPr>
          <w:sz w:val="22"/>
          <w:szCs w:val="22"/>
        </w:rPr>
        <w:t xml:space="preserve">. It is expected that the PIR will take an impact evaluation approach, to understand if the outcomes have been achieved. This will be achieved via a before and after study. </w:t>
      </w:r>
    </w:p>
    <w:p w14:paraId="2D16E9CA" w14:textId="2B669A40" w:rsidR="00DC1BF8" w:rsidRPr="00D10FAD" w:rsidRDefault="00DC1BF8" w:rsidP="00D10FAD">
      <w:pPr>
        <w:autoSpaceDE w:val="0"/>
        <w:autoSpaceDN w:val="0"/>
        <w:adjustRightInd w:val="0"/>
        <w:spacing w:after="120"/>
        <w:rPr>
          <w:sz w:val="22"/>
          <w:szCs w:val="22"/>
        </w:rPr>
      </w:pPr>
      <w:r w:rsidRPr="00D10FAD">
        <w:rPr>
          <w:sz w:val="22"/>
          <w:szCs w:val="22"/>
        </w:rPr>
        <w:t>1</w:t>
      </w:r>
      <w:r w:rsidR="008270C2">
        <w:rPr>
          <w:sz w:val="22"/>
          <w:szCs w:val="22"/>
        </w:rPr>
        <w:t>33</w:t>
      </w:r>
      <w:r w:rsidRPr="00D10FAD">
        <w:rPr>
          <w:sz w:val="22"/>
          <w:szCs w:val="22"/>
        </w:rPr>
        <w:t>.</w:t>
      </w:r>
      <w:r w:rsidR="00ED7EE4">
        <w:rPr>
          <w:sz w:val="22"/>
          <w:szCs w:val="22"/>
        </w:rPr>
        <w:t>D</w:t>
      </w:r>
      <w:r w:rsidRPr="00D10FAD">
        <w:rPr>
          <w:sz w:val="22"/>
          <w:szCs w:val="22"/>
        </w:rPr>
        <w:t>ue to the nature of this policy, estimating the counterfactual</w:t>
      </w:r>
      <w:r w:rsidR="00BC257C">
        <w:rPr>
          <w:rStyle w:val="FootnoteReference"/>
          <w:sz w:val="22"/>
          <w:szCs w:val="22"/>
        </w:rPr>
        <w:footnoteReference w:id="26"/>
      </w:r>
      <w:r w:rsidRPr="00D10FAD">
        <w:rPr>
          <w:sz w:val="22"/>
          <w:szCs w:val="22"/>
        </w:rPr>
        <w:t xml:space="preserve"> for the policy objective will be possible as the number of DRO cases under the new criteria in the counterfactual will be zero. However, attributing causation to the policy will be more difficult, and the PIR narrative will need to be clear that the number of DRO cases under the new criteria could be impacted by multiple factors, in addition to the policy intervention alone. </w:t>
      </w:r>
    </w:p>
    <w:p w14:paraId="08C02BDB" w14:textId="7D783AF8" w:rsidR="00DC1BF8" w:rsidRPr="00D10FAD" w:rsidRDefault="00DC1BF8" w:rsidP="00D10FAD">
      <w:pPr>
        <w:autoSpaceDE w:val="0"/>
        <w:autoSpaceDN w:val="0"/>
        <w:adjustRightInd w:val="0"/>
        <w:spacing w:after="120"/>
        <w:rPr>
          <w:sz w:val="22"/>
          <w:szCs w:val="22"/>
        </w:rPr>
      </w:pPr>
      <w:r w:rsidRPr="00D10FAD">
        <w:rPr>
          <w:sz w:val="22"/>
          <w:szCs w:val="22"/>
        </w:rPr>
        <w:lastRenderedPageBreak/>
        <w:t>13</w:t>
      </w:r>
      <w:r w:rsidR="008270C2">
        <w:rPr>
          <w:sz w:val="22"/>
          <w:szCs w:val="22"/>
        </w:rPr>
        <w:t>4</w:t>
      </w:r>
      <w:r w:rsidRPr="00D10FAD">
        <w:rPr>
          <w:sz w:val="22"/>
          <w:szCs w:val="22"/>
        </w:rPr>
        <w:t xml:space="preserve">. The analysis will rely heavily on monitoring data. Monitoring data can be collected through Insolvency Service Management Information, Insolvency </w:t>
      </w:r>
      <w:proofErr w:type="gramStart"/>
      <w:r w:rsidRPr="00D10FAD">
        <w:rPr>
          <w:sz w:val="22"/>
          <w:szCs w:val="22"/>
        </w:rPr>
        <w:t>Statistics</w:t>
      </w:r>
      <w:proofErr w:type="gramEnd"/>
      <w:r w:rsidRPr="00D10FAD">
        <w:rPr>
          <w:sz w:val="22"/>
          <w:szCs w:val="22"/>
        </w:rPr>
        <w:t xml:space="preserve"> and collaboration with DRO providers. </w:t>
      </w:r>
    </w:p>
    <w:p w14:paraId="7F947867" w14:textId="7804C11D" w:rsidR="00245F61" w:rsidRPr="00D10FAD" w:rsidRDefault="00DC1BF8" w:rsidP="00D10FAD">
      <w:pPr>
        <w:autoSpaceDE w:val="0"/>
        <w:autoSpaceDN w:val="0"/>
        <w:adjustRightInd w:val="0"/>
        <w:spacing w:after="120"/>
        <w:rPr>
          <w:sz w:val="22"/>
          <w:szCs w:val="22"/>
        </w:rPr>
      </w:pPr>
      <w:r w:rsidRPr="00D10FAD">
        <w:rPr>
          <w:sz w:val="22"/>
          <w:szCs w:val="22"/>
        </w:rPr>
        <w:t>13</w:t>
      </w:r>
      <w:r w:rsidR="008270C2">
        <w:rPr>
          <w:sz w:val="22"/>
          <w:szCs w:val="22"/>
        </w:rPr>
        <w:t>5</w:t>
      </w:r>
      <w:r w:rsidRPr="00D10FAD">
        <w:rPr>
          <w:sz w:val="22"/>
          <w:szCs w:val="22"/>
        </w:rPr>
        <w:t>. An important aspect of this PIR will be to check the assumption around the flows from debtor bankruptcy into DROs. It is expected that sensitivity analysis will be used to check this assumption. As noted earlier, internal analysis carried out by the Insolvency Service in England and Wales found this did not materialise as expected after changes to DRO eligibility in 2015.</w:t>
      </w:r>
      <w:r w:rsidR="00BC257C" w:rsidRPr="00BC257C" w:rsidDel="00BC257C">
        <w:rPr>
          <w:sz w:val="22"/>
          <w:szCs w:val="22"/>
        </w:rPr>
        <w:t xml:space="preserve"> </w:t>
      </w:r>
      <w:permEnd w:id="1076504152"/>
    </w:p>
    <w:sectPr w:rsidR="00245F61" w:rsidRPr="00D10FAD" w:rsidSect="001641CF">
      <w:pgSz w:w="11906" w:h="16838"/>
      <w:pgMar w:top="540" w:right="926" w:bottom="720" w:left="9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9E58E" w14:textId="77777777" w:rsidR="00BC257C" w:rsidRDefault="00BC257C" w:rsidP="00FB254B">
      <w:r>
        <w:separator/>
      </w:r>
    </w:p>
  </w:endnote>
  <w:endnote w:type="continuationSeparator" w:id="0">
    <w:p w14:paraId="4E8C6EDE" w14:textId="77777777" w:rsidR="00BC257C" w:rsidRDefault="00BC257C" w:rsidP="00FB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3E848" w14:textId="77777777" w:rsidR="00BC257C" w:rsidRDefault="00BC257C" w:rsidP="00FB254B">
      <w:r>
        <w:separator/>
      </w:r>
    </w:p>
  </w:footnote>
  <w:footnote w:type="continuationSeparator" w:id="0">
    <w:p w14:paraId="6ACAD957" w14:textId="77777777" w:rsidR="00BC257C" w:rsidRDefault="00BC257C" w:rsidP="00FB254B">
      <w:r>
        <w:continuationSeparator/>
      </w:r>
    </w:p>
  </w:footnote>
  <w:footnote w:id="1">
    <w:p w14:paraId="26F2BB1E" w14:textId="77777777" w:rsidR="00BC257C" w:rsidRDefault="00BC257C">
      <w:pPr>
        <w:pStyle w:val="FootnoteText"/>
      </w:pPr>
      <w:r>
        <w:rPr>
          <w:rStyle w:val="FootnoteReference"/>
        </w:rPr>
        <w:footnoteRef/>
      </w:r>
      <w:r>
        <w:t xml:space="preserve"> </w:t>
      </w:r>
      <w:r w:rsidRPr="006D5F15">
        <w:t>https://www.legislation.gov.uk/nisr/2016/418/contents/made</w:t>
      </w:r>
    </w:p>
  </w:footnote>
  <w:footnote w:id="2">
    <w:p w14:paraId="490141F8" w14:textId="77777777" w:rsidR="00BC257C" w:rsidRDefault="00BC257C">
      <w:pPr>
        <w:pStyle w:val="FootnoteText"/>
      </w:pPr>
      <w:r>
        <w:rPr>
          <w:rStyle w:val="FootnoteReference"/>
        </w:rPr>
        <w:footnoteRef/>
      </w:r>
      <w:r>
        <w:t xml:space="preserve"> DRO applications are made through authorised intermediaries. These are highly trained debt advisers funded and authorised by competent authorities.</w:t>
      </w:r>
    </w:p>
  </w:footnote>
  <w:footnote w:id="3">
    <w:p w14:paraId="504C994A" w14:textId="77777777" w:rsidR="00BC257C" w:rsidRDefault="00BC257C">
      <w:pPr>
        <w:pStyle w:val="FootnoteText"/>
      </w:pPr>
      <w:r>
        <w:rPr>
          <w:rStyle w:val="FootnoteReference"/>
        </w:rPr>
        <w:footnoteRef/>
      </w:r>
      <w:r>
        <w:t xml:space="preserve"> A competent authority is a body designated by the Department as having the power to authorise intermediaries</w:t>
      </w:r>
    </w:p>
  </w:footnote>
  <w:footnote w:id="4">
    <w:p w14:paraId="25A18FB0" w14:textId="77777777" w:rsidR="00BC257C" w:rsidRDefault="00BC257C">
      <w:pPr>
        <w:pStyle w:val="FootnoteText"/>
      </w:pPr>
      <w:r>
        <w:rPr>
          <w:rStyle w:val="FootnoteReference"/>
        </w:rPr>
        <w:footnoteRef/>
      </w:r>
      <w:r>
        <w:t xml:space="preserve"> </w:t>
      </w:r>
      <w:r w:rsidRPr="00A356E8">
        <w:t>https://www.gov.uk/government/statistics/individual-insolvency-statistics-october-to-december-2020</w:t>
      </w:r>
    </w:p>
  </w:footnote>
  <w:footnote w:id="5">
    <w:p w14:paraId="332FCDCF" w14:textId="77777777" w:rsidR="00BC257C" w:rsidRDefault="00BC257C">
      <w:pPr>
        <w:pStyle w:val="FootnoteText"/>
      </w:pPr>
      <w:r>
        <w:rPr>
          <w:rStyle w:val="FootnoteReference"/>
        </w:rPr>
        <w:footnoteRef/>
      </w:r>
      <w:r>
        <w:t xml:space="preserve"> </w:t>
      </w:r>
      <w:r>
        <w:rPr>
          <w:rFonts w:ascii="Calibri" w:hAnsi="Calibri" w:cs="Calibri"/>
        </w:rPr>
        <w:t>https://www.gov.uk/government/publications/behaviour-change-guide-for-local-government-and-partners</w:t>
      </w:r>
    </w:p>
  </w:footnote>
  <w:footnote w:id="6">
    <w:p w14:paraId="4BF75FD5" w14:textId="77777777" w:rsidR="00BC257C" w:rsidRDefault="00BC257C" w:rsidP="00CC1421">
      <w:pPr>
        <w:autoSpaceDE w:val="0"/>
        <w:autoSpaceDN w:val="0"/>
        <w:adjustRightInd w:val="0"/>
        <w:rPr>
          <w:rFonts w:ascii="Calibri" w:hAnsi="Calibri" w:cs="Calibri"/>
          <w:sz w:val="20"/>
        </w:rPr>
      </w:pPr>
      <w:r>
        <w:rPr>
          <w:rStyle w:val="FootnoteReference"/>
        </w:rPr>
        <w:footnoteRef/>
      </w:r>
      <w:r>
        <w:t xml:space="preserve"> </w:t>
      </w:r>
      <w:r>
        <w:rPr>
          <w:rFonts w:ascii="Calibri" w:hAnsi="Calibri" w:cs="Calibri"/>
          <w:sz w:val="13"/>
          <w:szCs w:val="13"/>
        </w:rPr>
        <w:t xml:space="preserve"> </w:t>
      </w:r>
      <w:r>
        <w:rPr>
          <w:rFonts w:ascii="Calibri" w:hAnsi="Calibri" w:cs="Calibri"/>
          <w:sz w:val="20"/>
        </w:rPr>
        <w:t>https://www.fca.org.uk/news/statements/fca-announce-further-proposals-support-consumer-creditborrowers-</w:t>
      </w:r>
    </w:p>
    <w:p w14:paraId="6C243BDA" w14:textId="77777777" w:rsidR="00BC257C" w:rsidRDefault="00BC257C" w:rsidP="00CC1421">
      <w:pPr>
        <w:pStyle w:val="FootnoteText"/>
      </w:pPr>
      <w:r>
        <w:rPr>
          <w:rFonts w:ascii="Calibri" w:hAnsi="Calibri" w:cs="Calibri"/>
        </w:rPr>
        <w:t>impacted-coronavirus</w:t>
      </w:r>
    </w:p>
  </w:footnote>
  <w:footnote w:id="7">
    <w:p w14:paraId="111787E3" w14:textId="068EBBD9" w:rsidR="00BC257C" w:rsidRDefault="00BC257C">
      <w:pPr>
        <w:pStyle w:val="FootnoteText"/>
      </w:pPr>
      <w:r>
        <w:rPr>
          <w:rStyle w:val="FootnoteReference"/>
        </w:rPr>
        <w:footnoteRef/>
      </w:r>
      <w:r>
        <w:t xml:space="preserve"> https://www.gov.uk/government/statistics/gdp-deflators-at-market-prices-and-money-gdp-march-202</w:t>
      </w:r>
      <w:r w:rsidR="005C72FA">
        <w:t>4</w:t>
      </w:r>
      <w:r>
        <w:t>- budget</w:t>
      </w:r>
    </w:p>
  </w:footnote>
  <w:footnote w:id="8">
    <w:p w14:paraId="7A00296A" w14:textId="7B360E7B" w:rsidR="00BC257C" w:rsidRDefault="00BC257C">
      <w:pPr>
        <w:pStyle w:val="FootnoteText"/>
      </w:pPr>
      <w:r>
        <w:rPr>
          <w:rStyle w:val="FootnoteReference"/>
        </w:rPr>
        <w:footnoteRef/>
      </w:r>
      <w:r>
        <w:t xml:space="preserve"> </w:t>
      </w:r>
      <w:r w:rsidRPr="00F451F9">
        <w:t>https://capuk.org/downloads/general/Simplify-the-Solution.pdf</w:t>
      </w:r>
    </w:p>
  </w:footnote>
  <w:footnote w:id="9">
    <w:p w14:paraId="2DAC1F4B" w14:textId="34F58769" w:rsidR="00BC257C" w:rsidRDefault="00BC257C">
      <w:pPr>
        <w:pStyle w:val="FootnoteText"/>
      </w:pPr>
      <w:r>
        <w:rPr>
          <w:rStyle w:val="FootnoteReference"/>
        </w:rPr>
        <w:footnoteRef/>
      </w:r>
      <w:r>
        <w:t xml:space="preserve"> An analysis of data provided by StepChange shows that an additional 46, 50 and 52% of its clients would be eligible for a DRO using these criteria; this has been applied to Northern Ireland DRO volumes for 2019 (516) to arrive at 238, 259 and 268 additional DROs respectively. Statistics have been used for 2019 rather than 202</w:t>
      </w:r>
      <w:r w:rsidR="00C13CAF">
        <w:t>3</w:t>
      </w:r>
      <w:r>
        <w:t xml:space="preserve"> due to the impact of Covid-19 on 202</w:t>
      </w:r>
      <w:r w:rsidR="00C13CAF">
        <w:t>3</w:t>
      </w:r>
      <w:r>
        <w:t xml:space="preserve"> cases.</w:t>
      </w:r>
    </w:p>
  </w:footnote>
  <w:footnote w:id="10">
    <w:p w14:paraId="3BD46060" w14:textId="4E19B336" w:rsidR="00BC257C" w:rsidRDefault="00BC257C">
      <w:pPr>
        <w:pStyle w:val="FootnoteText"/>
      </w:pPr>
      <w:r>
        <w:rPr>
          <w:rStyle w:val="FootnoteReference"/>
        </w:rPr>
        <w:footnoteRef/>
      </w:r>
      <w:r>
        <w:t xml:space="preserve"> The numbers eligible are simply the percentage of debtor bankruptcies meeting the new eligibility criteria for the option multiplied by the average number of debtor bankruptcies during 2016-19, 282. Source: Insolvency Service Management Information</w:t>
      </w:r>
    </w:p>
  </w:footnote>
  <w:footnote w:id="11">
    <w:p w14:paraId="54FB144E" w14:textId="0689606A" w:rsidR="00BC257C" w:rsidRDefault="00BC257C">
      <w:pPr>
        <w:pStyle w:val="FootnoteText"/>
      </w:pPr>
      <w:r>
        <w:rPr>
          <w:rStyle w:val="FootnoteReference"/>
        </w:rPr>
        <w:footnoteRef/>
      </w:r>
      <w:r>
        <w:t xml:space="preserve"> A review of bankruptcy data (2016-19) following changes to the DRO eligibility criteria in England and Wales showed the effect on DRO numbers from newly eligible cases that would now enter a DRO that previously would have entered debtor bankruptcy was negligible. An assumption has been made that 25% will actually enter a DRO to reflect our efforts working with the sector in response to the Covid-19 pandemic.</w:t>
      </w:r>
    </w:p>
  </w:footnote>
  <w:footnote w:id="12">
    <w:p w14:paraId="380BA6B4" w14:textId="705915F1" w:rsidR="00BC257C" w:rsidRDefault="00BC257C">
      <w:pPr>
        <w:pStyle w:val="FootnoteText"/>
      </w:pPr>
      <w:r>
        <w:rPr>
          <w:rStyle w:val="FootnoteReference"/>
        </w:rPr>
        <w:footnoteRef/>
      </w:r>
      <w:r>
        <w:t xml:space="preserve"> </w:t>
      </w:r>
      <w:r w:rsidRPr="006817AA">
        <w:t>https://www.ons.gov.uk/employmenta</w:t>
      </w:r>
      <w:r>
        <w:t>ndlabourmarket/peopleinwork/ea</w:t>
      </w:r>
      <w:r w:rsidRPr="006817AA">
        <w:t>ingsandworkinghours/datasets/o</w:t>
      </w:r>
      <w:r w:rsidRPr="00425FCB">
        <w:t xml:space="preserve"> </w:t>
      </w:r>
      <w:r>
        <w:t>ccupation2digitsocashetable2</w:t>
      </w:r>
    </w:p>
  </w:footnote>
  <w:footnote w:id="13">
    <w:p w14:paraId="2B904822" w14:textId="4661FA28" w:rsidR="00BC257C" w:rsidRDefault="00BC257C">
      <w:pPr>
        <w:pStyle w:val="FootnoteText"/>
      </w:pPr>
      <w:r>
        <w:rPr>
          <w:rStyle w:val="FootnoteReference"/>
        </w:rPr>
        <w:footnoteRef/>
      </w:r>
      <w:r>
        <w:t xml:space="preserve"> </w:t>
      </w:r>
      <w:r w:rsidRPr="006817AA">
        <w:t>https://ec.europa.eu/eurostat/statistics</w:t>
      </w:r>
      <w:r>
        <w:t>e</w:t>
      </w:r>
      <w:r w:rsidRPr="006817AA">
        <w:t>xplained/index.php?title=File:Hourly_labour_costs_in_euro_in_2019.png</w:t>
      </w:r>
    </w:p>
  </w:footnote>
  <w:footnote w:id="14">
    <w:p w14:paraId="6584B52E" w14:textId="79121806" w:rsidR="00BC257C" w:rsidRDefault="00BC257C">
      <w:pPr>
        <w:pStyle w:val="FootnoteText"/>
      </w:pPr>
      <w:r>
        <w:rPr>
          <w:rStyle w:val="FootnoteReference"/>
        </w:rPr>
        <w:footnoteRef/>
      </w:r>
      <w:r>
        <w:t xml:space="preserve"> </w:t>
      </w:r>
      <w:r w:rsidRPr="00DA40FD">
        <w:rPr>
          <w:sz w:val="22"/>
          <w:szCs w:val="22"/>
        </w:rPr>
        <w:t xml:space="preserve">An analysis of data provided by StepChange shows that an additional </w:t>
      </w:r>
      <w:r w:rsidR="00EE60C8">
        <w:rPr>
          <w:sz w:val="22"/>
          <w:szCs w:val="22"/>
        </w:rPr>
        <w:t>52</w:t>
      </w:r>
      <w:r w:rsidRPr="00DA40FD">
        <w:rPr>
          <w:sz w:val="22"/>
          <w:szCs w:val="22"/>
        </w:rPr>
        <w:t>% of its clients would be eligible for a DRO using these criteria; this has been applied to Northern Ireland DRO volumes for 2019 (516) to arrive at 2</w:t>
      </w:r>
      <w:r w:rsidR="00EE60C8">
        <w:rPr>
          <w:sz w:val="22"/>
          <w:szCs w:val="22"/>
        </w:rPr>
        <w:t>6</w:t>
      </w:r>
      <w:r w:rsidRPr="00DA40FD">
        <w:rPr>
          <w:sz w:val="22"/>
          <w:szCs w:val="22"/>
        </w:rPr>
        <w:t>8 additional DROs.</w:t>
      </w:r>
    </w:p>
  </w:footnote>
  <w:footnote w:id="15">
    <w:p w14:paraId="02D7BC59" w14:textId="495FE8CE" w:rsidR="00BC257C" w:rsidRDefault="00BC257C">
      <w:pPr>
        <w:pStyle w:val="FootnoteText"/>
      </w:pPr>
      <w:r>
        <w:rPr>
          <w:rStyle w:val="FootnoteReference"/>
        </w:rPr>
        <w:footnoteRef/>
      </w:r>
      <w:r>
        <w:t xml:space="preserve"> </w:t>
      </w:r>
      <w:r w:rsidRPr="00810AA7">
        <w:rPr>
          <w:sz w:val="22"/>
          <w:szCs w:val="22"/>
        </w:rPr>
        <w:t xml:space="preserve">Insolvency Service bankruptcy data shows an additional </w:t>
      </w:r>
      <w:r w:rsidR="00547428">
        <w:rPr>
          <w:sz w:val="22"/>
          <w:szCs w:val="22"/>
        </w:rPr>
        <w:t>42</w:t>
      </w:r>
      <w:r w:rsidRPr="00810AA7">
        <w:rPr>
          <w:sz w:val="22"/>
          <w:szCs w:val="22"/>
        </w:rPr>
        <w:t>% of debtor bankruptcies meet the new eligibility criteria, multiplying this by the average number of debtor bankruptcies during 2016-19, 28</w:t>
      </w:r>
      <w:r w:rsidR="00911BE5">
        <w:rPr>
          <w:sz w:val="22"/>
          <w:szCs w:val="22"/>
        </w:rPr>
        <w:t>3</w:t>
      </w:r>
      <w:r w:rsidRPr="00810AA7">
        <w:rPr>
          <w:sz w:val="22"/>
          <w:szCs w:val="22"/>
        </w:rPr>
        <w:t xml:space="preserve">, results in </w:t>
      </w:r>
      <w:r w:rsidR="00547428">
        <w:rPr>
          <w:sz w:val="22"/>
          <w:szCs w:val="22"/>
        </w:rPr>
        <w:t>11</w:t>
      </w:r>
      <w:r w:rsidR="00911BE5">
        <w:rPr>
          <w:sz w:val="22"/>
          <w:szCs w:val="22"/>
        </w:rPr>
        <w:t>9</w:t>
      </w:r>
      <w:r w:rsidRPr="00810AA7">
        <w:rPr>
          <w:sz w:val="22"/>
          <w:szCs w:val="22"/>
        </w:rPr>
        <w:t xml:space="preserve"> cases eligible Source: Insolvency Service Management Information</w:t>
      </w:r>
    </w:p>
  </w:footnote>
  <w:footnote w:id="16">
    <w:p w14:paraId="3310CD97" w14:textId="1CECC3AC" w:rsidR="00BC257C" w:rsidRDefault="00BC257C">
      <w:pPr>
        <w:pStyle w:val="FootnoteText"/>
      </w:pPr>
      <w:r>
        <w:rPr>
          <w:rStyle w:val="FootnoteReference"/>
        </w:rPr>
        <w:footnoteRef/>
      </w:r>
      <w:r>
        <w:t xml:space="preserve"> </w:t>
      </w:r>
      <w:r w:rsidR="00226FE8">
        <w:t>A figure of 10</w:t>
      </w:r>
      <w:r w:rsidRPr="00FA1F43">
        <w:rPr>
          <w:sz w:val="22"/>
          <w:szCs w:val="22"/>
        </w:rPr>
        <w:t xml:space="preserve">% </w:t>
      </w:r>
      <w:r w:rsidR="00226FE8">
        <w:rPr>
          <w:sz w:val="22"/>
          <w:szCs w:val="22"/>
        </w:rPr>
        <w:t>was used in a de minimis form prepared for the increases to the limits to be made in England and Wales in June 2024</w:t>
      </w:r>
      <w:r w:rsidRPr="00FA1F43">
        <w:rPr>
          <w:sz w:val="22"/>
          <w:szCs w:val="22"/>
        </w:rPr>
        <w:t>.</w:t>
      </w:r>
    </w:p>
  </w:footnote>
  <w:footnote w:id="17">
    <w:p w14:paraId="3A479F2D" w14:textId="15EB0942" w:rsidR="00BC257C" w:rsidRDefault="00BC257C">
      <w:pPr>
        <w:pStyle w:val="FootnoteText"/>
      </w:pPr>
      <w:r>
        <w:rPr>
          <w:rStyle w:val="FootnoteReference"/>
        </w:rPr>
        <w:footnoteRef/>
      </w:r>
      <w:r>
        <w:t xml:space="preserve"> </w:t>
      </w:r>
      <w:r w:rsidRPr="00737A54">
        <w:rPr>
          <w:sz w:val="22"/>
          <w:szCs w:val="22"/>
        </w:rPr>
        <w:t>Refer to Figure 1 on debt solutions</w:t>
      </w:r>
    </w:p>
  </w:footnote>
  <w:footnote w:id="18">
    <w:p w14:paraId="2E18C362" w14:textId="4C43ADB9" w:rsidR="00BC257C" w:rsidRDefault="00BC257C">
      <w:pPr>
        <w:pStyle w:val="FootnoteText"/>
      </w:pPr>
      <w:r>
        <w:rPr>
          <w:rStyle w:val="FootnoteReference"/>
        </w:rPr>
        <w:footnoteRef/>
      </w:r>
      <w:r>
        <w:t xml:space="preserve"> </w:t>
      </w:r>
      <w:r w:rsidRPr="007D24E8">
        <w:rPr>
          <w:sz w:val="22"/>
          <w:szCs w:val="22"/>
        </w:rPr>
        <w:t>Returns for debt solutions have been sourced from PayPlan for the newly eligible cohort only, where this is not possible existing literature from the Money Advice Trust has been used.</w:t>
      </w:r>
    </w:p>
  </w:footnote>
  <w:footnote w:id="19">
    <w:p w14:paraId="4070CC15" w14:textId="77777777" w:rsidR="00BC257C" w:rsidRPr="002424E5" w:rsidRDefault="00BC257C" w:rsidP="00476FB9">
      <w:pPr>
        <w:autoSpaceDE w:val="0"/>
        <w:autoSpaceDN w:val="0"/>
        <w:adjustRightInd w:val="0"/>
        <w:rPr>
          <w:sz w:val="22"/>
          <w:szCs w:val="22"/>
        </w:rPr>
      </w:pPr>
      <w:r>
        <w:rPr>
          <w:rStyle w:val="FootnoteReference"/>
        </w:rPr>
        <w:footnoteRef/>
      </w:r>
      <w:r>
        <w:t xml:space="preserve"> </w:t>
      </w:r>
      <w:r w:rsidRPr="002424E5">
        <w:rPr>
          <w:sz w:val="22"/>
          <w:szCs w:val="22"/>
        </w:rPr>
        <w:t>Token payments are not a debt solution and typically involve making small payments (often £5 a month) for a short period of time (see page 67 in the report at the link below). The returns are therefore very low and assumed to be 0 in analysis.</w:t>
      </w:r>
    </w:p>
    <w:p w14:paraId="3085D299" w14:textId="4252201D" w:rsidR="00BC257C" w:rsidRDefault="00E56F31" w:rsidP="00476FB9">
      <w:pPr>
        <w:pStyle w:val="FootnoteText"/>
      </w:pPr>
      <w:hyperlink r:id="rId1" w:history="1">
        <w:r w:rsidR="00BC257C" w:rsidRPr="002424E5">
          <w:rPr>
            <w:rStyle w:val="Hyperlink"/>
            <w:sz w:val="22"/>
            <w:szCs w:val="22"/>
          </w:rPr>
          <w:t>http://www.infohub.moneyadvicetrust.org/content_files/files/jackie_wells___debt_advice___full_report1.pdf</w:t>
        </w:r>
      </w:hyperlink>
    </w:p>
  </w:footnote>
  <w:footnote w:id="20">
    <w:p w14:paraId="46B0B5D3" w14:textId="3849564C" w:rsidR="00BC257C" w:rsidRDefault="00BC257C">
      <w:pPr>
        <w:pStyle w:val="FootnoteText"/>
      </w:pPr>
      <w:r>
        <w:rPr>
          <w:rStyle w:val="FootnoteReference"/>
        </w:rPr>
        <w:footnoteRef/>
      </w:r>
      <w:r>
        <w:rPr>
          <w:color w:val="0563C2"/>
          <w:sz w:val="22"/>
          <w:szCs w:val="22"/>
        </w:rPr>
        <w:t xml:space="preserve"> </w:t>
      </w:r>
      <w:r w:rsidRPr="00C6157E">
        <w:rPr>
          <w:color w:val="0563C2"/>
          <w:sz w:val="22"/>
          <w:szCs w:val="22"/>
        </w:rPr>
        <w:t>https://masassets.blob.core.windows.net/cms/files/000/000/898/original/Economic_Impact_of_Debt_Advice_-_main_report.pdf</w:t>
      </w:r>
    </w:p>
  </w:footnote>
  <w:footnote w:id="21">
    <w:p w14:paraId="39BB90A2" w14:textId="2C6DD29C" w:rsidR="00BC257C" w:rsidRDefault="00BC257C">
      <w:pPr>
        <w:pStyle w:val="FootnoteText"/>
      </w:pPr>
      <w:r>
        <w:rPr>
          <w:rStyle w:val="FootnoteReference"/>
        </w:rPr>
        <w:footnoteRef/>
      </w:r>
      <w:r>
        <w:t xml:space="preserve"> </w:t>
      </w:r>
      <w:r w:rsidRPr="0021305D">
        <w:rPr>
          <w:sz w:val="22"/>
          <w:szCs w:val="22"/>
        </w:rPr>
        <w:t>The Impact of Independent Debt Advice Services on the UK Credit Industry, Jackie Wells with John Leston and</w:t>
      </w:r>
      <w:r>
        <w:rPr>
          <w:sz w:val="22"/>
          <w:szCs w:val="22"/>
        </w:rPr>
        <w:t xml:space="preserve"> </w:t>
      </w:r>
      <w:r w:rsidRPr="0021305D">
        <w:rPr>
          <w:sz w:val="22"/>
          <w:szCs w:val="22"/>
        </w:rPr>
        <w:t>Mary Gostelow, Friends</w:t>
      </w:r>
      <w:r>
        <w:rPr>
          <w:sz w:val="22"/>
          <w:szCs w:val="22"/>
        </w:rPr>
        <w:t xml:space="preserve"> </w:t>
      </w:r>
      <w:r w:rsidRPr="0021305D">
        <w:rPr>
          <w:sz w:val="22"/>
          <w:szCs w:val="22"/>
        </w:rPr>
        <w:t>[http://www.infohub.moneyadvicetrust.org/content_files/files/jackie_wells___debt_advice___full_report1.pdf[</w:t>
      </w:r>
    </w:p>
  </w:footnote>
  <w:footnote w:id="22">
    <w:p w14:paraId="6B61F090" w14:textId="1741B3FA" w:rsidR="00BC257C" w:rsidRDefault="00BC257C">
      <w:pPr>
        <w:pStyle w:val="FootnoteText"/>
      </w:pPr>
      <w:r>
        <w:rPr>
          <w:rStyle w:val="FootnoteReference"/>
        </w:rPr>
        <w:footnoteRef/>
      </w:r>
      <w:r>
        <w:t xml:space="preserve"> </w:t>
      </w:r>
      <w:r w:rsidRPr="00151642">
        <w:rPr>
          <w:sz w:val="22"/>
          <w:szCs w:val="22"/>
        </w:rPr>
        <w:t>Ofwat (2010) A Drain on Society: What can be done about water debt?</w:t>
      </w:r>
      <w:r>
        <w:rPr>
          <w:sz w:val="22"/>
          <w:szCs w:val="22"/>
        </w:rPr>
        <w:t xml:space="preserve"> </w:t>
      </w:r>
      <w:r w:rsidRPr="00151642">
        <w:rPr>
          <w:sz w:val="22"/>
          <w:szCs w:val="22"/>
        </w:rPr>
        <w:t>administrative and recovery costs is significant and will increase the net present value</w:t>
      </w:r>
    </w:p>
  </w:footnote>
  <w:footnote w:id="23">
    <w:p w14:paraId="4E341C22" w14:textId="77777777" w:rsidR="000A190C" w:rsidRPr="000A190C" w:rsidRDefault="000A190C" w:rsidP="000A190C">
      <w:pPr>
        <w:pStyle w:val="FootnoteText"/>
        <w:rPr>
          <w:rFonts w:ascii="Calibri" w:hAnsi="Calibri" w:cs="Times New Roman"/>
          <w:lang w:eastAsia="en-US"/>
        </w:rPr>
      </w:pPr>
      <w:r>
        <w:rPr>
          <w:rStyle w:val="FootnoteReference"/>
        </w:rPr>
        <w:footnoteRef/>
      </w:r>
      <w:r>
        <w:t xml:space="preserve"> </w:t>
      </w:r>
      <w:hyperlink r:id="rId2" w:history="1">
        <w:r>
          <w:rPr>
            <w:rStyle w:val="Hyperlink"/>
          </w:rPr>
          <w:t>Report on the Treatment of the Insolvency of Natural Persons (worldbank.org)</w:t>
        </w:r>
      </w:hyperlink>
    </w:p>
  </w:footnote>
  <w:footnote w:id="24">
    <w:p w14:paraId="0A85377E" w14:textId="2FFD5933" w:rsidR="00BC257C" w:rsidRDefault="00BC257C" w:rsidP="00D10FAD">
      <w:pPr>
        <w:autoSpaceDE w:val="0"/>
        <w:autoSpaceDN w:val="0"/>
        <w:adjustRightInd w:val="0"/>
        <w:spacing w:after="120"/>
      </w:pPr>
      <w:r>
        <w:rPr>
          <w:rStyle w:val="FootnoteReference"/>
        </w:rPr>
        <w:footnoteRef/>
      </w:r>
      <w:r>
        <w:t xml:space="preserve"> </w:t>
      </w:r>
      <w:r w:rsidRPr="002F4E27">
        <w:rPr>
          <w:sz w:val="22"/>
          <w:szCs w:val="22"/>
        </w:rPr>
        <w:t>The Impact of Independent Debt Advice Services on the UK Credit Industry, Jackie Wells with John Leston</w:t>
      </w:r>
      <w:r>
        <w:rPr>
          <w:sz w:val="22"/>
          <w:szCs w:val="22"/>
        </w:rPr>
        <w:t xml:space="preserve"> </w:t>
      </w:r>
      <w:r w:rsidRPr="002F4E27">
        <w:rPr>
          <w:sz w:val="22"/>
          <w:szCs w:val="22"/>
        </w:rPr>
        <w:t>and Mary Gostelow, Friends</w:t>
      </w:r>
      <w:r>
        <w:rPr>
          <w:sz w:val="22"/>
          <w:szCs w:val="22"/>
        </w:rPr>
        <w:t xml:space="preserve"> </w:t>
      </w:r>
      <w:r w:rsidRPr="002F4E27">
        <w:rPr>
          <w:sz w:val="22"/>
          <w:szCs w:val="22"/>
        </w:rPr>
        <w:t>http://www.infohub.moneyadvicetrust.org/content_files/files/jackie_wells___debt_advice___full_report1.pdf[</w:t>
      </w:r>
    </w:p>
  </w:footnote>
  <w:footnote w:id="25">
    <w:p w14:paraId="6528558E" w14:textId="12ACC088" w:rsidR="00BC257C" w:rsidRDefault="00BC257C">
      <w:pPr>
        <w:pStyle w:val="FootnoteText"/>
      </w:pPr>
      <w:r>
        <w:rPr>
          <w:rStyle w:val="FootnoteReference"/>
        </w:rPr>
        <w:footnoteRef/>
      </w:r>
      <w:r>
        <w:t xml:space="preserve"> </w:t>
      </w:r>
      <w:hyperlink r:id="rId3" w:history="1">
        <w:r w:rsidRPr="00326B19">
          <w:rPr>
            <w:rStyle w:val="Hyperlink"/>
            <w:sz w:val="22"/>
            <w:szCs w:val="22"/>
          </w:rPr>
          <w:t>https://www.gov.uk/government/publications/the-magenta-book</w:t>
        </w:r>
      </w:hyperlink>
    </w:p>
  </w:footnote>
  <w:footnote w:id="26">
    <w:p w14:paraId="4EB00BBC" w14:textId="7DCD478C" w:rsidR="00BC257C" w:rsidRDefault="00BC257C">
      <w:pPr>
        <w:pStyle w:val="FootnoteText"/>
      </w:pPr>
      <w:r>
        <w:rPr>
          <w:rStyle w:val="FootnoteReference"/>
        </w:rPr>
        <w:footnoteRef/>
      </w:r>
      <w:r>
        <w:t xml:space="preserve"> </w:t>
      </w:r>
      <w:r w:rsidRPr="000A5BD6">
        <w:rPr>
          <w:sz w:val="22"/>
          <w:szCs w:val="22"/>
        </w:rPr>
        <w:t>The counterfactual is what would have occurred without the policy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E2BC0"/>
    <w:multiLevelType w:val="hybridMultilevel"/>
    <w:tmpl w:val="5AACD1E6"/>
    <w:lvl w:ilvl="0" w:tplc="D00010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1191E"/>
    <w:multiLevelType w:val="hybridMultilevel"/>
    <w:tmpl w:val="5952F4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6759"/>
    <w:multiLevelType w:val="hybridMultilevel"/>
    <w:tmpl w:val="4070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4048E"/>
    <w:multiLevelType w:val="hybridMultilevel"/>
    <w:tmpl w:val="D5A0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C108B"/>
    <w:multiLevelType w:val="hybridMultilevel"/>
    <w:tmpl w:val="D4AE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08C"/>
    <w:multiLevelType w:val="hybridMultilevel"/>
    <w:tmpl w:val="83F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96EDC"/>
    <w:multiLevelType w:val="hybridMultilevel"/>
    <w:tmpl w:val="833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F3C3F"/>
    <w:multiLevelType w:val="hybridMultilevel"/>
    <w:tmpl w:val="E9002AA4"/>
    <w:lvl w:ilvl="0" w:tplc="8F7896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974B3"/>
    <w:multiLevelType w:val="hybridMultilevel"/>
    <w:tmpl w:val="84D6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300E6"/>
    <w:multiLevelType w:val="hybridMultilevel"/>
    <w:tmpl w:val="BEB6D596"/>
    <w:lvl w:ilvl="0" w:tplc="4838E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FE7E28"/>
    <w:multiLevelType w:val="hybridMultilevel"/>
    <w:tmpl w:val="D1EC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C5E66"/>
    <w:multiLevelType w:val="hybridMultilevel"/>
    <w:tmpl w:val="5AD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759764">
    <w:abstractNumId w:val="7"/>
  </w:num>
  <w:num w:numId="2" w16cid:durableId="305358786">
    <w:abstractNumId w:val="0"/>
  </w:num>
  <w:num w:numId="3" w16cid:durableId="1192456346">
    <w:abstractNumId w:val="1"/>
  </w:num>
  <w:num w:numId="4" w16cid:durableId="850530747">
    <w:abstractNumId w:val="6"/>
  </w:num>
  <w:num w:numId="5" w16cid:durableId="679429687">
    <w:abstractNumId w:val="10"/>
  </w:num>
  <w:num w:numId="6" w16cid:durableId="381103902">
    <w:abstractNumId w:val="5"/>
  </w:num>
  <w:num w:numId="7" w16cid:durableId="1866745773">
    <w:abstractNumId w:val="9"/>
  </w:num>
  <w:num w:numId="8" w16cid:durableId="1717073980">
    <w:abstractNumId w:val="4"/>
  </w:num>
  <w:num w:numId="9" w16cid:durableId="1962111516">
    <w:abstractNumId w:val="8"/>
  </w:num>
  <w:num w:numId="10" w16cid:durableId="156456987">
    <w:abstractNumId w:val="3"/>
  </w:num>
  <w:num w:numId="11" w16cid:durableId="1391420223">
    <w:abstractNumId w:val="11"/>
  </w:num>
  <w:num w:numId="12" w16cid:durableId="1015499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1DF0"/>
    <w:rsid w:val="00010F94"/>
    <w:rsid w:val="00011879"/>
    <w:rsid w:val="00011E5A"/>
    <w:rsid w:val="000122E1"/>
    <w:rsid w:val="00013EF0"/>
    <w:rsid w:val="00016823"/>
    <w:rsid w:val="00022D29"/>
    <w:rsid w:val="00024F4B"/>
    <w:rsid w:val="00040795"/>
    <w:rsid w:val="0004212A"/>
    <w:rsid w:val="00043284"/>
    <w:rsid w:val="000443EE"/>
    <w:rsid w:val="00046E87"/>
    <w:rsid w:val="000511B7"/>
    <w:rsid w:val="00052921"/>
    <w:rsid w:val="0005418C"/>
    <w:rsid w:val="00056D09"/>
    <w:rsid w:val="00062E04"/>
    <w:rsid w:val="00065726"/>
    <w:rsid w:val="000808B6"/>
    <w:rsid w:val="00082357"/>
    <w:rsid w:val="000846DA"/>
    <w:rsid w:val="0009034E"/>
    <w:rsid w:val="00092310"/>
    <w:rsid w:val="0009497A"/>
    <w:rsid w:val="00094EAC"/>
    <w:rsid w:val="00097A16"/>
    <w:rsid w:val="000A190C"/>
    <w:rsid w:val="000A4066"/>
    <w:rsid w:val="000B1A98"/>
    <w:rsid w:val="000B2A9D"/>
    <w:rsid w:val="000B33BA"/>
    <w:rsid w:val="000B7DEB"/>
    <w:rsid w:val="000C0433"/>
    <w:rsid w:val="000C4E94"/>
    <w:rsid w:val="000C6D4B"/>
    <w:rsid w:val="000D0C3F"/>
    <w:rsid w:val="000D6763"/>
    <w:rsid w:val="000E2520"/>
    <w:rsid w:val="000E3543"/>
    <w:rsid w:val="000E445B"/>
    <w:rsid w:val="000E7512"/>
    <w:rsid w:val="000F42A9"/>
    <w:rsid w:val="000F44F1"/>
    <w:rsid w:val="000F68E9"/>
    <w:rsid w:val="00110CDD"/>
    <w:rsid w:val="00112341"/>
    <w:rsid w:val="001153E8"/>
    <w:rsid w:val="00121B69"/>
    <w:rsid w:val="001243ED"/>
    <w:rsid w:val="00126611"/>
    <w:rsid w:val="00130DE3"/>
    <w:rsid w:val="00136149"/>
    <w:rsid w:val="001429A7"/>
    <w:rsid w:val="00144938"/>
    <w:rsid w:val="001451D1"/>
    <w:rsid w:val="001577E1"/>
    <w:rsid w:val="001605F4"/>
    <w:rsid w:val="001641CF"/>
    <w:rsid w:val="001679E1"/>
    <w:rsid w:val="00177ED0"/>
    <w:rsid w:val="00180789"/>
    <w:rsid w:val="00186418"/>
    <w:rsid w:val="00193A92"/>
    <w:rsid w:val="001957EA"/>
    <w:rsid w:val="001A0A55"/>
    <w:rsid w:val="001A6229"/>
    <w:rsid w:val="001C2BC9"/>
    <w:rsid w:val="001D0958"/>
    <w:rsid w:val="001D626E"/>
    <w:rsid w:val="001E201C"/>
    <w:rsid w:val="001E22D6"/>
    <w:rsid w:val="001F13D6"/>
    <w:rsid w:val="00202460"/>
    <w:rsid w:val="00212D1D"/>
    <w:rsid w:val="002144B3"/>
    <w:rsid w:val="00214676"/>
    <w:rsid w:val="002202CE"/>
    <w:rsid w:val="00226FE8"/>
    <w:rsid w:val="0022764C"/>
    <w:rsid w:val="0023278F"/>
    <w:rsid w:val="00240A1A"/>
    <w:rsid w:val="002441FE"/>
    <w:rsid w:val="00244721"/>
    <w:rsid w:val="00245F61"/>
    <w:rsid w:val="002501A8"/>
    <w:rsid w:val="0025328F"/>
    <w:rsid w:val="00255A62"/>
    <w:rsid w:val="00257406"/>
    <w:rsid w:val="0026616C"/>
    <w:rsid w:val="0027027E"/>
    <w:rsid w:val="00275370"/>
    <w:rsid w:val="002775F3"/>
    <w:rsid w:val="0028036A"/>
    <w:rsid w:val="002949F2"/>
    <w:rsid w:val="002A0561"/>
    <w:rsid w:val="002A4E78"/>
    <w:rsid w:val="002A68B6"/>
    <w:rsid w:val="002B253A"/>
    <w:rsid w:val="002B79BE"/>
    <w:rsid w:val="002C2A1E"/>
    <w:rsid w:val="002C663D"/>
    <w:rsid w:val="002C7526"/>
    <w:rsid w:val="002D313A"/>
    <w:rsid w:val="002D6763"/>
    <w:rsid w:val="002E234D"/>
    <w:rsid w:val="002E2C83"/>
    <w:rsid w:val="002E5B51"/>
    <w:rsid w:val="002F14BE"/>
    <w:rsid w:val="00330AE4"/>
    <w:rsid w:val="00331C0E"/>
    <w:rsid w:val="003403CC"/>
    <w:rsid w:val="00347D5B"/>
    <w:rsid w:val="0035436E"/>
    <w:rsid w:val="0037692C"/>
    <w:rsid w:val="003808EA"/>
    <w:rsid w:val="003873E8"/>
    <w:rsid w:val="00396F23"/>
    <w:rsid w:val="003A2D4E"/>
    <w:rsid w:val="003B51F4"/>
    <w:rsid w:val="003C028C"/>
    <w:rsid w:val="003C4AD8"/>
    <w:rsid w:val="003C5AEF"/>
    <w:rsid w:val="003D30C9"/>
    <w:rsid w:val="003D589D"/>
    <w:rsid w:val="003D6EAD"/>
    <w:rsid w:val="003E1E1B"/>
    <w:rsid w:val="003E236A"/>
    <w:rsid w:val="003E5EAA"/>
    <w:rsid w:val="003F2907"/>
    <w:rsid w:val="00401FB5"/>
    <w:rsid w:val="00403163"/>
    <w:rsid w:val="00412307"/>
    <w:rsid w:val="00413DA7"/>
    <w:rsid w:val="004144CF"/>
    <w:rsid w:val="00414A4B"/>
    <w:rsid w:val="00414BD6"/>
    <w:rsid w:val="004216F4"/>
    <w:rsid w:val="0042191A"/>
    <w:rsid w:val="00423707"/>
    <w:rsid w:val="00424227"/>
    <w:rsid w:val="00425FCB"/>
    <w:rsid w:val="00427991"/>
    <w:rsid w:val="004336FC"/>
    <w:rsid w:val="00441982"/>
    <w:rsid w:val="004432BA"/>
    <w:rsid w:val="00445021"/>
    <w:rsid w:val="00463724"/>
    <w:rsid w:val="00475E8E"/>
    <w:rsid w:val="00476FB9"/>
    <w:rsid w:val="00481B56"/>
    <w:rsid w:val="00486344"/>
    <w:rsid w:val="0048688E"/>
    <w:rsid w:val="00487CD1"/>
    <w:rsid w:val="004901E0"/>
    <w:rsid w:val="004904DE"/>
    <w:rsid w:val="00496294"/>
    <w:rsid w:val="004A5EEB"/>
    <w:rsid w:val="004B496F"/>
    <w:rsid w:val="004B7666"/>
    <w:rsid w:val="004C4D7B"/>
    <w:rsid w:val="004D028E"/>
    <w:rsid w:val="004D349E"/>
    <w:rsid w:val="004D3D8B"/>
    <w:rsid w:val="004E39A4"/>
    <w:rsid w:val="004E7523"/>
    <w:rsid w:val="004F09B4"/>
    <w:rsid w:val="004F13E6"/>
    <w:rsid w:val="004F13FD"/>
    <w:rsid w:val="004F2615"/>
    <w:rsid w:val="00500CFE"/>
    <w:rsid w:val="00501C75"/>
    <w:rsid w:val="00505F45"/>
    <w:rsid w:val="00510393"/>
    <w:rsid w:val="00514AB5"/>
    <w:rsid w:val="00516B92"/>
    <w:rsid w:val="005170F0"/>
    <w:rsid w:val="005249FF"/>
    <w:rsid w:val="005260B1"/>
    <w:rsid w:val="0053314B"/>
    <w:rsid w:val="00546F3A"/>
    <w:rsid w:val="00547428"/>
    <w:rsid w:val="005476CD"/>
    <w:rsid w:val="00553C57"/>
    <w:rsid w:val="00572544"/>
    <w:rsid w:val="0057498D"/>
    <w:rsid w:val="00576182"/>
    <w:rsid w:val="005769D8"/>
    <w:rsid w:val="00582FA8"/>
    <w:rsid w:val="005857C2"/>
    <w:rsid w:val="00591F9F"/>
    <w:rsid w:val="00595491"/>
    <w:rsid w:val="00595E41"/>
    <w:rsid w:val="005A37B6"/>
    <w:rsid w:val="005B6305"/>
    <w:rsid w:val="005C4004"/>
    <w:rsid w:val="005C4759"/>
    <w:rsid w:val="005C572F"/>
    <w:rsid w:val="005C72FA"/>
    <w:rsid w:val="005C7D7C"/>
    <w:rsid w:val="005D237F"/>
    <w:rsid w:val="005D2A94"/>
    <w:rsid w:val="005D4136"/>
    <w:rsid w:val="005D4468"/>
    <w:rsid w:val="005D6318"/>
    <w:rsid w:val="005E4304"/>
    <w:rsid w:val="005E5EDB"/>
    <w:rsid w:val="005F3E05"/>
    <w:rsid w:val="005F5759"/>
    <w:rsid w:val="00602ECF"/>
    <w:rsid w:val="00606F37"/>
    <w:rsid w:val="00610455"/>
    <w:rsid w:val="006105CF"/>
    <w:rsid w:val="00617637"/>
    <w:rsid w:val="0062118C"/>
    <w:rsid w:val="00622FF5"/>
    <w:rsid w:val="0062342B"/>
    <w:rsid w:val="00627E0D"/>
    <w:rsid w:val="006324B8"/>
    <w:rsid w:val="00633593"/>
    <w:rsid w:val="00636052"/>
    <w:rsid w:val="00637233"/>
    <w:rsid w:val="00645541"/>
    <w:rsid w:val="0065134F"/>
    <w:rsid w:val="00652817"/>
    <w:rsid w:val="0065292A"/>
    <w:rsid w:val="00662A22"/>
    <w:rsid w:val="00664B5A"/>
    <w:rsid w:val="006817AA"/>
    <w:rsid w:val="006828A5"/>
    <w:rsid w:val="00682BAF"/>
    <w:rsid w:val="00683D78"/>
    <w:rsid w:val="00696FF5"/>
    <w:rsid w:val="006A1E0C"/>
    <w:rsid w:val="006B0D71"/>
    <w:rsid w:val="006B5EAE"/>
    <w:rsid w:val="006C0E58"/>
    <w:rsid w:val="006C12AB"/>
    <w:rsid w:val="006C199C"/>
    <w:rsid w:val="006C4B3D"/>
    <w:rsid w:val="006D26E7"/>
    <w:rsid w:val="006D5F15"/>
    <w:rsid w:val="006D75A1"/>
    <w:rsid w:val="006E0562"/>
    <w:rsid w:val="006E1099"/>
    <w:rsid w:val="006E3591"/>
    <w:rsid w:val="006E562B"/>
    <w:rsid w:val="006E60EC"/>
    <w:rsid w:val="006E75BC"/>
    <w:rsid w:val="006E7E46"/>
    <w:rsid w:val="006F0C35"/>
    <w:rsid w:val="00703BC8"/>
    <w:rsid w:val="007100A5"/>
    <w:rsid w:val="007104A8"/>
    <w:rsid w:val="00712BE3"/>
    <w:rsid w:val="00720FAD"/>
    <w:rsid w:val="00720FBC"/>
    <w:rsid w:val="00721C3D"/>
    <w:rsid w:val="0072504E"/>
    <w:rsid w:val="00727794"/>
    <w:rsid w:val="00734200"/>
    <w:rsid w:val="00734AB8"/>
    <w:rsid w:val="00735376"/>
    <w:rsid w:val="0074179C"/>
    <w:rsid w:val="007441DE"/>
    <w:rsid w:val="0074428C"/>
    <w:rsid w:val="00756963"/>
    <w:rsid w:val="00762937"/>
    <w:rsid w:val="00762DDD"/>
    <w:rsid w:val="00771D61"/>
    <w:rsid w:val="00771E1F"/>
    <w:rsid w:val="0077653E"/>
    <w:rsid w:val="00780DCB"/>
    <w:rsid w:val="00782F5C"/>
    <w:rsid w:val="00785871"/>
    <w:rsid w:val="0079570E"/>
    <w:rsid w:val="007A2CEA"/>
    <w:rsid w:val="007B403D"/>
    <w:rsid w:val="007C18C4"/>
    <w:rsid w:val="007C7BDA"/>
    <w:rsid w:val="007D45B3"/>
    <w:rsid w:val="007D6380"/>
    <w:rsid w:val="007D6B4B"/>
    <w:rsid w:val="007E16B6"/>
    <w:rsid w:val="007E3877"/>
    <w:rsid w:val="007F2B93"/>
    <w:rsid w:val="007F6771"/>
    <w:rsid w:val="007F7FCE"/>
    <w:rsid w:val="00803464"/>
    <w:rsid w:val="008049AB"/>
    <w:rsid w:val="0080567C"/>
    <w:rsid w:val="00811429"/>
    <w:rsid w:val="008140C6"/>
    <w:rsid w:val="00814490"/>
    <w:rsid w:val="008144EC"/>
    <w:rsid w:val="0081793E"/>
    <w:rsid w:val="008227CF"/>
    <w:rsid w:val="008270C2"/>
    <w:rsid w:val="00827F36"/>
    <w:rsid w:val="008322F6"/>
    <w:rsid w:val="0084331B"/>
    <w:rsid w:val="008456F2"/>
    <w:rsid w:val="008517AA"/>
    <w:rsid w:val="00872B3F"/>
    <w:rsid w:val="00873E04"/>
    <w:rsid w:val="00876A17"/>
    <w:rsid w:val="00876FBB"/>
    <w:rsid w:val="008800D5"/>
    <w:rsid w:val="00881605"/>
    <w:rsid w:val="00890163"/>
    <w:rsid w:val="00891C51"/>
    <w:rsid w:val="0089371A"/>
    <w:rsid w:val="00895704"/>
    <w:rsid w:val="0089760A"/>
    <w:rsid w:val="008A2AC3"/>
    <w:rsid w:val="008B276E"/>
    <w:rsid w:val="008B64E0"/>
    <w:rsid w:val="008B6D3A"/>
    <w:rsid w:val="008B7AD3"/>
    <w:rsid w:val="008B7BD1"/>
    <w:rsid w:val="008C046B"/>
    <w:rsid w:val="008C2F2F"/>
    <w:rsid w:val="008C470F"/>
    <w:rsid w:val="008D64B8"/>
    <w:rsid w:val="008D7C5D"/>
    <w:rsid w:val="008E05FC"/>
    <w:rsid w:val="00901090"/>
    <w:rsid w:val="00901357"/>
    <w:rsid w:val="00911BE5"/>
    <w:rsid w:val="00912635"/>
    <w:rsid w:val="00914473"/>
    <w:rsid w:val="009150B3"/>
    <w:rsid w:val="00915365"/>
    <w:rsid w:val="00925CC3"/>
    <w:rsid w:val="00935750"/>
    <w:rsid w:val="0093607E"/>
    <w:rsid w:val="00942BFC"/>
    <w:rsid w:val="00946AF4"/>
    <w:rsid w:val="00951AD1"/>
    <w:rsid w:val="009642B8"/>
    <w:rsid w:val="009657EB"/>
    <w:rsid w:val="00970270"/>
    <w:rsid w:val="00981E39"/>
    <w:rsid w:val="00984D44"/>
    <w:rsid w:val="00986955"/>
    <w:rsid w:val="00992BA3"/>
    <w:rsid w:val="009977FB"/>
    <w:rsid w:val="00997E9E"/>
    <w:rsid w:val="009A6F47"/>
    <w:rsid w:val="009B182F"/>
    <w:rsid w:val="009B55F5"/>
    <w:rsid w:val="009C300B"/>
    <w:rsid w:val="009C3C79"/>
    <w:rsid w:val="009C5761"/>
    <w:rsid w:val="009D314C"/>
    <w:rsid w:val="009D5C61"/>
    <w:rsid w:val="009E4F40"/>
    <w:rsid w:val="00A027B0"/>
    <w:rsid w:val="00A06120"/>
    <w:rsid w:val="00A11C61"/>
    <w:rsid w:val="00A120D2"/>
    <w:rsid w:val="00A13893"/>
    <w:rsid w:val="00A228A3"/>
    <w:rsid w:val="00A340DD"/>
    <w:rsid w:val="00A3501A"/>
    <w:rsid w:val="00A356E8"/>
    <w:rsid w:val="00A36D91"/>
    <w:rsid w:val="00A42405"/>
    <w:rsid w:val="00A504FC"/>
    <w:rsid w:val="00A50BA2"/>
    <w:rsid w:val="00A50EDA"/>
    <w:rsid w:val="00A52781"/>
    <w:rsid w:val="00A52C91"/>
    <w:rsid w:val="00A60D6A"/>
    <w:rsid w:val="00A67B0F"/>
    <w:rsid w:val="00A7233F"/>
    <w:rsid w:val="00A73480"/>
    <w:rsid w:val="00A73BB3"/>
    <w:rsid w:val="00A73C2D"/>
    <w:rsid w:val="00A8523E"/>
    <w:rsid w:val="00A85533"/>
    <w:rsid w:val="00A8565C"/>
    <w:rsid w:val="00A918F5"/>
    <w:rsid w:val="00A93442"/>
    <w:rsid w:val="00AA4ABF"/>
    <w:rsid w:val="00AB04A4"/>
    <w:rsid w:val="00AB5315"/>
    <w:rsid w:val="00AC1006"/>
    <w:rsid w:val="00AC6290"/>
    <w:rsid w:val="00AC64B3"/>
    <w:rsid w:val="00AD6507"/>
    <w:rsid w:val="00AE6121"/>
    <w:rsid w:val="00AE6D20"/>
    <w:rsid w:val="00AF4EAA"/>
    <w:rsid w:val="00B033BF"/>
    <w:rsid w:val="00B046FF"/>
    <w:rsid w:val="00B05D3C"/>
    <w:rsid w:val="00B06F4A"/>
    <w:rsid w:val="00B150F3"/>
    <w:rsid w:val="00B15637"/>
    <w:rsid w:val="00B17B57"/>
    <w:rsid w:val="00B202EA"/>
    <w:rsid w:val="00B20F6C"/>
    <w:rsid w:val="00B34F78"/>
    <w:rsid w:val="00B35784"/>
    <w:rsid w:val="00B36C5E"/>
    <w:rsid w:val="00B47A35"/>
    <w:rsid w:val="00B56296"/>
    <w:rsid w:val="00B565EA"/>
    <w:rsid w:val="00B612D4"/>
    <w:rsid w:val="00B62C81"/>
    <w:rsid w:val="00B65BD6"/>
    <w:rsid w:val="00B71DA1"/>
    <w:rsid w:val="00B74E56"/>
    <w:rsid w:val="00B76939"/>
    <w:rsid w:val="00B86D55"/>
    <w:rsid w:val="00B91948"/>
    <w:rsid w:val="00B91B4B"/>
    <w:rsid w:val="00B963A2"/>
    <w:rsid w:val="00BA0251"/>
    <w:rsid w:val="00BA0A1E"/>
    <w:rsid w:val="00BA453F"/>
    <w:rsid w:val="00BC257C"/>
    <w:rsid w:val="00BC6455"/>
    <w:rsid w:val="00BC79A8"/>
    <w:rsid w:val="00BD27DD"/>
    <w:rsid w:val="00BE1FEA"/>
    <w:rsid w:val="00BF6D34"/>
    <w:rsid w:val="00C06B2E"/>
    <w:rsid w:val="00C13CAF"/>
    <w:rsid w:val="00C222BF"/>
    <w:rsid w:val="00C27466"/>
    <w:rsid w:val="00C31DF0"/>
    <w:rsid w:val="00C333E8"/>
    <w:rsid w:val="00C36EF5"/>
    <w:rsid w:val="00C41412"/>
    <w:rsid w:val="00C440F5"/>
    <w:rsid w:val="00C46D29"/>
    <w:rsid w:val="00C50374"/>
    <w:rsid w:val="00C52CD4"/>
    <w:rsid w:val="00C52FAF"/>
    <w:rsid w:val="00C60569"/>
    <w:rsid w:val="00C61210"/>
    <w:rsid w:val="00C61AE5"/>
    <w:rsid w:val="00C63BAA"/>
    <w:rsid w:val="00C71E5F"/>
    <w:rsid w:val="00C7215D"/>
    <w:rsid w:val="00C72DC4"/>
    <w:rsid w:val="00C76C76"/>
    <w:rsid w:val="00C838A7"/>
    <w:rsid w:val="00C851FE"/>
    <w:rsid w:val="00C8539E"/>
    <w:rsid w:val="00C93B61"/>
    <w:rsid w:val="00C96987"/>
    <w:rsid w:val="00C97AC0"/>
    <w:rsid w:val="00C97B8A"/>
    <w:rsid w:val="00CA19CD"/>
    <w:rsid w:val="00CA7607"/>
    <w:rsid w:val="00CB2635"/>
    <w:rsid w:val="00CC0939"/>
    <w:rsid w:val="00CC1421"/>
    <w:rsid w:val="00CC45B7"/>
    <w:rsid w:val="00CD6D51"/>
    <w:rsid w:val="00CE134B"/>
    <w:rsid w:val="00CE42F9"/>
    <w:rsid w:val="00CE4EE0"/>
    <w:rsid w:val="00CE7714"/>
    <w:rsid w:val="00CF1552"/>
    <w:rsid w:val="00CF5F01"/>
    <w:rsid w:val="00D10FAD"/>
    <w:rsid w:val="00D22080"/>
    <w:rsid w:val="00D35D92"/>
    <w:rsid w:val="00D36CC0"/>
    <w:rsid w:val="00D42770"/>
    <w:rsid w:val="00D427E9"/>
    <w:rsid w:val="00D450E4"/>
    <w:rsid w:val="00D6189E"/>
    <w:rsid w:val="00D61982"/>
    <w:rsid w:val="00D6467D"/>
    <w:rsid w:val="00D64E9E"/>
    <w:rsid w:val="00D65DA5"/>
    <w:rsid w:val="00D671E3"/>
    <w:rsid w:val="00D73314"/>
    <w:rsid w:val="00D81DE0"/>
    <w:rsid w:val="00D87277"/>
    <w:rsid w:val="00DA1F3C"/>
    <w:rsid w:val="00DA2380"/>
    <w:rsid w:val="00DA78B0"/>
    <w:rsid w:val="00DB2A91"/>
    <w:rsid w:val="00DB4CF1"/>
    <w:rsid w:val="00DB5900"/>
    <w:rsid w:val="00DB5B9A"/>
    <w:rsid w:val="00DB66B5"/>
    <w:rsid w:val="00DC11DA"/>
    <w:rsid w:val="00DC1BF8"/>
    <w:rsid w:val="00DC333D"/>
    <w:rsid w:val="00DD5284"/>
    <w:rsid w:val="00DD54C3"/>
    <w:rsid w:val="00DD5AC2"/>
    <w:rsid w:val="00DD5D8C"/>
    <w:rsid w:val="00DD6E3F"/>
    <w:rsid w:val="00DE41A4"/>
    <w:rsid w:val="00DE4DF4"/>
    <w:rsid w:val="00DF4598"/>
    <w:rsid w:val="00DF4610"/>
    <w:rsid w:val="00DF68E9"/>
    <w:rsid w:val="00E02655"/>
    <w:rsid w:val="00E036F6"/>
    <w:rsid w:val="00E10127"/>
    <w:rsid w:val="00E10B7D"/>
    <w:rsid w:val="00E27E51"/>
    <w:rsid w:val="00E3085D"/>
    <w:rsid w:val="00E3343A"/>
    <w:rsid w:val="00E339B5"/>
    <w:rsid w:val="00E343E1"/>
    <w:rsid w:val="00E34B4C"/>
    <w:rsid w:val="00E35AA3"/>
    <w:rsid w:val="00E3724A"/>
    <w:rsid w:val="00E40FAB"/>
    <w:rsid w:val="00E41BF7"/>
    <w:rsid w:val="00E43DB4"/>
    <w:rsid w:val="00E469AB"/>
    <w:rsid w:val="00E54D53"/>
    <w:rsid w:val="00E56F31"/>
    <w:rsid w:val="00E56F62"/>
    <w:rsid w:val="00E5769E"/>
    <w:rsid w:val="00E72138"/>
    <w:rsid w:val="00E74F6E"/>
    <w:rsid w:val="00E809B4"/>
    <w:rsid w:val="00E83646"/>
    <w:rsid w:val="00E86E47"/>
    <w:rsid w:val="00E913F1"/>
    <w:rsid w:val="00E9787F"/>
    <w:rsid w:val="00EA11B8"/>
    <w:rsid w:val="00EA39A7"/>
    <w:rsid w:val="00EA7C3E"/>
    <w:rsid w:val="00EB2436"/>
    <w:rsid w:val="00EC3C69"/>
    <w:rsid w:val="00ED79C3"/>
    <w:rsid w:val="00ED7EE4"/>
    <w:rsid w:val="00EE5282"/>
    <w:rsid w:val="00EE60C8"/>
    <w:rsid w:val="00EE62FF"/>
    <w:rsid w:val="00EF160C"/>
    <w:rsid w:val="00F0673F"/>
    <w:rsid w:val="00F11285"/>
    <w:rsid w:val="00F11CB2"/>
    <w:rsid w:val="00F14D17"/>
    <w:rsid w:val="00F17A98"/>
    <w:rsid w:val="00F244CE"/>
    <w:rsid w:val="00F276DB"/>
    <w:rsid w:val="00F27FAA"/>
    <w:rsid w:val="00F3144E"/>
    <w:rsid w:val="00F31B05"/>
    <w:rsid w:val="00F32AF2"/>
    <w:rsid w:val="00F40A0F"/>
    <w:rsid w:val="00F447F1"/>
    <w:rsid w:val="00F451F9"/>
    <w:rsid w:val="00F4710C"/>
    <w:rsid w:val="00F73B02"/>
    <w:rsid w:val="00F750C2"/>
    <w:rsid w:val="00F7675B"/>
    <w:rsid w:val="00F77F41"/>
    <w:rsid w:val="00F82E39"/>
    <w:rsid w:val="00F86706"/>
    <w:rsid w:val="00F93FF6"/>
    <w:rsid w:val="00F9467B"/>
    <w:rsid w:val="00FA13CF"/>
    <w:rsid w:val="00FB254B"/>
    <w:rsid w:val="00FC33DD"/>
    <w:rsid w:val="00FC61F6"/>
    <w:rsid w:val="00FD5405"/>
    <w:rsid w:val="00FD6321"/>
    <w:rsid w:val="00FE2610"/>
    <w:rsid w:val="00FE4FF9"/>
    <w:rsid w:val="00FF259C"/>
    <w:rsid w:val="00FF62EE"/>
    <w:rsid w:val="00FF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49931B"/>
  <w15:chartTrackingRefBased/>
  <w15:docId w15:val="{464CCB49-B84B-4072-9F87-A7900380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9A7"/>
    <w:rPr>
      <w:rFonts w:ascii="Arial" w:hAnsi="Arial" w:cs="Arial"/>
      <w:sz w:val="24"/>
    </w:rPr>
  </w:style>
  <w:style w:type="paragraph" w:styleId="Heading1">
    <w:name w:val="heading 1"/>
    <w:basedOn w:val="Normal"/>
    <w:next w:val="Normal"/>
    <w:qFormat/>
    <w:rsid w:val="006105CF"/>
    <w:pPr>
      <w:keepNext/>
      <w:spacing w:before="240" w:after="60"/>
      <w:outlineLvl w:val="0"/>
    </w:pPr>
    <w:rPr>
      <w:b/>
      <w:bCs/>
      <w:kern w:val="32"/>
      <w:sz w:val="32"/>
      <w:szCs w:val="32"/>
    </w:rPr>
  </w:style>
  <w:style w:type="paragraph" w:styleId="Heading2">
    <w:name w:val="heading 2"/>
    <w:basedOn w:val="Normal"/>
    <w:next w:val="Normal"/>
    <w:qFormat/>
    <w:rsid w:val="006105CF"/>
    <w:pPr>
      <w:keepNext/>
      <w:spacing w:before="240" w:after="60"/>
      <w:outlineLvl w:val="1"/>
    </w:pPr>
    <w:rPr>
      <w:b/>
      <w:bCs/>
      <w:i/>
      <w:iCs/>
      <w:sz w:val="28"/>
      <w:szCs w:val="28"/>
    </w:rPr>
  </w:style>
  <w:style w:type="paragraph" w:styleId="Heading3">
    <w:name w:val="heading 3"/>
    <w:basedOn w:val="Normal"/>
    <w:next w:val="Normal"/>
    <w:qFormat/>
    <w:rsid w:val="006105C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MHeading1">
    <w:name w:val="SCM Heading 1"/>
    <w:basedOn w:val="Heading1"/>
    <w:next w:val="Normal"/>
    <w:rsid w:val="006105CF"/>
    <w:pPr>
      <w:autoSpaceDE w:val="0"/>
      <w:autoSpaceDN w:val="0"/>
      <w:adjustRightInd w:val="0"/>
    </w:pPr>
    <w:rPr>
      <w:rFonts w:ascii="Arial,Bold" w:hAnsi="Arial,Bold" w:cs="Arial,Bold"/>
      <w:bCs w:val="0"/>
      <w:szCs w:val="24"/>
    </w:rPr>
  </w:style>
  <w:style w:type="paragraph" w:customStyle="1" w:styleId="SCMHeading2">
    <w:name w:val="SCM Heading 2"/>
    <w:basedOn w:val="Heading2"/>
    <w:next w:val="Normal"/>
    <w:rsid w:val="006105CF"/>
    <w:pPr>
      <w:autoSpaceDE w:val="0"/>
      <w:autoSpaceDN w:val="0"/>
      <w:adjustRightInd w:val="0"/>
    </w:pPr>
    <w:rPr>
      <w:rFonts w:ascii="Arial,Bold" w:hAnsi="Arial,Bold" w:cs="Arial,Bold"/>
      <w:bCs w:val="0"/>
      <w:i w:val="0"/>
      <w:szCs w:val="24"/>
    </w:rPr>
  </w:style>
  <w:style w:type="paragraph" w:customStyle="1" w:styleId="SCMHeading3">
    <w:name w:val="SCM Heading 3"/>
    <w:basedOn w:val="Heading3"/>
    <w:next w:val="Normal"/>
    <w:rsid w:val="006105CF"/>
    <w:pPr>
      <w:autoSpaceDE w:val="0"/>
      <w:autoSpaceDN w:val="0"/>
      <w:adjustRightInd w:val="0"/>
    </w:pPr>
    <w:rPr>
      <w:rFonts w:ascii="Arial,Bold" w:hAnsi="Arial,Bold" w:cs="Arial,Bold"/>
      <w:bCs w:val="0"/>
      <w:szCs w:val="24"/>
    </w:rPr>
  </w:style>
  <w:style w:type="table" w:styleId="TableGrid">
    <w:name w:val="Table Grid"/>
    <w:basedOn w:val="TableNormal"/>
    <w:rsid w:val="0016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5750"/>
    <w:rPr>
      <w:sz w:val="16"/>
      <w:szCs w:val="16"/>
    </w:rPr>
  </w:style>
  <w:style w:type="paragraph" w:styleId="CommentText">
    <w:name w:val="annotation text"/>
    <w:basedOn w:val="Normal"/>
    <w:semiHidden/>
    <w:rsid w:val="00935750"/>
    <w:rPr>
      <w:sz w:val="20"/>
    </w:rPr>
  </w:style>
  <w:style w:type="paragraph" w:styleId="CommentSubject">
    <w:name w:val="annotation subject"/>
    <w:basedOn w:val="CommentText"/>
    <w:next w:val="CommentText"/>
    <w:semiHidden/>
    <w:rsid w:val="00935750"/>
    <w:rPr>
      <w:b/>
      <w:bCs/>
    </w:rPr>
  </w:style>
  <w:style w:type="paragraph" w:styleId="BalloonText">
    <w:name w:val="Balloon Text"/>
    <w:basedOn w:val="Normal"/>
    <w:semiHidden/>
    <w:rsid w:val="00935750"/>
    <w:rPr>
      <w:rFonts w:ascii="Tahoma" w:hAnsi="Tahoma" w:cs="Tahoma"/>
      <w:sz w:val="16"/>
      <w:szCs w:val="16"/>
    </w:rPr>
  </w:style>
  <w:style w:type="character" w:styleId="PlaceholderText">
    <w:name w:val="Placeholder Text"/>
    <w:uiPriority w:val="99"/>
    <w:semiHidden/>
    <w:rsid w:val="00B71DA1"/>
    <w:rPr>
      <w:color w:val="808080"/>
    </w:rPr>
  </w:style>
  <w:style w:type="paragraph" w:styleId="Revision">
    <w:name w:val="Revision"/>
    <w:hidden/>
    <w:uiPriority w:val="99"/>
    <w:semiHidden/>
    <w:rsid w:val="00DF68E9"/>
    <w:rPr>
      <w:rFonts w:ascii="Arial" w:hAnsi="Arial" w:cs="Arial"/>
      <w:sz w:val="24"/>
    </w:rPr>
  </w:style>
  <w:style w:type="character" w:styleId="Hyperlink">
    <w:name w:val="Hyperlink"/>
    <w:rsid w:val="00FF62EE"/>
    <w:rPr>
      <w:color w:val="0563C1"/>
      <w:u w:val="single"/>
    </w:rPr>
  </w:style>
  <w:style w:type="paragraph" w:styleId="ListParagraph">
    <w:name w:val="List Paragraph"/>
    <w:basedOn w:val="Normal"/>
    <w:uiPriority w:val="34"/>
    <w:qFormat/>
    <w:rsid w:val="00DF4598"/>
    <w:pPr>
      <w:ind w:left="720"/>
    </w:pPr>
  </w:style>
  <w:style w:type="paragraph" w:styleId="FootnoteText">
    <w:name w:val="footnote text"/>
    <w:basedOn w:val="Normal"/>
    <w:link w:val="FootnoteTextChar"/>
    <w:uiPriority w:val="99"/>
    <w:rsid w:val="00FB254B"/>
    <w:rPr>
      <w:sz w:val="20"/>
    </w:rPr>
  </w:style>
  <w:style w:type="character" w:customStyle="1" w:styleId="FootnoteTextChar">
    <w:name w:val="Footnote Text Char"/>
    <w:basedOn w:val="DefaultParagraphFont"/>
    <w:link w:val="FootnoteText"/>
    <w:uiPriority w:val="99"/>
    <w:rsid w:val="00FB254B"/>
    <w:rPr>
      <w:rFonts w:ascii="Arial" w:hAnsi="Arial" w:cs="Arial"/>
    </w:rPr>
  </w:style>
  <w:style w:type="character" w:styleId="FootnoteReference">
    <w:name w:val="footnote reference"/>
    <w:basedOn w:val="DefaultParagraphFont"/>
    <w:uiPriority w:val="99"/>
    <w:rsid w:val="00FB2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6084">
      <w:bodyDiv w:val="1"/>
      <w:marLeft w:val="0"/>
      <w:marRight w:val="0"/>
      <w:marTop w:val="0"/>
      <w:marBottom w:val="0"/>
      <w:divBdr>
        <w:top w:val="none" w:sz="0" w:space="0" w:color="auto"/>
        <w:left w:val="none" w:sz="0" w:space="0" w:color="auto"/>
        <w:bottom w:val="none" w:sz="0" w:space="0" w:color="auto"/>
        <w:right w:val="none" w:sz="0" w:space="0" w:color="auto"/>
      </w:divBdr>
    </w:div>
    <w:div w:id="20227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the-magenta-book" TargetMode="External"/><Relationship Id="rId2" Type="http://schemas.openxmlformats.org/officeDocument/2006/relationships/hyperlink" Target="https://openknowledge.worldbank.org/handle/10986/17606" TargetMode="External"/><Relationship Id="rId1" Type="http://schemas.openxmlformats.org/officeDocument/2006/relationships/hyperlink" Target="http://www.infohub.moneyadvicetrust.org/content_files/files/jackie_wells___debt_advice___full_repo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D9001-429A-4C61-95C0-3C51AEEB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10646</Words>
  <Characters>55124</Characters>
  <Application>Microsoft Office Word</Application>
  <DocSecurity>0</DocSecurity>
  <Lines>4240</Lines>
  <Paragraphs>2630</Paragraphs>
  <ScaleCrop>false</ScaleCrop>
  <HeadingPairs>
    <vt:vector size="2" baseType="variant">
      <vt:variant>
        <vt:lpstr>Title</vt:lpstr>
      </vt:variant>
      <vt:variant>
        <vt:i4>1</vt:i4>
      </vt:variant>
    </vt:vector>
  </HeadingPairs>
  <TitlesOfParts>
    <vt:vector size="1" baseType="lpstr">
      <vt:lpstr>Title:</vt:lpstr>
    </vt:vector>
  </TitlesOfParts>
  <Company>N.I.C.S</Company>
  <LinksUpToDate>false</LinksUpToDate>
  <CharactersWithSpaces>63140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Wai Kuen Mo</dc:creator>
  <cp:keywords/>
  <cp:lastModifiedBy>Monds, Richard</cp:lastModifiedBy>
  <cp:revision>2</cp:revision>
  <cp:lastPrinted>2024-04-23T12:46:00Z</cp:lastPrinted>
  <dcterms:created xsi:type="dcterms:W3CDTF">2024-06-25T10:43:00Z</dcterms:created>
  <dcterms:modified xsi:type="dcterms:W3CDTF">2024-06-25T10:43:00Z</dcterms:modified>
</cp:coreProperties>
</file>