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E64E7" w14:textId="41643862" w:rsidR="00D74CB8" w:rsidRDefault="00F60638" w:rsidP="00F60638">
      <w:pPr>
        <w:jc w:val="center"/>
        <w:rPr>
          <w:b/>
          <w:bCs/>
          <w:sz w:val="28"/>
          <w:szCs w:val="28"/>
        </w:rPr>
      </w:pPr>
      <w:r w:rsidRPr="00F60638">
        <w:rPr>
          <w:b/>
          <w:bCs/>
          <w:sz w:val="28"/>
          <w:szCs w:val="28"/>
        </w:rPr>
        <w:t xml:space="preserve">San Jose Water </w:t>
      </w:r>
      <w:r w:rsidR="00405AD9">
        <w:rPr>
          <w:b/>
          <w:bCs/>
          <w:sz w:val="28"/>
          <w:szCs w:val="28"/>
        </w:rPr>
        <w:t>Files</w:t>
      </w:r>
      <w:r w:rsidR="00405AD9" w:rsidRPr="00F60638">
        <w:rPr>
          <w:b/>
          <w:bCs/>
          <w:sz w:val="28"/>
          <w:szCs w:val="28"/>
        </w:rPr>
        <w:t xml:space="preserve"> </w:t>
      </w:r>
      <w:r w:rsidRPr="00F60638">
        <w:rPr>
          <w:b/>
          <w:bCs/>
          <w:sz w:val="28"/>
          <w:szCs w:val="28"/>
        </w:rPr>
        <w:t xml:space="preserve">Settlement Agreement </w:t>
      </w:r>
    </w:p>
    <w:p w14:paraId="3B83BC29" w14:textId="49995E89" w:rsidR="004B4DB7" w:rsidRDefault="00F60638" w:rsidP="00F60638">
      <w:pPr>
        <w:jc w:val="center"/>
        <w:rPr>
          <w:b/>
          <w:bCs/>
          <w:sz w:val="28"/>
          <w:szCs w:val="28"/>
        </w:rPr>
      </w:pPr>
      <w:r w:rsidRPr="00F60638">
        <w:rPr>
          <w:b/>
          <w:bCs/>
          <w:sz w:val="28"/>
          <w:szCs w:val="28"/>
        </w:rPr>
        <w:t>in 2025 to 2027 General Rate Case</w:t>
      </w:r>
    </w:p>
    <w:p w14:paraId="0597D817" w14:textId="7D1A052A" w:rsidR="00F60638" w:rsidRPr="003618AD" w:rsidRDefault="00F60638" w:rsidP="00F60638">
      <w:pPr>
        <w:jc w:val="center"/>
        <w:rPr>
          <w:i/>
          <w:iCs/>
          <w:sz w:val="24"/>
          <w:szCs w:val="24"/>
        </w:rPr>
      </w:pPr>
      <w:r w:rsidRPr="003618AD">
        <w:rPr>
          <w:i/>
          <w:iCs/>
          <w:sz w:val="24"/>
          <w:szCs w:val="24"/>
        </w:rPr>
        <w:t xml:space="preserve">Constructive </w:t>
      </w:r>
      <w:r w:rsidR="002264AB" w:rsidRPr="003618AD">
        <w:rPr>
          <w:i/>
          <w:iCs/>
          <w:sz w:val="24"/>
          <w:szCs w:val="24"/>
        </w:rPr>
        <w:t>a</w:t>
      </w:r>
      <w:r w:rsidRPr="003618AD">
        <w:rPr>
          <w:i/>
          <w:iCs/>
          <w:sz w:val="24"/>
          <w:szCs w:val="24"/>
        </w:rPr>
        <w:t xml:space="preserve">greement </w:t>
      </w:r>
      <w:r w:rsidR="002264AB" w:rsidRPr="003618AD">
        <w:rPr>
          <w:i/>
          <w:iCs/>
          <w:sz w:val="24"/>
          <w:szCs w:val="24"/>
        </w:rPr>
        <w:t>p</w:t>
      </w:r>
      <w:r w:rsidRPr="003618AD">
        <w:rPr>
          <w:i/>
          <w:iCs/>
          <w:sz w:val="24"/>
          <w:szCs w:val="24"/>
        </w:rPr>
        <w:t xml:space="preserve">rovides </w:t>
      </w:r>
      <w:r w:rsidR="002264AB" w:rsidRPr="003618AD">
        <w:rPr>
          <w:i/>
          <w:iCs/>
          <w:sz w:val="24"/>
          <w:szCs w:val="24"/>
        </w:rPr>
        <w:t>f</w:t>
      </w:r>
      <w:r w:rsidRPr="003618AD">
        <w:rPr>
          <w:i/>
          <w:iCs/>
          <w:sz w:val="24"/>
          <w:szCs w:val="24"/>
        </w:rPr>
        <w:t>or</w:t>
      </w:r>
      <w:r w:rsidR="00D30E67" w:rsidRPr="003618AD">
        <w:rPr>
          <w:i/>
          <w:iCs/>
          <w:sz w:val="24"/>
          <w:szCs w:val="24"/>
        </w:rPr>
        <w:t xml:space="preserve"> </w:t>
      </w:r>
      <w:r w:rsidR="002264AB" w:rsidRPr="003618AD">
        <w:rPr>
          <w:i/>
          <w:iCs/>
          <w:sz w:val="24"/>
          <w:szCs w:val="24"/>
        </w:rPr>
        <w:t>$</w:t>
      </w:r>
      <w:r w:rsidR="002762E7" w:rsidRPr="003618AD">
        <w:rPr>
          <w:i/>
          <w:iCs/>
          <w:sz w:val="24"/>
          <w:szCs w:val="24"/>
        </w:rPr>
        <w:t xml:space="preserve">450 million </w:t>
      </w:r>
      <w:r w:rsidR="002264AB" w:rsidRPr="003618AD">
        <w:rPr>
          <w:i/>
          <w:iCs/>
          <w:sz w:val="24"/>
          <w:szCs w:val="24"/>
        </w:rPr>
        <w:t>in d</w:t>
      </w:r>
      <w:r w:rsidRPr="003618AD">
        <w:rPr>
          <w:i/>
          <w:iCs/>
          <w:sz w:val="24"/>
          <w:szCs w:val="24"/>
        </w:rPr>
        <w:t xml:space="preserve">rinking </w:t>
      </w:r>
      <w:r w:rsidR="002264AB" w:rsidRPr="003618AD">
        <w:rPr>
          <w:i/>
          <w:iCs/>
          <w:sz w:val="24"/>
          <w:szCs w:val="24"/>
        </w:rPr>
        <w:t>w</w:t>
      </w:r>
      <w:r w:rsidRPr="003618AD">
        <w:rPr>
          <w:i/>
          <w:iCs/>
          <w:sz w:val="24"/>
          <w:szCs w:val="24"/>
        </w:rPr>
        <w:t xml:space="preserve">ater </w:t>
      </w:r>
      <w:r w:rsidR="002264AB" w:rsidRPr="003618AD">
        <w:rPr>
          <w:i/>
          <w:iCs/>
          <w:sz w:val="24"/>
          <w:szCs w:val="24"/>
        </w:rPr>
        <w:t>i</w:t>
      </w:r>
      <w:r w:rsidRPr="003618AD">
        <w:rPr>
          <w:i/>
          <w:iCs/>
          <w:sz w:val="24"/>
          <w:szCs w:val="24"/>
        </w:rPr>
        <w:t xml:space="preserve">nfrastructure </w:t>
      </w:r>
      <w:r w:rsidR="002264AB" w:rsidRPr="003618AD">
        <w:rPr>
          <w:i/>
          <w:iCs/>
          <w:sz w:val="24"/>
          <w:szCs w:val="24"/>
        </w:rPr>
        <w:t>i</w:t>
      </w:r>
      <w:r w:rsidRPr="003618AD">
        <w:rPr>
          <w:i/>
          <w:iCs/>
          <w:sz w:val="24"/>
          <w:szCs w:val="24"/>
        </w:rPr>
        <w:t>nvestment</w:t>
      </w:r>
      <w:r w:rsidR="00D30E67" w:rsidRPr="003618AD">
        <w:rPr>
          <w:i/>
          <w:iCs/>
          <w:sz w:val="24"/>
          <w:szCs w:val="24"/>
        </w:rPr>
        <w:t xml:space="preserve"> over three-years</w:t>
      </w:r>
      <w:r w:rsidR="00BE7A4F">
        <w:rPr>
          <w:i/>
          <w:iCs/>
          <w:sz w:val="24"/>
          <w:szCs w:val="24"/>
        </w:rPr>
        <w:t>.</w:t>
      </w:r>
    </w:p>
    <w:p w14:paraId="37487D1E" w14:textId="1F10BB96" w:rsidR="00303F22" w:rsidRPr="00303F22" w:rsidRDefault="00305E83" w:rsidP="00303F22">
      <w:pPr>
        <w:rPr>
          <w:sz w:val="24"/>
          <w:szCs w:val="24"/>
        </w:rPr>
      </w:pPr>
      <w:r>
        <w:rPr>
          <w:b/>
          <w:bCs/>
          <w:sz w:val="24"/>
          <w:szCs w:val="24"/>
        </w:rPr>
        <w:t>SAN JOSE</w:t>
      </w:r>
      <w:r w:rsidR="007A33AB" w:rsidRPr="00305E83">
        <w:rPr>
          <w:b/>
          <w:bCs/>
          <w:sz w:val="24"/>
          <w:szCs w:val="24"/>
        </w:rPr>
        <w:t>, Calif.</w:t>
      </w:r>
      <w:r w:rsidR="007A33AB" w:rsidRPr="00305E83">
        <w:rPr>
          <w:sz w:val="24"/>
          <w:szCs w:val="24"/>
        </w:rPr>
        <w:t xml:space="preserve"> – (</w:t>
      </w:r>
      <w:r w:rsidR="00BF3C66">
        <w:rPr>
          <w:sz w:val="24"/>
          <w:szCs w:val="24"/>
        </w:rPr>
        <w:t>August 20</w:t>
      </w:r>
      <w:r w:rsidR="007A33AB" w:rsidRPr="00305E83">
        <w:rPr>
          <w:sz w:val="24"/>
          <w:szCs w:val="24"/>
        </w:rPr>
        <w:t>) –</w:t>
      </w:r>
      <w:r w:rsidR="007A33AB">
        <w:rPr>
          <w:sz w:val="24"/>
          <w:szCs w:val="24"/>
        </w:rPr>
        <w:t xml:space="preserve"> San Jose Water (SJW), a wholly-owned subsidiary of SJW Group (NYSE: SJW)</w:t>
      </w:r>
      <w:r w:rsidR="00635B01">
        <w:rPr>
          <w:sz w:val="24"/>
          <w:szCs w:val="24"/>
        </w:rPr>
        <w:t>,</w:t>
      </w:r>
      <w:r w:rsidR="007A33AB">
        <w:rPr>
          <w:sz w:val="24"/>
          <w:szCs w:val="24"/>
        </w:rPr>
        <w:t xml:space="preserve"> today announced that</w:t>
      </w:r>
      <w:r w:rsidR="009B5A06">
        <w:rPr>
          <w:sz w:val="24"/>
          <w:szCs w:val="24"/>
        </w:rPr>
        <w:t>, together with the Public Advocates Office (PAO),</w:t>
      </w:r>
      <w:r w:rsidR="007A33AB">
        <w:rPr>
          <w:sz w:val="24"/>
          <w:szCs w:val="24"/>
        </w:rPr>
        <w:t xml:space="preserve"> it has reached a constructive settlement agreement in its 2025 to 2027 </w:t>
      </w:r>
      <w:r w:rsidR="00635B01">
        <w:rPr>
          <w:sz w:val="24"/>
          <w:szCs w:val="24"/>
        </w:rPr>
        <w:t>G</w:t>
      </w:r>
      <w:r w:rsidR="007A33AB">
        <w:rPr>
          <w:sz w:val="24"/>
          <w:szCs w:val="24"/>
        </w:rPr>
        <w:t xml:space="preserve">eneral </w:t>
      </w:r>
      <w:r w:rsidR="00635B01">
        <w:rPr>
          <w:sz w:val="24"/>
          <w:szCs w:val="24"/>
        </w:rPr>
        <w:t>R</w:t>
      </w:r>
      <w:r w:rsidR="007A33AB">
        <w:rPr>
          <w:sz w:val="24"/>
          <w:szCs w:val="24"/>
        </w:rPr>
        <w:t xml:space="preserve">ate </w:t>
      </w:r>
      <w:r w:rsidR="00635B01">
        <w:rPr>
          <w:sz w:val="24"/>
          <w:szCs w:val="24"/>
        </w:rPr>
        <w:t>C</w:t>
      </w:r>
      <w:r w:rsidR="007A33AB">
        <w:rPr>
          <w:sz w:val="24"/>
          <w:szCs w:val="24"/>
        </w:rPr>
        <w:t>ase</w:t>
      </w:r>
      <w:r w:rsidR="00635B01">
        <w:rPr>
          <w:sz w:val="24"/>
          <w:szCs w:val="24"/>
        </w:rPr>
        <w:t xml:space="preserve"> (GRC)</w:t>
      </w:r>
      <w:r w:rsidR="00703F30">
        <w:rPr>
          <w:sz w:val="24"/>
          <w:szCs w:val="24"/>
        </w:rPr>
        <w:t xml:space="preserve"> that was filed with the California Public Utilities Commission (CPUC) on January 2, 2024</w:t>
      </w:r>
      <w:r w:rsidR="007A33AB">
        <w:rPr>
          <w:sz w:val="24"/>
          <w:szCs w:val="24"/>
        </w:rPr>
        <w:t xml:space="preserve">. The </w:t>
      </w:r>
      <w:r w:rsidR="00D90BEF">
        <w:rPr>
          <w:sz w:val="24"/>
          <w:szCs w:val="24"/>
        </w:rPr>
        <w:t xml:space="preserve">settlement </w:t>
      </w:r>
      <w:r w:rsidR="007A33AB">
        <w:rPr>
          <w:sz w:val="24"/>
          <w:szCs w:val="24"/>
        </w:rPr>
        <w:t>agreement</w:t>
      </w:r>
      <w:r w:rsidR="00685E41">
        <w:rPr>
          <w:sz w:val="24"/>
          <w:szCs w:val="24"/>
        </w:rPr>
        <w:t>,</w:t>
      </w:r>
      <w:r w:rsidR="007A33AB">
        <w:rPr>
          <w:sz w:val="24"/>
          <w:szCs w:val="24"/>
        </w:rPr>
        <w:t xml:space="preserve"> filed </w:t>
      </w:r>
      <w:r w:rsidR="00703F30">
        <w:rPr>
          <w:sz w:val="24"/>
          <w:szCs w:val="24"/>
        </w:rPr>
        <w:t xml:space="preserve">on August </w:t>
      </w:r>
      <w:r w:rsidR="00BF3C66">
        <w:rPr>
          <w:sz w:val="24"/>
          <w:szCs w:val="24"/>
        </w:rPr>
        <w:t>19</w:t>
      </w:r>
      <w:r w:rsidR="00703F30">
        <w:rPr>
          <w:sz w:val="24"/>
          <w:szCs w:val="24"/>
        </w:rPr>
        <w:t xml:space="preserve">, </w:t>
      </w:r>
      <w:proofErr w:type="gramStart"/>
      <w:r w:rsidR="00B105F4">
        <w:rPr>
          <w:sz w:val="24"/>
          <w:szCs w:val="24"/>
        </w:rPr>
        <w:t>2024</w:t>
      </w:r>
      <w:proofErr w:type="gramEnd"/>
      <w:r w:rsidR="002A328C">
        <w:rPr>
          <w:sz w:val="24"/>
          <w:szCs w:val="24"/>
        </w:rPr>
        <w:t xml:space="preserve"> </w:t>
      </w:r>
      <w:r w:rsidR="007A33AB">
        <w:rPr>
          <w:sz w:val="24"/>
          <w:szCs w:val="24"/>
        </w:rPr>
        <w:t>with the CPUC</w:t>
      </w:r>
      <w:r w:rsidR="00703F30">
        <w:rPr>
          <w:sz w:val="24"/>
          <w:szCs w:val="24"/>
        </w:rPr>
        <w:t xml:space="preserve"> for its approval</w:t>
      </w:r>
      <w:r w:rsidR="002A328C">
        <w:rPr>
          <w:sz w:val="24"/>
          <w:szCs w:val="24"/>
        </w:rPr>
        <w:t>,</w:t>
      </w:r>
      <w:r w:rsidR="00303F22" w:rsidRPr="00BF3C66">
        <w:rPr>
          <w:sz w:val="24"/>
          <w:szCs w:val="24"/>
        </w:rPr>
        <w:t xml:space="preserve"> excludes two policy issues which will be litigated</w:t>
      </w:r>
      <w:r w:rsidR="00032C04">
        <w:rPr>
          <w:sz w:val="24"/>
          <w:szCs w:val="24"/>
        </w:rPr>
        <w:t xml:space="preserve"> via briefs filed on August 1</w:t>
      </w:r>
      <w:r w:rsidR="00703F30">
        <w:rPr>
          <w:sz w:val="24"/>
          <w:szCs w:val="24"/>
        </w:rPr>
        <w:t>, 2024</w:t>
      </w:r>
      <w:r w:rsidR="00303F22" w:rsidRPr="00BF3C66">
        <w:rPr>
          <w:sz w:val="24"/>
          <w:szCs w:val="24"/>
        </w:rPr>
        <w:t>.</w:t>
      </w:r>
      <w:r w:rsidR="00303F22">
        <w:rPr>
          <w:sz w:val="24"/>
          <w:szCs w:val="24"/>
        </w:rPr>
        <w:t xml:space="preserve"> </w:t>
      </w:r>
    </w:p>
    <w:p w14:paraId="242EE565" w14:textId="5FF925F5" w:rsidR="00D74CB8" w:rsidRDefault="007A33AB" w:rsidP="007A33AB">
      <w:pPr>
        <w:rPr>
          <w:sz w:val="24"/>
          <w:szCs w:val="24"/>
          <w:shd w:val="clear" w:color="auto" w:fill="FFFFFF"/>
        </w:rPr>
      </w:pPr>
      <w:r w:rsidRPr="0044079E">
        <w:rPr>
          <w:sz w:val="24"/>
          <w:szCs w:val="24"/>
        </w:rPr>
        <w:t>“</w:t>
      </w:r>
      <w:r w:rsidR="00FC6299">
        <w:rPr>
          <w:sz w:val="24"/>
          <w:szCs w:val="24"/>
        </w:rPr>
        <w:t xml:space="preserve">I am grateful to the PAO for diligently working </w:t>
      </w:r>
      <w:r w:rsidR="00D90BEF">
        <w:rPr>
          <w:sz w:val="24"/>
          <w:szCs w:val="24"/>
        </w:rPr>
        <w:t xml:space="preserve">with us </w:t>
      </w:r>
      <w:r w:rsidR="00FC6299">
        <w:rPr>
          <w:sz w:val="24"/>
          <w:szCs w:val="24"/>
        </w:rPr>
        <w:t xml:space="preserve">to achieve this constructive agreement </w:t>
      </w:r>
      <w:r w:rsidR="00D90BEF">
        <w:rPr>
          <w:sz w:val="24"/>
          <w:szCs w:val="24"/>
        </w:rPr>
        <w:t>that</w:t>
      </w:r>
      <w:r w:rsidR="00FC6299">
        <w:rPr>
          <w:sz w:val="24"/>
          <w:szCs w:val="24"/>
        </w:rPr>
        <w:t xml:space="preserve"> reflects </w:t>
      </w:r>
      <w:r w:rsidR="00D90BEF">
        <w:rPr>
          <w:sz w:val="24"/>
          <w:szCs w:val="24"/>
        </w:rPr>
        <w:t>our</w:t>
      </w:r>
      <w:r w:rsidR="001A7015" w:rsidRPr="0044079E">
        <w:rPr>
          <w:sz w:val="24"/>
          <w:szCs w:val="24"/>
        </w:rPr>
        <w:t xml:space="preserve"> </w:t>
      </w:r>
      <w:r w:rsidR="00FC6299">
        <w:rPr>
          <w:sz w:val="24"/>
          <w:szCs w:val="24"/>
        </w:rPr>
        <w:t xml:space="preserve">shared </w:t>
      </w:r>
      <w:r w:rsidR="001A7015" w:rsidRPr="0044079E">
        <w:rPr>
          <w:sz w:val="24"/>
          <w:szCs w:val="24"/>
        </w:rPr>
        <w:t xml:space="preserve">goal </w:t>
      </w:r>
      <w:r w:rsidR="00D90BEF">
        <w:rPr>
          <w:sz w:val="24"/>
          <w:szCs w:val="24"/>
        </w:rPr>
        <w:t xml:space="preserve">of </w:t>
      </w:r>
      <w:r w:rsidR="001A7015" w:rsidRPr="0044079E">
        <w:rPr>
          <w:sz w:val="24"/>
          <w:szCs w:val="24"/>
        </w:rPr>
        <w:t>ensur</w:t>
      </w:r>
      <w:r w:rsidR="00D90BEF">
        <w:rPr>
          <w:sz w:val="24"/>
          <w:szCs w:val="24"/>
        </w:rPr>
        <w:t>ing</w:t>
      </w:r>
      <w:r w:rsidR="001A7015" w:rsidRPr="0044079E">
        <w:rPr>
          <w:sz w:val="24"/>
          <w:szCs w:val="24"/>
        </w:rPr>
        <w:t xml:space="preserve"> </w:t>
      </w:r>
      <w:r w:rsidR="00D90BEF">
        <w:rPr>
          <w:sz w:val="24"/>
          <w:szCs w:val="24"/>
        </w:rPr>
        <w:t xml:space="preserve">that </w:t>
      </w:r>
      <w:r w:rsidR="001A7015" w:rsidRPr="0044079E">
        <w:rPr>
          <w:sz w:val="24"/>
          <w:szCs w:val="24"/>
        </w:rPr>
        <w:t>customers have high-quality drinking water and reliable service at fair rates</w:t>
      </w:r>
      <w:r w:rsidR="003618AD">
        <w:rPr>
          <w:sz w:val="24"/>
          <w:szCs w:val="24"/>
        </w:rPr>
        <w:t xml:space="preserve">,” </w:t>
      </w:r>
      <w:r w:rsidR="001A7015" w:rsidRPr="0044079E">
        <w:rPr>
          <w:sz w:val="24"/>
          <w:szCs w:val="24"/>
        </w:rPr>
        <w:t xml:space="preserve">stated </w:t>
      </w:r>
      <w:r w:rsidR="00635B01">
        <w:rPr>
          <w:sz w:val="24"/>
          <w:szCs w:val="24"/>
        </w:rPr>
        <w:t>Tanya Moniz-Witten</w:t>
      </w:r>
      <w:r w:rsidR="00CC3E1D">
        <w:rPr>
          <w:sz w:val="24"/>
          <w:szCs w:val="24"/>
        </w:rPr>
        <w:t>,</w:t>
      </w:r>
      <w:r w:rsidR="00CC3E1D" w:rsidRPr="00CC3E1D">
        <w:rPr>
          <w:sz w:val="24"/>
          <w:szCs w:val="24"/>
        </w:rPr>
        <w:t xml:space="preserve"> </w:t>
      </w:r>
      <w:r w:rsidR="00CC3E1D" w:rsidRPr="0044079E">
        <w:rPr>
          <w:sz w:val="24"/>
          <w:szCs w:val="24"/>
        </w:rPr>
        <w:t>SJW</w:t>
      </w:r>
      <w:r w:rsidR="00D81AFE">
        <w:rPr>
          <w:sz w:val="24"/>
          <w:szCs w:val="24"/>
        </w:rPr>
        <w:t>’s</w:t>
      </w:r>
      <w:r w:rsidR="00CC3E1D" w:rsidRPr="0044079E">
        <w:rPr>
          <w:sz w:val="24"/>
          <w:szCs w:val="24"/>
        </w:rPr>
        <w:t xml:space="preserve"> </w:t>
      </w:r>
      <w:r w:rsidR="00CC3E1D">
        <w:rPr>
          <w:sz w:val="24"/>
          <w:szCs w:val="24"/>
        </w:rPr>
        <w:t>President</w:t>
      </w:r>
      <w:r w:rsidR="001A7015" w:rsidRPr="0044079E">
        <w:rPr>
          <w:sz w:val="24"/>
          <w:szCs w:val="24"/>
        </w:rPr>
        <w:t xml:space="preserve">. </w:t>
      </w:r>
      <w:r w:rsidR="0044079E">
        <w:rPr>
          <w:sz w:val="24"/>
          <w:szCs w:val="24"/>
        </w:rPr>
        <w:t>“</w:t>
      </w:r>
      <w:r w:rsidR="00FC6299">
        <w:rPr>
          <w:sz w:val="24"/>
          <w:szCs w:val="24"/>
        </w:rPr>
        <w:t>This agreement enables</w:t>
      </w:r>
      <w:r w:rsidR="00D90BEF">
        <w:rPr>
          <w:sz w:val="24"/>
          <w:szCs w:val="24"/>
        </w:rPr>
        <w:t xml:space="preserve"> SJW to </w:t>
      </w:r>
      <w:r w:rsidR="0044079E">
        <w:rPr>
          <w:sz w:val="24"/>
          <w:szCs w:val="24"/>
        </w:rPr>
        <w:t xml:space="preserve">invest </w:t>
      </w:r>
      <w:r w:rsidR="002762E7">
        <w:rPr>
          <w:sz w:val="24"/>
          <w:szCs w:val="24"/>
        </w:rPr>
        <w:t xml:space="preserve">$450 </w:t>
      </w:r>
      <w:r w:rsidR="0044079E">
        <w:rPr>
          <w:sz w:val="24"/>
          <w:szCs w:val="24"/>
        </w:rPr>
        <w:t>million over three years in drinking water infrastructure</w:t>
      </w:r>
      <w:r w:rsidR="00FC6299">
        <w:rPr>
          <w:sz w:val="24"/>
          <w:szCs w:val="24"/>
        </w:rPr>
        <w:t xml:space="preserve"> </w:t>
      </w:r>
      <w:r w:rsidR="00D90BEF">
        <w:rPr>
          <w:sz w:val="24"/>
          <w:szCs w:val="24"/>
        </w:rPr>
        <w:t xml:space="preserve">in our local service area </w:t>
      </w:r>
      <w:r w:rsidR="0044079E">
        <w:rPr>
          <w:sz w:val="24"/>
          <w:szCs w:val="24"/>
        </w:rPr>
        <w:t>t</w:t>
      </w:r>
      <w:r w:rsidR="00635B01">
        <w:rPr>
          <w:sz w:val="24"/>
          <w:szCs w:val="24"/>
        </w:rPr>
        <w:t xml:space="preserve">o </w:t>
      </w:r>
      <w:r w:rsidR="0044079E">
        <w:rPr>
          <w:sz w:val="24"/>
          <w:szCs w:val="24"/>
        </w:rPr>
        <w:t xml:space="preserve">support </w:t>
      </w:r>
      <w:r w:rsidR="0044079E" w:rsidRPr="0044079E">
        <w:rPr>
          <w:sz w:val="24"/>
          <w:szCs w:val="24"/>
          <w:shd w:val="clear" w:color="auto" w:fill="FFFFFF"/>
        </w:rPr>
        <w:t>day-to-day</w:t>
      </w:r>
      <w:r w:rsidR="0044079E">
        <w:rPr>
          <w:sz w:val="24"/>
          <w:szCs w:val="24"/>
          <w:shd w:val="clear" w:color="auto" w:fill="FFFFFF"/>
        </w:rPr>
        <w:t xml:space="preserve"> water system</w:t>
      </w:r>
      <w:r w:rsidR="0044079E" w:rsidRPr="0044079E">
        <w:rPr>
          <w:sz w:val="24"/>
          <w:szCs w:val="24"/>
          <w:shd w:val="clear" w:color="auto" w:fill="FFFFFF"/>
        </w:rPr>
        <w:t xml:space="preserve"> function</w:t>
      </w:r>
      <w:r w:rsidR="0044079E">
        <w:rPr>
          <w:sz w:val="24"/>
          <w:szCs w:val="24"/>
          <w:shd w:val="clear" w:color="auto" w:fill="FFFFFF"/>
        </w:rPr>
        <w:t>s</w:t>
      </w:r>
      <w:r w:rsidR="0044079E" w:rsidRPr="0044079E">
        <w:rPr>
          <w:sz w:val="24"/>
          <w:szCs w:val="24"/>
          <w:shd w:val="clear" w:color="auto" w:fill="FFFFFF"/>
        </w:rPr>
        <w:t>,</w:t>
      </w:r>
      <w:r w:rsidR="00635B01">
        <w:rPr>
          <w:sz w:val="24"/>
          <w:szCs w:val="24"/>
          <w:shd w:val="clear" w:color="auto" w:fill="FFFFFF"/>
        </w:rPr>
        <w:t xml:space="preserve"> in addition to </w:t>
      </w:r>
      <w:r w:rsidR="0044079E" w:rsidRPr="0044079E">
        <w:rPr>
          <w:sz w:val="24"/>
          <w:szCs w:val="24"/>
          <w:shd w:val="clear" w:color="auto" w:fill="FFFFFF"/>
        </w:rPr>
        <w:t>support</w:t>
      </w:r>
      <w:r w:rsidR="00635B01">
        <w:rPr>
          <w:sz w:val="24"/>
          <w:szCs w:val="24"/>
          <w:shd w:val="clear" w:color="auto" w:fill="FFFFFF"/>
        </w:rPr>
        <w:t>ing</w:t>
      </w:r>
      <w:r w:rsidR="0044079E" w:rsidRPr="0044079E">
        <w:rPr>
          <w:sz w:val="24"/>
          <w:szCs w:val="24"/>
          <w:shd w:val="clear" w:color="auto" w:fill="FFFFFF"/>
        </w:rPr>
        <w:t xml:space="preserve"> fire protection, economic vibrancy, and environmental conservation efforts.</w:t>
      </w:r>
      <w:r w:rsidR="00D74CB8">
        <w:rPr>
          <w:sz w:val="24"/>
          <w:szCs w:val="24"/>
          <w:shd w:val="clear" w:color="auto" w:fill="FFFFFF"/>
        </w:rPr>
        <w:t xml:space="preserve"> We are committed to our daily mission of serving our customers, communities, and the environment at best-in-class levels</w:t>
      </w:r>
      <w:r w:rsidR="00C87405">
        <w:rPr>
          <w:sz w:val="24"/>
          <w:szCs w:val="24"/>
          <w:shd w:val="clear" w:color="auto" w:fill="FFFFFF"/>
        </w:rPr>
        <w:t>. T</w:t>
      </w:r>
      <w:r w:rsidR="00D74CB8">
        <w:rPr>
          <w:sz w:val="24"/>
          <w:szCs w:val="24"/>
          <w:shd w:val="clear" w:color="auto" w:fill="FFFFFF"/>
        </w:rPr>
        <w:t>he settlement agreement positions us to deliver on this promise more effectively.</w:t>
      </w:r>
      <w:r w:rsidR="0044079E">
        <w:rPr>
          <w:sz w:val="24"/>
          <w:szCs w:val="24"/>
          <w:shd w:val="clear" w:color="auto" w:fill="FFFFFF"/>
        </w:rPr>
        <w:t>”</w:t>
      </w:r>
    </w:p>
    <w:p w14:paraId="1A4CE241" w14:textId="5D0FF23F" w:rsidR="007A33AB" w:rsidRDefault="00CC3E1D" w:rsidP="007A33AB">
      <w:pPr>
        <w:rPr>
          <w:sz w:val="24"/>
          <w:szCs w:val="24"/>
        </w:rPr>
      </w:pPr>
      <w:r>
        <w:rPr>
          <w:sz w:val="24"/>
          <w:szCs w:val="24"/>
        </w:rPr>
        <w:t>In addition to the $450 million three-year capital budget, the settlement agreement</w:t>
      </w:r>
      <w:r w:rsidR="0044079E" w:rsidRPr="0044079E">
        <w:rPr>
          <w:sz w:val="24"/>
          <w:szCs w:val="24"/>
        </w:rPr>
        <w:t>:</w:t>
      </w:r>
    </w:p>
    <w:p w14:paraId="0D5B5494" w14:textId="47CD47FB" w:rsidR="00CC3E1D" w:rsidRDefault="00CC3E1D" w:rsidP="00CC3E1D">
      <w:pPr>
        <w:pStyle w:val="ListParagraph"/>
        <w:numPr>
          <w:ilvl w:val="0"/>
          <w:numId w:val="2"/>
        </w:numPr>
        <w:rPr>
          <w:sz w:val="24"/>
          <w:szCs w:val="24"/>
        </w:rPr>
      </w:pPr>
      <w:r>
        <w:rPr>
          <w:sz w:val="24"/>
          <w:szCs w:val="24"/>
        </w:rPr>
        <w:t xml:space="preserve">Further aligns actual </w:t>
      </w:r>
      <w:r w:rsidR="002A328C">
        <w:rPr>
          <w:sz w:val="24"/>
          <w:szCs w:val="24"/>
        </w:rPr>
        <w:t>compared to</w:t>
      </w:r>
      <w:r>
        <w:rPr>
          <w:sz w:val="24"/>
          <w:szCs w:val="24"/>
        </w:rPr>
        <w:t xml:space="preserve"> authorized usage through a lower sales forecast;</w:t>
      </w:r>
    </w:p>
    <w:p w14:paraId="535B79A7" w14:textId="713F6123" w:rsidR="00CC3E1D" w:rsidRDefault="00CC3E1D" w:rsidP="00CC3E1D">
      <w:pPr>
        <w:pStyle w:val="ListParagraph"/>
        <w:numPr>
          <w:ilvl w:val="0"/>
          <w:numId w:val="2"/>
        </w:numPr>
        <w:rPr>
          <w:sz w:val="24"/>
          <w:szCs w:val="24"/>
        </w:rPr>
      </w:pPr>
      <w:r>
        <w:rPr>
          <w:sz w:val="24"/>
          <w:szCs w:val="24"/>
        </w:rPr>
        <w:t>Provides for greater revenue recovery through the service charge; and,</w:t>
      </w:r>
    </w:p>
    <w:p w14:paraId="54318B87" w14:textId="4A3239F0" w:rsidR="0044079E" w:rsidRPr="0044079E" w:rsidRDefault="00D81AFE" w:rsidP="002A328C">
      <w:pPr>
        <w:pStyle w:val="ListParagraph"/>
        <w:numPr>
          <w:ilvl w:val="0"/>
          <w:numId w:val="2"/>
        </w:numPr>
      </w:pPr>
      <w:r>
        <w:rPr>
          <w:sz w:val="24"/>
          <w:szCs w:val="24"/>
        </w:rPr>
        <w:t>Approves</w:t>
      </w:r>
      <w:r w:rsidR="00CC3E1D">
        <w:rPr>
          <w:sz w:val="24"/>
          <w:szCs w:val="24"/>
        </w:rPr>
        <w:t xml:space="preserve"> the recovery of </w:t>
      </w:r>
      <w:r>
        <w:rPr>
          <w:sz w:val="24"/>
          <w:szCs w:val="24"/>
        </w:rPr>
        <w:t>$15.</w:t>
      </w:r>
      <w:r w:rsidR="00637855">
        <w:rPr>
          <w:sz w:val="24"/>
          <w:szCs w:val="24"/>
        </w:rPr>
        <w:t>8</w:t>
      </w:r>
      <w:r>
        <w:rPr>
          <w:sz w:val="24"/>
          <w:szCs w:val="24"/>
        </w:rPr>
        <w:t xml:space="preserve"> million from balancing and memorandum accounts.</w:t>
      </w:r>
    </w:p>
    <w:p w14:paraId="29A1419D" w14:textId="15FC5576" w:rsidR="00093008" w:rsidRDefault="00093008" w:rsidP="0044079E">
      <w:pPr>
        <w:rPr>
          <w:sz w:val="24"/>
          <w:szCs w:val="24"/>
          <w:shd w:val="clear" w:color="auto" w:fill="FFFFFF"/>
        </w:rPr>
      </w:pPr>
      <w:r>
        <w:rPr>
          <w:sz w:val="24"/>
          <w:szCs w:val="24"/>
          <w:shd w:val="clear" w:color="auto" w:fill="FFFFFF"/>
        </w:rPr>
        <w:t>The two litigated items relate to includ</w:t>
      </w:r>
      <w:r w:rsidR="002A328C">
        <w:rPr>
          <w:sz w:val="24"/>
          <w:szCs w:val="24"/>
          <w:shd w:val="clear" w:color="auto" w:fill="FFFFFF"/>
        </w:rPr>
        <w:t>ing</w:t>
      </w:r>
      <w:r>
        <w:rPr>
          <w:sz w:val="24"/>
          <w:szCs w:val="24"/>
          <w:shd w:val="clear" w:color="auto" w:fill="FFFFFF"/>
        </w:rPr>
        <w:t xml:space="preserve"> chemical and waste disposal costs in </w:t>
      </w:r>
      <w:r w:rsidR="00BF3C66">
        <w:rPr>
          <w:sz w:val="24"/>
          <w:szCs w:val="24"/>
          <w:shd w:val="clear" w:color="auto" w:fill="FFFFFF"/>
        </w:rPr>
        <w:t>the company’s</w:t>
      </w:r>
      <w:r>
        <w:rPr>
          <w:sz w:val="24"/>
          <w:szCs w:val="24"/>
          <w:shd w:val="clear" w:color="auto" w:fill="FFFFFF"/>
        </w:rPr>
        <w:t xml:space="preserve"> full cost balancing account</w:t>
      </w:r>
      <w:r w:rsidR="00BF3C66">
        <w:rPr>
          <w:sz w:val="24"/>
          <w:szCs w:val="24"/>
          <w:shd w:val="clear" w:color="auto" w:fill="FFFFFF"/>
        </w:rPr>
        <w:t>,</w:t>
      </w:r>
      <w:r>
        <w:rPr>
          <w:sz w:val="24"/>
          <w:szCs w:val="24"/>
          <w:shd w:val="clear" w:color="auto" w:fill="FFFFFF"/>
        </w:rPr>
        <w:t xml:space="preserve"> and to adjust</w:t>
      </w:r>
      <w:r w:rsidR="002A328C">
        <w:rPr>
          <w:sz w:val="24"/>
          <w:szCs w:val="24"/>
          <w:shd w:val="clear" w:color="auto" w:fill="FFFFFF"/>
        </w:rPr>
        <w:t>ing</w:t>
      </w:r>
      <w:r>
        <w:rPr>
          <w:sz w:val="24"/>
          <w:szCs w:val="24"/>
          <w:shd w:val="clear" w:color="auto" w:fill="FFFFFF"/>
        </w:rPr>
        <w:t xml:space="preserve"> </w:t>
      </w:r>
      <w:r w:rsidR="00BF3C66">
        <w:rPr>
          <w:sz w:val="24"/>
          <w:szCs w:val="24"/>
          <w:shd w:val="clear" w:color="auto" w:fill="FFFFFF"/>
        </w:rPr>
        <w:t xml:space="preserve">its </w:t>
      </w:r>
      <w:r>
        <w:rPr>
          <w:sz w:val="24"/>
          <w:szCs w:val="24"/>
          <w:shd w:val="clear" w:color="auto" w:fill="FFFFFF"/>
        </w:rPr>
        <w:t xml:space="preserve">service charge calculation. </w:t>
      </w:r>
    </w:p>
    <w:p w14:paraId="57AFA946" w14:textId="2C6F5061" w:rsidR="00405AD9" w:rsidRDefault="00405AD9" w:rsidP="0044079E">
      <w:pPr>
        <w:rPr>
          <w:sz w:val="24"/>
          <w:szCs w:val="24"/>
          <w:shd w:val="clear" w:color="auto" w:fill="FFFFFF"/>
        </w:rPr>
      </w:pPr>
      <w:r>
        <w:rPr>
          <w:sz w:val="24"/>
          <w:szCs w:val="24"/>
          <w:shd w:val="clear" w:color="auto" w:fill="FFFFFF"/>
        </w:rPr>
        <w:t>Water Rate Advocates for Transparency, Equity, and Sustainability (WRATES) had originally agreed to the settlement agreement in principle on June 14, 2024. WRATES has since decided to not sign on to the settlement agreement.</w:t>
      </w:r>
    </w:p>
    <w:p w14:paraId="19EF0D4D" w14:textId="0C6754CE" w:rsidR="002264AB" w:rsidRPr="002264AB" w:rsidRDefault="002264AB" w:rsidP="0044079E">
      <w:pPr>
        <w:rPr>
          <w:sz w:val="24"/>
          <w:szCs w:val="24"/>
          <w:shd w:val="clear" w:color="auto" w:fill="FFFFFF"/>
        </w:rPr>
      </w:pPr>
      <w:r w:rsidRPr="002264AB">
        <w:rPr>
          <w:sz w:val="24"/>
          <w:szCs w:val="24"/>
          <w:shd w:val="clear" w:color="auto" w:fill="FFFFFF"/>
        </w:rPr>
        <w:t>Every three years, water utilities regulated by the CPUC are required to submit a filing detailing proposed rate adjustments and the reasons for these adjustments. The CPUC and P</w:t>
      </w:r>
      <w:r w:rsidR="002A328C">
        <w:rPr>
          <w:sz w:val="24"/>
          <w:szCs w:val="24"/>
          <w:shd w:val="clear" w:color="auto" w:fill="FFFFFF"/>
        </w:rPr>
        <w:t>AO</w:t>
      </w:r>
      <w:r w:rsidRPr="002264AB">
        <w:rPr>
          <w:sz w:val="24"/>
          <w:szCs w:val="24"/>
          <w:shd w:val="clear" w:color="auto" w:fill="FFFFFF"/>
        </w:rPr>
        <w:t xml:space="preserve"> analyze each aspect of the rate application as part of a transparent public process</w:t>
      </w:r>
      <w:r>
        <w:rPr>
          <w:sz w:val="24"/>
          <w:szCs w:val="24"/>
          <w:shd w:val="clear" w:color="auto" w:fill="FFFFFF"/>
        </w:rPr>
        <w:t xml:space="preserve">, </w:t>
      </w:r>
      <w:r w:rsidR="00217F6B">
        <w:rPr>
          <w:sz w:val="24"/>
          <w:szCs w:val="24"/>
          <w:shd w:val="clear" w:color="auto" w:fill="FFFFFF"/>
        </w:rPr>
        <w:t>which includes</w:t>
      </w:r>
      <w:r>
        <w:rPr>
          <w:sz w:val="24"/>
          <w:szCs w:val="24"/>
          <w:shd w:val="clear" w:color="auto" w:fill="FFFFFF"/>
        </w:rPr>
        <w:t xml:space="preserve"> public hearings and opportunities to share feedback</w:t>
      </w:r>
      <w:r w:rsidR="00635B01">
        <w:rPr>
          <w:sz w:val="24"/>
          <w:szCs w:val="24"/>
          <w:shd w:val="clear" w:color="auto" w:fill="FFFFFF"/>
        </w:rPr>
        <w:t xml:space="preserve"> — all to </w:t>
      </w:r>
      <w:r w:rsidRPr="002264AB">
        <w:rPr>
          <w:sz w:val="24"/>
          <w:szCs w:val="24"/>
          <w:shd w:val="clear" w:color="auto" w:fill="FFFFFF"/>
        </w:rPr>
        <w:t xml:space="preserve">ensure </w:t>
      </w:r>
      <w:r w:rsidR="002762E7">
        <w:rPr>
          <w:sz w:val="24"/>
          <w:szCs w:val="24"/>
          <w:shd w:val="clear" w:color="auto" w:fill="FFFFFF"/>
        </w:rPr>
        <w:t>just and</w:t>
      </w:r>
      <w:r w:rsidRPr="002264AB">
        <w:rPr>
          <w:sz w:val="24"/>
          <w:szCs w:val="24"/>
          <w:shd w:val="clear" w:color="auto" w:fill="FFFFFF"/>
        </w:rPr>
        <w:t xml:space="preserve"> reasonable rates</w:t>
      </w:r>
      <w:r w:rsidR="003618AD">
        <w:rPr>
          <w:sz w:val="24"/>
          <w:szCs w:val="24"/>
          <w:shd w:val="clear" w:color="auto" w:fill="FFFFFF"/>
        </w:rPr>
        <w:t>,</w:t>
      </w:r>
      <w:r w:rsidR="002762E7">
        <w:rPr>
          <w:sz w:val="24"/>
          <w:szCs w:val="24"/>
          <w:shd w:val="clear" w:color="auto" w:fill="FFFFFF"/>
        </w:rPr>
        <w:t xml:space="preserve"> and safe and reliable infrastructure</w:t>
      </w:r>
      <w:r w:rsidRPr="002264AB">
        <w:rPr>
          <w:sz w:val="24"/>
          <w:szCs w:val="24"/>
          <w:shd w:val="clear" w:color="auto" w:fill="FFFFFF"/>
        </w:rPr>
        <w:t xml:space="preserve">. </w:t>
      </w:r>
    </w:p>
    <w:p w14:paraId="1BF6DAAD" w14:textId="732D1A81" w:rsidR="002264AB" w:rsidRDefault="0044079E" w:rsidP="0044079E">
      <w:pPr>
        <w:rPr>
          <w:sz w:val="24"/>
          <w:szCs w:val="24"/>
        </w:rPr>
      </w:pPr>
      <w:r w:rsidRPr="002264AB">
        <w:rPr>
          <w:sz w:val="24"/>
          <w:szCs w:val="24"/>
        </w:rPr>
        <w:lastRenderedPageBreak/>
        <w:t>The CPUC is expected to render a decision on the settlement agreement in the fourth quarter of 2024</w:t>
      </w:r>
      <w:r w:rsidR="002264AB">
        <w:rPr>
          <w:sz w:val="24"/>
          <w:szCs w:val="24"/>
        </w:rPr>
        <w:t xml:space="preserve"> with new rates effective on January 1, 2025.</w:t>
      </w:r>
    </w:p>
    <w:p w14:paraId="62CB4BB6" w14:textId="77777777" w:rsidR="00BF3C66" w:rsidRDefault="00BF3C66" w:rsidP="002264AB">
      <w:pPr>
        <w:pStyle w:val="NormalWeb"/>
        <w:shd w:val="clear" w:color="auto" w:fill="FFFFFF"/>
        <w:rPr>
          <w:rStyle w:val="Strong"/>
          <w:rFonts w:asciiTheme="minorHAnsi" w:eastAsiaTheme="majorEastAsia" w:hAnsiTheme="minorHAnsi"/>
        </w:rPr>
      </w:pPr>
    </w:p>
    <w:p w14:paraId="1ABE1EC0" w14:textId="245EC57E" w:rsidR="002264AB" w:rsidRPr="00217F6B" w:rsidRDefault="002264AB" w:rsidP="002264AB">
      <w:pPr>
        <w:pStyle w:val="NormalWeb"/>
        <w:shd w:val="clear" w:color="auto" w:fill="FFFFFF"/>
        <w:rPr>
          <w:rFonts w:asciiTheme="minorHAnsi" w:hAnsiTheme="minorHAnsi"/>
        </w:rPr>
      </w:pPr>
      <w:r w:rsidRPr="00217F6B">
        <w:rPr>
          <w:rStyle w:val="Strong"/>
          <w:rFonts w:asciiTheme="minorHAnsi" w:eastAsiaTheme="majorEastAsia" w:hAnsiTheme="minorHAnsi"/>
        </w:rPr>
        <w:t>About San Jose Water</w:t>
      </w:r>
    </w:p>
    <w:p w14:paraId="0AAE70D6" w14:textId="65664DF0" w:rsidR="002264AB" w:rsidRPr="00217F6B" w:rsidRDefault="002264AB" w:rsidP="002264AB">
      <w:pPr>
        <w:pStyle w:val="NormalWeb"/>
        <w:shd w:val="clear" w:color="auto" w:fill="FFFFFF"/>
        <w:rPr>
          <w:rFonts w:asciiTheme="minorHAnsi" w:hAnsiTheme="minorHAnsi"/>
        </w:rPr>
      </w:pPr>
      <w:r w:rsidRPr="00217F6B">
        <w:rPr>
          <w:rFonts w:asciiTheme="minorHAnsi" w:hAnsiTheme="minorHAnsi"/>
        </w:rPr>
        <w:t xml:space="preserve">Founded in 1866, San Jose Water is an investor-owned public utility, and is one of the largest and most technically sophisticated urban water systems in the United States. Serving over one million people in the greater San Jose metropolitan area, San Jose Water also provides services to other utilities including operations and maintenance, billing, and backflow testing. San Jose Water is owned by SJW Group, a publicly traded company listed on the New York Stock Exchange under the symbol SJW. SJW Group also owns: Connecticut Water Company in Connecticut; Maine Water Company in Maine; and SJWTX, Inc. (dba Texas Water Company) in Texas. To learn more about San Jose Water, visit </w:t>
      </w:r>
      <w:hyperlink r:id="rId6" w:history="1">
        <w:r w:rsidRPr="00217F6B">
          <w:rPr>
            <w:rStyle w:val="Hyperlink"/>
            <w:rFonts w:asciiTheme="minorHAnsi" w:hAnsiTheme="minorHAnsi"/>
            <w:color w:val="auto"/>
          </w:rPr>
          <w:t>www.sjwater.com</w:t>
        </w:r>
      </w:hyperlink>
      <w:r w:rsidRPr="00217F6B">
        <w:rPr>
          <w:rFonts w:asciiTheme="minorHAnsi" w:hAnsiTheme="minorHAnsi"/>
        </w:rPr>
        <w:t>.</w:t>
      </w:r>
    </w:p>
    <w:p w14:paraId="612B8759" w14:textId="77777777" w:rsidR="002264AB" w:rsidRPr="00217F6B" w:rsidRDefault="002264AB" w:rsidP="002264AB">
      <w:pPr>
        <w:pStyle w:val="NormalWeb"/>
        <w:shd w:val="clear" w:color="auto" w:fill="FFFFFF"/>
        <w:rPr>
          <w:rFonts w:asciiTheme="minorHAnsi" w:hAnsiTheme="minorHAnsi"/>
        </w:rPr>
      </w:pPr>
      <w:r w:rsidRPr="00217F6B">
        <w:rPr>
          <w:rStyle w:val="Strong"/>
          <w:rFonts w:asciiTheme="minorHAnsi" w:eastAsiaTheme="majorEastAsia" w:hAnsiTheme="minorHAnsi"/>
        </w:rPr>
        <w:t>Forward-Looking Statements</w:t>
      </w:r>
    </w:p>
    <w:p w14:paraId="0462EA2E" w14:textId="77777777" w:rsidR="00217F6B" w:rsidRPr="00217F6B" w:rsidRDefault="00217F6B" w:rsidP="00217F6B">
      <w:pPr>
        <w:rPr>
          <w:rFonts w:eastAsia="Times New Roman" w:cs="Times New Roman"/>
          <w:kern w:val="0"/>
          <w:sz w:val="24"/>
          <w:szCs w:val="24"/>
          <w14:ligatures w14:val="none"/>
        </w:rPr>
      </w:pPr>
      <w:r w:rsidRPr="00217F6B">
        <w:rPr>
          <w:rFonts w:eastAsia="Times New Roman" w:cs="Times New Roman"/>
          <w:kern w:val="0"/>
          <w:sz w:val="24"/>
          <w:szCs w:val="24"/>
          <w14:ligatures w14:val="none"/>
        </w:rPr>
        <w:t>This release contains forward-looking statements within the meaning of the Private Securities Litigation Reform Act of 1995, as amended. Some of these forward-looking statements can be identified by the use of forward-looking words such as “believes,” “expects,” “estimates,” “anticipates,” “intends,” “seeks,”  “plans,” “projects,” “may,” “should,” “will,” or the negative of those words or other comparable terminology. These forward-looking statements are only predictions and are subject to risks, uncertainties, and assumptions that are difficult to predict.</w:t>
      </w:r>
    </w:p>
    <w:p w14:paraId="61BE9A90" w14:textId="77777777" w:rsidR="00217F6B" w:rsidRPr="00217F6B" w:rsidRDefault="00217F6B" w:rsidP="00217F6B">
      <w:pPr>
        <w:rPr>
          <w:rFonts w:eastAsia="Times New Roman" w:cs="Times New Roman"/>
          <w:kern w:val="0"/>
          <w:sz w:val="24"/>
          <w:szCs w:val="24"/>
          <w14:ligatures w14:val="none"/>
        </w:rPr>
      </w:pPr>
      <w:r w:rsidRPr="00217F6B">
        <w:rPr>
          <w:rFonts w:eastAsia="Times New Roman" w:cs="Times New Roman"/>
          <w:kern w:val="0"/>
          <w:sz w:val="24"/>
          <w:szCs w:val="24"/>
          <w14:ligatures w14:val="none"/>
        </w:rPr>
        <w:t xml:space="preserve">These forward-looking statements involve a number of risks, uncertainties and assumptions including, but not limited to, the following factors:  (1) the effect of water, utility, environmental and other governmental policies and regulations, including regulatory actions concerning rates, authorized return on equity, authorized capital structures, capital expenditures, PFAS and other decisions; (2) changes in demand for water and other services; (3) unanticipated weather conditions and changes in seasonality including those affecting water supply and customer usage; (4) the effect of the impact of climate change; (5) unexpected costs, charges or expenses; (6) our ability to successfully evaluate investments in new business and growth initiatives; (7) contamination of our water supplies and damage or failure of our water equipment and infrastructure; (8) the risk of work stoppages, strikes and other labor-related actions; (9) catastrophic events such as fires, earthquakes, explosions, floods, ice storms, tornadoes, hurricanes, terrorist acts, physical attacks, cyber-attacks, epidemic, or similar occurrences; (10) changes in general economic, political, business and financial market conditions; (11) the ability to obtain financing on favorable terms, which can be affected by various factors, including credit ratings, changes in interest rates, compliance with regulatory requirements, </w:t>
      </w:r>
      <w:r w:rsidRPr="00217F6B">
        <w:rPr>
          <w:rFonts w:eastAsia="Times New Roman" w:cs="Times New Roman"/>
          <w:kern w:val="0"/>
          <w:sz w:val="24"/>
          <w:szCs w:val="24"/>
          <w14:ligatures w14:val="none"/>
        </w:rPr>
        <w:lastRenderedPageBreak/>
        <w:t xml:space="preserve">compliance with the terms and conditions of our outstanding indebtedness, and general market and economic conditions; and (12) legislative, and general market and economic developments. The risks, uncertainties and other factors may cause the actual results, performance or achievements of SJW Group to be materially different from any future results, performance or achievements expressed or implied by such forward-looking statements.   </w:t>
      </w:r>
    </w:p>
    <w:p w14:paraId="7746BF35" w14:textId="683C6B74" w:rsidR="002264AB" w:rsidRPr="00217F6B" w:rsidRDefault="00217F6B" w:rsidP="00217F6B">
      <w:pPr>
        <w:rPr>
          <w:rFonts w:eastAsia="Times New Roman" w:cs="Times New Roman"/>
          <w:kern w:val="0"/>
          <w:sz w:val="24"/>
          <w:szCs w:val="24"/>
          <w14:ligatures w14:val="none"/>
        </w:rPr>
      </w:pPr>
      <w:r w:rsidRPr="00217F6B">
        <w:rPr>
          <w:rFonts w:eastAsia="Times New Roman" w:cs="Times New Roman"/>
          <w:kern w:val="0"/>
          <w:sz w:val="24"/>
          <w:szCs w:val="24"/>
          <w14:ligatures w14:val="none"/>
        </w:rPr>
        <w:t>Results for a quarter are not indicative of results for a full year due to seasonality and other factors. Other factors that may cause actual results, performance or achievements to materially differ are described in SJW Group’s most recent Annual Report on Form 10-K, Quarterly Reports on Form 10-Q, and Current Reports on Form 8-K filed with the SEC. Forward-looking statements are not guarantees of performance, and speak only as of the date made. SJW Group undertakes no obligation to publicly update or revise any forward-looking statement, whether as a result of new information, future events, or otherwise.</w:t>
      </w:r>
    </w:p>
    <w:p w14:paraId="3E106ACC" w14:textId="5AE35352" w:rsidR="00217F6B" w:rsidRPr="00635B01" w:rsidRDefault="00217F6B" w:rsidP="00217F6B">
      <w:pPr>
        <w:rPr>
          <w:rFonts w:eastAsia="Times New Roman" w:cs="Times New Roman"/>
          <w:b/>
          <w:bCs/>
          <w:kern w:val="0"/>
          <w:sz w:val="24"/>
          <w:szCs w:val="24"/>
          <w14:ligatures w14:val="none"/>
        </w:rPr>
      </w:pPr>
      <w:r w:rsidRPr="00635B01">
        <w:rPr>
          <w:rFonts w:eastAsia="Times New Roman" w:cs="Times New Roman"/>
          <w:b/>
          <w:bCs/>
          <w:kern w:val="0"/>
          <w:sz w:val="24"/>
          <w:szCs w:val="24"/>
          <w14:ligatures w14:val="none"/>
        </w:rPr>
        <w:t>Media Contact:</w:t>
      </w:r>
    </w:p>
    <w:p w14:paraId="4D30292B" w14:textId="422069C9" w:rsidR="00217F6B" w:rsidRDefault="003618AD" w:rsidP="00635B01">
      <w:pPr>
        <w:spacing w:after="0"/>
        <w:rPr>
          <w:rFonts w:eastAsia="Times New Roman" w:cs="Times New Roman"/>
          <w:kern w:val="0"/>
          <w:sz w:val="24"/>
          <w:szCs w:val="24"/>
          <w14:ligatures w14:val="none"/>
        </w:rPr>
      </w:pPr>
      <w:r>
        <w:rPr>
          <w:rFonts w:eastAsia="Times New Roman" w:cs="Times New Roman"/>
          <w:kern w:val="0"/>
          <w:sz w:val="24"/>
          <w:szCs w:val="24"/>
          <w14:ligatures w14:val="none"/>
        </w:rPr>
        <w:t>Liann Walborsky</w:t>
      </w:r>
    </w:p>
    <w:p w14:paraId="76892C80" w14:textId="70870E59" w:rsidR="00635B01" w:rsidRDefault="003618AD" w:rsidP="00635B01">
      <w:pPr>
        <w:spacing w:after="0"/>
        <w:rPr>
          <w:rFonts w:eastAsia="Times New Roman" w:cs="Times New Roman"/>
          <w:kern w:val="0"/>
          <w:sz w:val="24"/>
          <w:szCs w:val="24"/>
          <w14:ligatures w14:val="none"/>
        </w:rPr>
      </w:pPr>
      <w:r>
        <w:rPr>
          <w:rFonts w:eastAsia="Times New Roman" w:cs="Times New Roman"/>
          <w:kern w:val="0"/>
          <w:sz w:val="24"/>
          <w:szCs w:val="24"/>
          <w14:ligatures w14:val="none"/>
        </w:rPr>
        <w:t xml:space="preserve">Director of Corporate Communications </w:t>
      </w:r>
    </w:p>
    <w:p w14:paraId="528CA968" w14:textId="592ACB51" w:rsidR="00635B01" w:rsidRPr="00217F6B" w:rsidRDefault="00635B01" w:rsidP="00635B01">
      <w:pPr>
        <w:spacing w:after="0"/>
        <w:rPr>
          <w:sz w:val="24"/>
          <w:szCs w:val="24"/>
        </w:rPr>
      </w:pPr>
      <w:r>
        <w:rPr>
          <w:rFonts w:eastAsia="Times New Roman" w:cs="Times New Roman"/>
          <w:kern w:val="0"/>
          <w:sz w:val="24"/>
          <w:szCs w:val="24"/>
          <w14:ligatures w14:val="none"/>
        </w:rPr>
        <w:t>408</w:t>
      </w:r>
      <w:r w:rsidR="003618AD">
        <w:rPr>
          <w:rFonts w:eastAsia="Times New Roman" w:cs="Times New Roman"/>
          <w:kern w:val="0"/>
          <w:sz w:val="24"/>
          <w:szCs w:val="24"/>
          <w14:ligatures w14:val="none"/>
        </w:rPr>
        <w:t xml:space="preserve"> 918-7247</w:t>
      </w:r>
      <w:r w:rsidR="002762E7">
        <w:rPr>
          <w:rFonts w:eastAsia="Times New Roman" w:cs="Times New Roman"/>
          <w:kern w:val="0"/>
          <w:sz w:val="24"/>
          <w:szCs w:val="24"/>
          <w14:ligatures w14:val="none"/>
        </w:rPr>
        <w:t xml:space="preserve"> </w:t>
      </w:r>
      <w:r>
        <w:rPr>
          <w:rFonts w:eastAsia="Times New Roman" w:cs="Times New Roman"/>
          <w:kern w:val="0"/>
          <w:sz w:val="24"/>
          <w:szCs w:val="24"/>
          <w14:ligatures w14:val="none"/>
        </w:rPr>
        <w:t xml:space="preserve"> </w:t>
      </w:r>
    </w:p>
    <w:sectPr w:rsidR="00635B01" w:rsidRPr="00217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15342"/>
    <w:multiLevelType w:val="multilevel"/>
    <w:tmpl w:val="A824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566E43"/>
    <w:multiLevelType w:val="hybridMultilevel"/>
    <w:tmpl w:val="1600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048941">
    <w:abstractNumId w:val="0"/>
  </w:num>
  <w:num w:numId="2" w16cid:durableId="142202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38"/>
    <w:rsid w:val="000205CB"/>
    <w:rsid w:val="00030263"/>
    <w:rsid w:val="00032C04"/>
    <w:rsid w:val="00093008"/>
    <w:rsid w:val="001123D9"/>
    <w:rsid w:val="00127FD9"/>
    <w:rsid w:val="00185744"/>
    <w:rsid w:val="001A7015"/>
    <w:rsid w:val="00217F6B"/>
    <w:rsid w:val="00225C3D"/>
    <w:rsid w:val="002264AB"/>
    <w:rsid w:val="002762E7"/>
    <w:rsid w:val="002A328C"/>
    <w:rsid w:val="00303F22"/>
    <w:rsid w:val="00305E83"/>
    <w:rsid w:val="003618AD"/>
    <w:rsid w:val="00405AD9"/>
    <w:rsid w:val="0044079E"/>
    <w:rsid w:val="00453AE0"/>
    <w:rsid w:val="00497417"/>
    <w:rsid w:val="004B4DB7"/>
    <w:rsid w:val="004C4974"/>
    <w:rsid w:val="0054439A"/>
    <w:rsid w:val="005E69F9"/>
    <w:rsid w:val="00635B01"/>
    <w:rsid w:val="00637855"/>
    <w:rsid w:val="00646132"/>
    <w:rsid w:val="00685E41"/>
    <w:rsid w:val="00703F30"/>
    <w:rsid w:val="007A33AB"/>
    <w:rsid w:val="00806EE5"/>
    <w:rsid w:val="008A2CF6"/>
    <w:rsid w:val="009B5A06"/>
    <w:rsid w:val="00A4486D"/>
    <w:rsid w:val="00B04B2B"/>
    <w:rsid w:val="00B105F4"/>
    <w:rsid w:val="00BE7A4F"/>
    <w:rsid w:val="00BF3C66"/>
    <w:rsid w:val="00C05B24"/>
    <w:rsid w:val="00C110FD"/>
    <w:rsid w:val="00C87405"/>
    <w:rsid w:val="00CC3E1D"/>
    <w:rsid w:val="00D30E67"/>
    <w:rsid w:val="00D57AC5"/>
    <w:rsid w:val="00D62811"/>
    <w:rsid w:val="00D74CB8"/>
    <w:rsid w:val="00D81AFE"/>
    <w:rsid w:val="00D85F89"/>
    <w:rsid w:val="00D90BEF"/>
    <w:rsid w:val="00DB60BA"/>
    <w:rsid w:val="00E67674"/>
    <w:rsid w:val="00EA4943"/>
    <w:rsid w:val="00ED34B0"/>
    <w:rsid w:val="00F274C3"/>
    <w:rsid w:val="00F60638"/>
    <w:rsid w:val="00FC6299"/>
    <w:rsid w:val="00FF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FAE2"/>
  <w15:chartTrackingRefBased/>
  <w15:docId w15:val="{CD04BD0E-ADDA-4C0A-A42F-75B29D8C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63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6063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6063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6063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6063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60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63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6063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6063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6063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6063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60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638"/>
    <w:rPr>
      <w:rFonts w:eastAsiaTheme="majorEastAsia" w:cstheme="majorBidi"/>
      <w:color w:val="272727" w:themeColor="text1" w:themeTint="D8"/>
    </w:rPr>
  </w:style>
  <w:style w:type="paragraph" w:styleId="Title">
    <w:name w:val="Title"/>
    <w:basedOn w:val="Normal"/>
    <w:next w:val="Normal"/>
    <w:link w:val="TitleChar"/>
    <w:uiPriority w:val="10"/>
    <w:qFormat/>
    <w:rsid w:val="00F60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638"/>
    <w:pPr>
      <w:spacing w:before="160"/>
      <w:jc w:val="center"/>
    </w:pPr>
    <w:rPr>
      <w:i/>
      <w:iCs/>
      <w:color w:val="404040" w:themeColor="text1" w:themeTint="BF"/>
    </w:rPr>
  </w:style>
  <w:style w:type="character" w:customStyle="1" w:styleId="QuoteChar">
    <w:name w:val="Quote Char"/>
    <w:basedOn w:val="DefaultParagraphFont"/>
    <w:link w:val="Quote"/>
    <w:uiPriority w:val="29"/>
    <w:rsid w:val="00F60638"/>
    <w:rPr>
      <w:i/>
      <w:iCs/>
      <w:color w:val="404040" w:themeColor="text1" w:themeTint="BF"/>
    </w:rPr>
  </w:style>
  <w:style w:type="paragraph" w:styleId="ListParagraph">
    <w:name w:val="List Paragraph"/>
    <w:basedOn w:val="Normal"/>
    <w:uiPriority w:val="34"/>
    <w:qFormat/>
    <w:rsid w:val="00F60638"/>
    <w:pPr>
      <w:ind w:left="720"/>
      <w:contextualSpacing/>
    </w:pPr>
  </w:style>
  <w:style w:type="character" w:styleId="IntenseEmphasis">
    <w:name w:val="Intense Emphasis"/>
    <w:basedOn w:val="DefaultParagraphFont"/>
    <w:uiPriority w:val="21"/>
    <w:qFormat/>
    <w:rsid w:val="00F60638"/>
    <w:rPr>
      <w:i/>
      <w:iCs/>
      <w:color w:val="2E74B5" w:themeColor="accent1" w:themeShade="BF"/>
    </w:rPr>
  </w:style>
  <w:style w:type="paragraph" w:styleId="IntenseQuote">
    <w:name w:val="Intense Quote"/>
    <w:basedOn w:val="Normal"/>
    <w:next w:val="Normal"/>
    <w:link w:val="IntenseQuoteChar"/>
    <w:uiPriority w:val="30"/>
    <w:qFormat/>
    <w:rsid w:val="00F6063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60638"/>
    <w:rPr>
      <w:i/>
      <w:iCs/>
      <w:color w:val="2E74B5" w:themeColor="accent1" w:themeShade="BF"/>
    </w:rPr>
  </w:style>
  <w:style w:type="character" w:styleId="IntenseReference">
    <w:name w:val="Intense Reference"/>
    <w:basedOn w:val="DefaultParagraphFont"/>
    <w:uiPriority w:val="32"/>
    <w:qFormat/>
    <w:rsid w:val="00F60638"/>
    <w:rPr>
      <w:b/>
      <w:bCs/>
      <w:smallCaps/>
      <w:color w:val="2E74B5" w:themeColor="accent1" w:themeShade="BF"/>
      <w:spacing w:val="5"/>
    </w:rPr>
  </w:style>
  <w:style w:type="paragraph" w:styleId="NormalWeb">
    <w:name w:val="Normal (Web)"/>
    <w:basedOn w:val="Normal"/>
    <w:uiPriority w:val="99"/>
    <w:semiHidden/>
    <w:unhideWhenUsed/>
    <w:rsid w:val="004407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264AB"/>
    <w:rPr>
      <w:b/>
      <w:bCs/>
    </w:rPr>
  </w:style>
  <w:style w:type="character" w:styleId="Hyperlink">
    <w:name w:val="Hyperlink"/>
    <w:basedOn w:val="DefaultParagraphFont"/>
    <w:uiPriority w:val="99"/>
    <w:unhideWhenUsed/>
    <w:rsid w:val="002264AB"/>
    <w:rPr>
      <w:color w:val="0563C1" w:themeColor="hyperlink"/>
      <w:u w:val="single"/>
    </w:rPr>
  </w:style>
  <w:style w:type="character" w:styleId="UnresolvedMention">
    <w:name w:val="Unresolved Mention"/>
    <w:basedOn w:val="DefaultParagraphFont"/>
    <w:uiPriority w:val="99"/>
    <w:semiHidden/>
    <w:unhideWhenUsed/>
    <w:rsid w:val="002264AB"/>
    <w:rPr>
      <w:color w:val="605E5C"/>
      <w:shd w:val="clear" w:color="auto" w:fill="E1DFDD"/>
    </w:rPr>
  </w:style>
  <w:style w:type="paragraph" w:styleId="Revision">
    <w:name w:val="Revision"/>
    <w:hidden/>
    <w:uiPriority w:val="99"/>
    <w:semiHidden/>
    <w:rsid w:val="002762E7"/>
    <w:pPr>
      <w:spacing w:after="0" w:line="240" w:lineRule="auto"/>
    </w:pPr>
  </w:style>
  <w:style w:type="character" w:styleId="CommentReference">
    <w:name w:val="annotation reference"/>
    <w:basedOn w:val="DefaultParagraphFont"/>
    <w:uiPriority w:val="99"/>
    <w:semiHidden/>
    <w:unhideWhenUsed/>
    <w:rsid w:val="009B5A06"/>
    <w:rPr>
      <w:sz w:val="16"/>
      <w:szCs w:val="16"/>
    </w:rPr>
  </w:style>
  <w:style w:type="paragraph" w:styleId="CommentText">
    <w:name w:val="annotation text"/>
    <w:basedOn w:val="Normal"/>
    <w:link w:val="CommentTextChar"/>
    <w:uiPriority w:val="99"/>
    <w:unhideWhenUsed/>
    <w:rsid w:val="009B5A06"/>
    <w:pPr>
      <w:spacing w:line="240" w:lineRule="auto"/>
    </w:pPr>
    <w:rPr>
      <w:sz w:val="20"/>
      <w:szCs w:val="20"/>
    </w:rPr>
  </w:style>
  <w:style w:type="character" w:customStyle="1" w:styleId="CommentTextChar">
    <w:name w:val="Comment Text Char"/>
    <w:basedOn w:val="DefaultParagraphFont"/>
    <w:link w:val="CommentText"/>
    <w:uiPriority w:val="99"/>
    <w:rsid w:val="009B5A06"/>
    <w:rPr>
      <w:sz w:val="20"/>
      <w:szCs w:val="20"/>
    </w:rPr>
  </w:style>
  <w:style w:type="paragraph" w:styleId="CommentSubject">
    <w:name w:val="annotation subject"/>
    <w:basedOn w:val="CommentText"/>
    <w:next w:val="CommentText"/>
    <w:link w:val="CommentSubjectChar"/>
    <w:uiPriority w:val="99"/>
    <w:semiHidden/>
    <w:unhideWhenUsed/>
    <w:rsid w:val="009B5A06"/>
    <w:rPr>
      <w:b/>
      <w:bCs/>
    </w:rPr>
  </w:style>
  <w:style w:type="character" w:customStyle="1" w:styleId="CommentSubjectChar">
    <w:name w:val="Comment Subject Char"/>
    <w:basedOn w:val="CommentTextChar"/>
    <w:link w:val="CommentSubject"/>
    <w:uiPriority w:val="99"/>
    <w:semiHidden/>
    <w:rsid w:val="009B5A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628353">
      <w:bodyDiv w:val="1"/>
      <w:marLeft w:val="0"/>
      <w:marRight w:val="0"/>
      <w:marTop w:val="0"/>
      <w:marBottom w:val="0"/>
      <w:divBdr>
        <w:top w:val="none" w:sz="0" w:space="0" w:color="auto"/>
        <w:left w:val="none" w:sz="0" w:space="0" w:color="auto"/>
        <w:bottom w:val="none" w:sz="0" w:space="0" w:color="auto"/>
        <w:right w:val="none" w:sz="0" w:space="0" w:color="auto"/>
      </w:divBdr>
    </w:div>
    <w:div w:id="19730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jwat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1B700-8AC6-4184-9B5B-783FA061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CTWS</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Meaney</dc:creator>
  <cp:keywords/>
  <dc:description/>
  <cp:lastModifiedBy>Liann Walborsky</cp:lastModifiedBy>
  <cp:revision>2</cp:revision>
  <dcterms:created xsi:type="dcterms:W3CDTF">2024-08-19T22:16:00Z</dcterms:created>
  <dcterms:modified xsi:type="dcterms:W3CDTF">2024-08-19T22:16:00Z</dcterms:modified>
</cp:coreProperties>
</file>