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B77" w14:textId="6D14111C" w:rsidR="008872F2" w:rsidRDefault="008872F2" w:rsidP="007E4A93">
      <w:pPr>
        <w:pStyle w:val="Default"/>
        <w:ind w:right="4443"/>
        <w:jc w:val="center"/>
      </w:pPr>
    </w:p>
    <w:p w14:paraId="35E15D94" w14:textId="77777777" w:rsidR="001B093F" w:rsidRDefault="001B093F" w:rsidP="007E4A93">
      <w:pPr>
        <w:pStyle w:val="Default"/>
        <w:ind w:right="4443"/>
        <w:jc w:val="center"/>
      </w:pPr>
    </w:p>
    <w:p w14:paraId="73CE86B8" w14:textId="62B08C77" w:rsidR="009B66DC" w:rsidRDefault="004E6BB6" w:rsidP="007E4A93">
      <w:pPr>
        <w:pStyle w:val="Default"/>
        <w:ind w:right="4443"/>
        <w:jc w:val="center"/>
      </w:pPr>
      <w:r>
        <w:rPr>
          <w:noProof/>
        </w:rPr>
        <w:drawing>
          <wp:inline distT="0" distB="0" distL="0" distR="0" wp14:anchorId="6A7372D7" wp14:editId="7190FFC1">
            <wp:extent cx="2224405" cy="518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2FA9" w14:textId="77777777" w:rsidR="008C3903" w:rsidRDefault="008C3903" w:rsidP="007E4A93">
      <w:pPr>
        <w:pStyle w:val="Default"/>
        <w:ind w:right="4443"/>
        <w:jc w:val="center"/>
      </w:pPr>
    </w:p>
    <w:p w14:paraId="5C18591C" w14:textId="77777777" w:rsidR="00670E7E" w:rsidRDefault="008C3903" w:rsidP="00670E7E">
      <w:pPr>
        <w:ind w:right="4302"/>
        <w:jc w:val="center"/>
        <w:rPr>
          <w:rFonts w:ascii="Century Gothic" w:eastAsia="Calibri" w:hAnsi="Century Gothic"/>
          <w:color w:val="000080"/>
          <w:sz w:val="20"/>
          <w:szCs w:val="20"/>
          <w:u w:color="000080"/>
          <w:lang w:eastAsia="en-US"/>
        </w:rPr>
      </w:pPr>
      <w:r w:rsidRPr="008C3903">
        <w:rPr>
          <w:rFonts w:ascii="Century Gothic" w:eastAsia="Calibri" w:hAnsi="Century Gothic"/>
          <w:color w:val="000080"/>
          <w:sz w:val="20"/>
          <w:szCs w:val="20"/>
          <w:u w:color="000080"/>
          <w:lang w:eastAsia="en-US"/>
        </w:rPr>
        <w:t xml:space="preserve">Direzione Centrale </w:t>
      </w:r>
      <w:r w:rsidR="00A72935">
        <w:rPr>
          <w:rFonts w:ascii="Century Gothic" w:eastAsia="Calibri" w:hAnsi="Century Gothic"/>
          <w:color w:val="000080"/>
          <w:sz w:val="20"/>
          <w:szCs w:val="20"/>
          <w:u w:color="000080"/>
          <w:lang w:eastAsia="en-US"/>
        </w:rPr>
        <w:t>Servizi Fiscali</w:t>
      </w:r>
    </w:p>
    <w:p w14:paraId="2D1F6489" w14:textId="77777777" w:rsidR="008C3903" w:rsidRPr="008C3903" w:rsidRDefault="00A72935" w:rsidP="00670E7E">
      <w:pPr>
        <w:ind w:right="4302"/>
        <w:jc w:val="center"/>
        <w:rPr>
          <w:rFonts w:ascii="Century Gothic" w:eastAsia="Calibri" w:hAnsi="Century Gothic"/>
          <w:i/>
          <w:iCs/>
          <w:color w:val="000080"/>
          <w:sz w:val="20"/>
          <w:szCs w:val="20"/>
          <w:u w:color="000080"/>
          <w:lang w:eastAsia="en-US"/>
        </w:rPr>
      </w:pPr>
      <w:r>
        <w:rPr>
          <w:rFonts w:ascii="Century Gothic" w:eastAsia="Calibri" w:hAnsi="Century Gothic"/>
          <w:color w:val="000080"/>
          <w:sz w:val="20"/>
          <w:szCs w:val="20"/>
          <w:u w:color="000080"/>
          <w:lang w:eastAsia="en-US"/>
        </w:rPr>
        <w:t>Settore Dichiarazioni e atti</w:t>
      </w:r>
    </w:p>
    <w:p w14:paraId="28609BAF" w14:textId="2DC556B7" w:rsidR="000C6ADB" w:rsidRDefault="000C6ADB" w:rsidP="000C6ADB">
      <w:pPr>
        <w:pStyle w:val="Default"/>
        <w:spacing w:after="100" w:line="100" w:lineRule="atLeast"/>
        <w:ind w:left="777" w:right="4443" w:hanging="57"/>
        <w:rPr>
          <w:rFonts w:ascii="Century Gothic" w:hAnsi="Century Gothic" w:cs="Century Gothic"/>
          <w:sz w:val="20"/>
          <w:szCs w:val="20"/>
        </w:rPr>
      </w:pPr>
    </w:p>
    <w:p w14:paraId="1D416018" w14:textId="5CDABA2A" w:rsidR="004A2ADA" w:rsidRDefault="004A2ADA" w:rsidP="008C3903">
      <w:pPr>
        <w:pStyle w:val="Default"/>
        <w:ind w:left="2160" w:firstLine="720"/>
        <w:jc w:val="center"/>
        <w:rPr>
          <w:b/>
          <w:bCs/>
          <w:sz w:val="26"/>
          <w:szCs w:val="26"/>
        </w:rPr>
      </w:pPr>
    </w:p>
    <w:p w14:paraId="70103230" w14:textId="0AC9413A" w:rsidR="007E4A93" w:rsidRDefault="003930A5" w:rsidP="008C3903">
      <w:pPr>
        <w:pStyle w:val="Default"/>
        <w:ind w:left="2160"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Roma,</w:t>
      </w:r>
    </w:p>
    <w:p w14:paraId="65D7F3AF" w14:textId="77777777" w:rsidR="008B3A3B" w:rsidRDefault="008B3A3B" w:rsidP="008C3903">
      <w:pPr>
        <w:pStyle w:val="Default"/>
        <w:ind w:left="2160" w:firstLine="720"/>
        <w:jc w:val="center"/>
        <w:rPr>
          <w:sz w:val="26"/>
          <w:szCs w:val="26"/>
        </w:rPr>
      </w:pPr>
    </w:p>
    <w:p w14:paraId="3862417E" w14:textId="77777777" w:rsidR="00EF651B" w:rsidRDefault="00EF651B" w:rsidP="000C6ADB">
      <w:pPr>
        <w:pStyle w:val="Default"/>
        <w:rPr>
          <w:b/>
          <w:bCs/>
          <w:sz w:val="26"/>
          <w:szCs w:val="26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7306"/>
      </w:tblGrid>
      <w:tr w:rsidR="00F10C57" w:rsidRPr="00F10C57" w14:paraId="4A6256AB" w14:textId="77777777" w:rsidTr="00DE4D18">
        <w:trPr>
          <w:cantSplit/>
        </w:trPr>
        <w:tc>
          <w:tcPr>
            <w:tcW w:w="1483" w:type="dxa"/>
          </w:tcPr>
          <w:p w14:paraId="67A66DAC" w14:textId="77777777" w:rsidR="00F10C57" w:rsidRPr="00F10C57" w:rsidRDefault="00F10C57" w:rsidP="00F10C57">
            <w:pPr>
              <w:jc w:val="both"/>
              <w:rPr>
                <w:b/>
                <w:i/>
                <w:sz w:val="26"/>
                <w:szCs w:val="20"/>
              </w:rPr>
            </w:pPr>
          </w:p>
          <w:p w14:paraId="76CA521F" w14:textId="77777777" w:rsidR="00F10C57" w:rsidRPr="00F10C57" w:rsidRDefault="00F10C57" w:rsidP="00F10C57">
            <w:pPr>
              <w:jc w:val="both"/>
              <w:rPr>
                <w:b/>
                <w:i/>
                <w:sz w:val="26"/>
                <w:szCs w:val="20"/>
              </w:rPr>
            </w:pPr>
          </w:p>
          <w:p w14:paraId="4ABD6C04" w14:textId="77777777" w:rsidR="00F10C57" w:rsidRPr="00F10C57" w:rsidRDefault="00F10C57" w:rsidP="00F10C57">
            <w:pPr>
              <w:jc w:val="both"/>
              <w:rPr>
                <w:rFonts w:asciiTheme="minorHAnsi" w:hAnsiTheme="minorHAnsi"/>
                <w:b/>
                <w:sz w:val="26"/>
                <w:szCs w:val="20"/>
              </w:rPr>
            </w:pPr>
            <w:r w:rsidRPr="00F10C57">
              <w:rPr>
                <w:b/>
                <w:i/>
                <w:sz w:val="26"/>
                <w:szCs w:val="20"/>
              </w:rPr>
              <w:t>OGGETTO</w:t>
            </w:r>
            <w:r w:rsidRPr="00F10C57">
              <w:rPr>
                <w:rFonts w:asciiTheme="minorHAnsi" w:hAnsiTheme="minorHAnsi"/>
                <w:b/>
                <w:sz w:val="26"/>
                <w:szCs w:val="20"/>
              </w:rPr>
              <w:t>:</w:t>
            </w:r>
          </w:p>
        </w:tc>
        <w:tc>
          <w:tcPr>
            <w:tcW w:w="7306" w:type="dxa"/>
          </w:tcPr>
          <w:p w14:paraId="5FE5BFED" w14:textId="77777777" w:rsidR="00F10C57" w:rsidRPr="00F10C57" w:rsidRDefault="00F10C57" w:rsidP="00F10C57">
            <w:pPr>
              <w:widowControl w:val="0"/>
              <w:tabs>
                <w:tab w:val="left" w:pos="4961"/>
              </w:tabs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C00C536" w14:textId="77777777" w:rsidR="00F10C57" w:rsidRPr="00F10C57" w:rsidRDefault="00F10C57" w:rsidP="00F10C57">
            <w:pPr>
              <w:widowControl w:val="0"/>
              <w:tabs>
                <w:tab w:val="left" w:pos="4961"/>
              </w:tabs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ABA5BD9" w14:textId="1BFAB679" w:rsidR="00F10C57" w:rsidRPr="00F10C57" w:rsidRDefault="00F10C57" w:rsidP="00654A65">
            <w:pPr>
              <w:widowControl w:val="0"/>
              <w:tabs>
                <w:tab w:val="left" w:pos="4961"/>
              </w:tabs>
              <w:jc w:val="both"/>
              <w:rPr>
                <w:rFonts w:asciiTheme="minorHAnsi" w:hAnsiTheme="minorHAnsi"/>
                <w:i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Certificazione Unica </w:t>
            </w:r>
            <w:r w:rsidRPr="000349F4">
              <w:rPr>
                <w:b/>
                <w:bCs/>
                <w:i/>
                <w:iCs/>
                <w:color w:val="000000"/>
                <w:sz w:val="26"/>
                <w:szCs w:val="26"/>
              </w:rPr>
              <w:t>202</w:t>
            </w:r>
            <w:r w:rsidR="00EA7FF9" w:rsidRPr="000349F4">
              <w:rPr>
                <w:b/>
                <w:bCs/>
                <w:i/>
                <w:i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- Compilazione della Sezione “Dati relativi al coniuge e ai familiari a carico”</w:t>
            </w:r>
            <w:r w:rsidR="00DC6996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– Chiarimenti</w:t>
            </w:r>
            <w:r w:rsidR="003B6216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alla luce dell</w:t>
            </w:r>
            <w:r w:rsidRPr="001B093F">
              <w:rPr>
                <w:b/>
                <w:bCs/>
                <w:i/>
                <w:iCs/>
                <w:color w:val="000000"/>
                <w:sz w:val="26"/>
                <w:szCs w:val="26"/>
              </w:rPr>
              <w:t>e novità introdotte dal decreto legislativo 29 dicembre 2021, n. 230</w:t>
            </w:r>
          </w:p>
        </w:tc>
      </w:tr>
    </w:tbl>
    <w:p w14:paraId="39A3C45D" w14:textId="77777777" w:rsidR="00F10C57" w:rsidRPr="00F10C57" w:rsidRDefault="00F10C57" w:rsidP="00F10C5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214C056" w14:textId="77777777" w:rsidR="002F18A4" w:rsidRDefault="002F18A4" w:rsidP="00A655DA">
      <w:pPr>
        <w:pStyle w:val="CM4"/>
        <w:spacing w:after="60" w:line="260" w:lineRule="atLeast"/>
        <w:ind w:left="1406" w:hanging="1406"/>
        <w:jc w:val="both"/>
        <w:rPr>
          <w:b/>
          <w:bCs/>
          <w:i/>
          <w:iCs/>
          <w:color w:val="000000"/>
          <w:sz w:val="26"/>
          <w:szCs w:val="26"/>
        </w:rPr>
      </w:pPr>
    </w:p>
    <w:p w14:paraId="51238F10" w14:textId="788DEEF0" w:rsidR="006B31D8" w:rsidRPr="006B31D8" w:rsidRDefault="006B31D8" w:rsidP="00046AC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pervenute </w:t>
      </w:r>
      <w:r w:rsidR="001F6FBA">
        <w:rPr>
          <w:sz w:val="26"/>
          <w:szCs w:val="26"/>
        </w:rPr>
        <w:t xml:space="preserve">alcune </w:t>
      </w:r>
      <w:r>
        <w:rPr>
          <w:sz w:val="26"/>
          <w:szCs w:val="26"/>
        </w:rPr>
        <w:t>r</w:t>
      </w:r>
      <w:r w:rsidR="00697A42" w:rsidRPr="006B31D8">
        <w:rPr>
          <w:sz w:val="26"/>
          <w:szCs w:val="26"/>
        </w:rPr>
        <w:t xml:space="preserve">ichieste di chiarimenti in </w:t>
      </w:r>
      <w:r w:rsidR="004403E1">
        <w:rPr>
          <w:sz w:val="26"/>
          <w:szCs w:val="26"/>
        </w:rPr>
        <w:t>merito</w:t>
      </w:r>
      <w:r w:rsidR="00697A42" w:rsidRPr="006B31D8">
        <w:rPr>
          <w:sz w:val="26"/>
          <w:szCs w:val="26"/>
        </w:rPr>
        <w:t xml:space="preserve"> alla corretta compilazione della sezione </w:t>
      </w:r>
      <w:r w:rsidRPr="006B31D8">
        <w:rPr>
          <w:sz w:val="26"/>
          <w:szCs w:val="26"/>
        </w:rPr>
        <w:t xml:space="preserve">della Certificazione Unica </w:t>
      </w:r>
      <w:r w:rsidR="001F6FBA">
        <w:rPr>
          <w:sz w:val="26"/>
          <w:szCs w:val="26"/>
        </w:rPr>
        <w:t xml:space="preserve">(di seguito, CU) </w:t>
      </w:r>
      <w:r w:rsidR="00C11C4E">
        <w:rPr>
          <w:sz w:val="26"/>
          <w:szCs w:val="26"/>
        </w:rPr>
        <w:t>dedicata</w:t>
      </w:r>
      <w:r w:rsidR="00697A42" w:rsidRPr="006B31D8">
        <w:rPr>
          <w:sz w:val="26"/>
          <w:szCs w:val="26"/>
        </w:rPr>
        <w:t xml:space="preserve"> ai “</w:t>
      </w:r>
      <w:r w:rsidR="00697A42" w:rsidRPr="006B31D8">
        <w:rPr>
          <w:i/>
          <w:sz w:val="26"/>
          <w:szCs w:val="26"/>
        </w:rPr>
        <w:t>Dati relativi al coniuge e ai familiari a carico</w:t>
      </w:r>
      <w:r w:rsidR="00697A42" w:rsidRPr="006B31D8">
        <w:rPr>
          <w:sz w:val="26"/>
          <w:szCs w:val="26"/>
        </w:rPr>
        <w:t>”</w:t>
      </w:r>
      <w:r w:rsidR="00FE783E">
        <w:rPr>
          <w:sz w:val="26"/>
          <w:szCs w:val="26"/>
        </w:rPr>
        <w:t>.</w:t>
      </w:r>
    </w:p>
    <w:p w14:paraId="03D35AFC" w14:textId="7607B91E" w:rsidR="009D0AD2" w:rsidRDefault="008C4299" w:rsidP="00E07B4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6B31D8">
        <w:rPr>
          <w:sz w:val="26"/>
          <w:szCs w:val="26"/>
        </w:rPr>
        <w:t xml:space="preserve">In particolare, </w:t>
      </w:r>
      <w:r w:rsidR="00F02252">
        <w:rPr>
          <w:sz w:val="26"/>
          <w:szCs w:val="26"/>
        </w:rPr>
        <w:t>è stato chiesto se</w:t>
      </w:r>
      <w:r w:rsidRPr="006B31D8">
        <w:rPr>
          <w:sz w:val="26"/>
          <w:szCs w:val="26"/>
        </w:rPr>
        <w:t xml:space="preserve"> </w:t>
      </w:r>
      <w:r w:rsidR="00326DB8">
        <w:rPr>
          <w:sz w:val="26"/>
          <w:szCs w:val="26"/>
        </w:rPr>
        <w:t xml:space="preserve">a seguito delle modifiche </w:t>
      </w:r>
      <w:r w:rsidR="00A5418F">
        <w:rPr>
          <w:sz w:val="26"/>
          <w:szCs w:val="26"/>
        </w:rPr>
        <w:t xml:space="preserve">normative di cui si dirà nel prosieguo, </w:t>
      </w:r>
      <w:r w:rsidR="00326DB8">
        <w:rPr>
          <w:sz w:val="26"/>
          <w:szCs w:val="26"/>
        </w:rPr>
        <w:t>introdotte a decorrere d</w:t>
      </w:r>
      <w:r w:rsidRPr="006B31D8">
        <w:rPr>
          <w:sz w:val="26"/>
          <w:szCs w:val="26"/>
        </w:rPr>
        <w:t>al 1° marzo 2022</w:t>
      </w:r>
      <w:r w:rsidR="00326DB8">
        <w:rPr>
          <w:sz w:val="26"/>
          <w:szCs w:val="26"/>
        </w:rPr>
        <w:t>,</w:t>
      </w:r>
      <w:r w:rsidRPr="006B31D8">
        <w:rPr>
          <w:sz w:val="26"/>
          <w:szCs w:val="26"/>
        </w:rPr>
        <w:t xml:space="preserve"> la citata sezione debba essere</w:t>
      </w:r>
      <w:r w:rsidR="00A5418F">
        <w:rPr>
          <w:sz w:val="26"/>
          <w:szCs w:val="26"/>
        </w:rPr>
        <w:t xml:space="preserve"> comunque compilata</w:t>
      </w:r>
      <w:r w:rsidR="00EF2E72">
        <w:rPr>
          <w:sz w:val="26"/>
          <w:szCs w:val="26"/>
        </w:rPr>
        <w:t xml:space="preserve"> con riguardo ai figli per i quali in luogo delle detrazioni è riconosciuto l’Assegno Unico</w:t>
      </w:r>
      <w:r w:rsidR="003455CA">
        <w:rPr>
          <w:sz w:val="26"/>
          <w:szCs w:val="26"/>
        </w:rPr>
        <w:t>.</w:t>
      </w:r>
    </w:p>
    <w:p w14:paraId="517145AC" w14:textId="0F2969FB" w:rsidR="00A72935" w:rsidRDefault="008068DC" w:rsidP="00E07B4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Al riguardo si rappresenta che l</w:t>
      </w:r>
      <w:r w:rsidR="005952A4" w:rsidRPr="005952A4">
        <w:rPr>
          <w:sz w:val="26"/>
          <w:szCs w:val="26"/>
        </w:rPr>
        <w:t xml:space="preserve">’articolo 1 del decreto legislativo 29 dicembre 2021, n. 230, rubricato </w:t>
      </w:r>
      <w:r w:rsidR="00FA7797">
        <w:rPr>
          <w:sz w:val="26"/>
          <w:szCs w:val="26"/>
        </w:rPr>
        <w:t>“</w:t>
      </w:r>
      <w:r w:rsidR="005952A4" w:rsidRPr="005766A1">
        <w:rPr>
          <w:i/>
          <w:sz w:val="26"/>
          <w:szCs w:val="26"/>
        </w:rPr>
        <w:t>Istituzione dell’assegno unico e universale per i figli a carico, in attuazione della delega conferita al Governo ai sensi della legge 1° aprile 2021, n. 46</w:t>
      </w:r>
      <w:r w:rsidR="00FA7797">
        <w:rPr>
          <w:sz w:val="26"/>
          <w:szCs w:val="26"/>
        </w:rPr>
        <w:t>”</w:t>
      </w:r>
      <w:r w:rsidR="005952A4" w:rsidRPr="005952A4">
        <w:rPr>
          <w:sz w:val="26"/>
          <w:szCs w:val="26"/>
        </w:rPr>
        <w:t xml:space="preserve"> </w:t>
      </w:r>
      <w:r w:rsidR="005766A1">
        <w:rPr>
          <w:sz w:val="26"/>
          <w:szCs w:val="26"/>
        </w:rPr>
        <w:t xml:space="preserve">ha </w:t>
      </w:r>
      <w:r w:rsidR="00AD4D68">
        <w:rPr>
          <w:sz w:val="26"/>
          <w:szCs w:val="26"/>
        </w:rPr>
        <w:t>introdotto,</w:t>
      </w:r>
      <w:r w:rsidR="005952A4" w:rsidRPr="005952A4">
        <w:rPr>
          <w:sz w:val="26"/>
          <w:szCs w:val="26"/>
        </w:rPr>
        <w:t xml:space="preserve"> a decorrere dal 1° marzo 2022, l’</w:t>
      </w:r>
      <w:r w:rsidR="00E748A0">
        <w:rPr>
          <w:sz w:val="26"/>
          <w:szCs w:val="26"/>
        </w:rPr>
        <w:t>A</w:t>
      </w:r>
      <w:r w:rsidR="005952A4" w:rsidRPr="005952A4">
        <w:rPr>
          <w:sz w:val="26"/>
          <w:szCs w:val="26"/>
        </w:rPr>
        <w:t xml:space="preserve">ssegno </w:t>
      </w:r>
      <w:r w:rsidR="00E748A0">
        <w:rPr>
          <w:sz w:val="26"/>
          <w:szCs w:val="26"/>
        </w:rPr>
        <w:t>U</w:t>
      </w:r>
      <w:r w:rsidR="005952A4" w:rsidRPr="005952A4">
        <w:rPr>
          <w:sz w:val="26"/>
          <w:szCs w:val="26"/>
        </w:rPr>
        <w:t xml:space="preserve">nico e </w:t>
      </w:r>
      <w:r w:rsidR="00E748A0">
        <w:rPr>
          <w:sz w:val="26"/>
          <w:szCs w:val="26"/>
        </w:rPr>
        <w:t>U</w:t>
      </w:r>
      <w:r w:rsidR="005952A4" w:rsidRPr="005952A4">
        <w:rPr>
          <w:sz w:val="26"/>
          <w:szCs w:val="26"/>
        </w:rPr>
        <w:t xml:space="preserve">niversale per i figli a carico (di seguito, AUU), </w:t>
      </w:r>
      <w:r w:rsidR="005766A1">
        <w:rPr>
          <w:sz w:val="26"/>
          <w:szCs w:val="26"/>
        </w:rPr>
        <w:t xml:space="preserve">quale prestazione economica erogata mensilmente </w:t>
      </w:r>
      <w:r w:rsidR="005766A1">
        <w:rPr>
          <w:sz w:val="26"/>
          <w:szCs w:val="26"/>
        </w:rPr>
        <w:lastRenderedPageBreak/>
        <w:t>dall’INPS</w:t>
      </w:r>
      <w:r w:rsidR="005952A4" w:rsidRPr="005952A4">
        <w:rPr>
          <w:sz w:val="26"/>
          <w:szCs w:val="26"/>
        </w:rPr>
        <w:t xml:space="preserve"> ai nuclei familiari sulla base della </w:t>
      </w:r>
      <w:r w:rsidR="00E748A0">
        <w:rPr>
          <w:sz w:val="26"/>
          <w:szCs w:val="26"/>
        </w:rPr>
        <w:t>loro condizione economica</w:t>
      </w:r>
      <w:r w:rsidR="005952A4" w:rsidRPr="005952A4">
        <w:rPr>
          <w:sz w:val="26"/>
          <w:szCs w:val="26"/>
        </w:rPr>
        <w:t xml:space="preserve">, </w:t>
      </w:r>
      <w:r w:rsidR="00E748A0">
        <w:rPr>
          <w:sz w:val="26"/>
          <w:szCs w:val="26"/>
        </w:rPr>
        <w:t>misurata in ragione de</w:t>
      </w:r>
      <w:r w:rsidR="005952A4" w:rsidRPr="005952A4">
        <w:rPr>
          <w:sz w:val="26"/>
          <w:szCs w:val="26"/>
        </w:rPr>
        <w:t>ll’</w:t>
      </w:r>
      <w:r w:rsidR="005766A1">
        <w:rPr>
          <w:sz w:val="26"/>
          <w:szCs w:val="26"/>
        </w:rPr>
        <w:t>I</w:t>
      </w:r>
      <w:r w:rsidR="005952A4" w:rsidRPr="005952A4">
        <w:rPr>
          <w:sz w:val="26"/>
          <w:szCs w:val="26"/>
        </w:rPr>
        <w:t xml:space="preserve">ndicatore della </w:t>
      </w:r>
      <w:r w:rsidR="005766A1">
        <w:rPr>
          <w:sz w:val="26"/>
          <w:szCs w:val="26"/>
        </w:rPr>
        <w:t>S</w:t>
      </w:r>
      <w:r w:rsidR="005952A4" w:rsidRPr="005952A4">
        <w:rPr>
          <w:sz w:val="26"/>
          <w:szCs w:val="26"/>
        </w:rPr>
        <w:t xml:space="preserve">ituazione </w:t>
      </w:r>
      <w:r w:rsidR="005766A1">
        <w:rPr>
          <w:sz w:val="26"/>
          <w:szCs w:val="26"/>
        </w:rPr>
        <w:t>E</w:t>
      </w:r>
      <w:r w:rsidR="005952A4" w:rsidRPr="005952A4">
        <w:rPr>
          <w:sz w:val="26"/>
          <w:szCs w:val="26"/>
        </w:rPr>
        <w:t xml:space="preserve">conomica </w:t>
      </w:r>
      <w:r w:rsidR="005766A1">
        <w:rPr>
          <w:sz w:val="26"/>
          <w:szCs w:val="26"/>
        </w:rPr>
        <w:t>E</w:t>
      </w:r>
      <w:r w:rsidR="005952A4" w:rsidRPr="005952A4">
        <w:rPr>
          <w:sz w:val="26"/>
          <w:szCs w:val="26"/>
        </w:rPr>
        <w:t>quivalente (ISEE).</w:t>
      </w:r>
    </w:p>
    <w:p w14:paraId="4436E6FE" w14:textId="24708572" w:rsidR="00F46F69" w:rsidRDefault="0044403C" w:rsidP="003B621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fine di coordinare </w:t>
      </w:r>
      <w:r w:rsidR="009B245E">
        <w:rPr>
          <w:sz w:val="26"/>
          <w:szCs w:val="26"/>
        </w:rPr>
        <w:t>la fruizione dell’AUU</w:t>
      </w:r>
      <w:r>
        <w:rPr>
          <w:sz w:val="26"/>
          <w:szCs w:val="26"/>
        </w:rPr>
        <w:t xml:space="preserve"> </w:t>
      </w:r>
      <w:r w:rsidR="009B245E">
        <w:rPr>
          <w:sz w:val="26"/>
          <w:szCs w:val="26"/>
        </w:rPr>
        <w:t xml:space="preserve">con </w:t>
      </w:r>
      <w:r w:rsidR="00E748A0">
        <w:rPr>
          <w:sz w:val="26"/>
          <w:szCs w:val="26"/>
        </w:rPr>
        <w:t>il riconoscimento del</w:t>
      </w:r>
      <w:r w:rsidR="009B245E">
        <w:rPr>
          <w:sz w:val="26"/>
          <w:szCs w:val="26"/>
        </w:rPr>
        <w:t xml:space="preserve">le </w:t>
      </w:r>
      <w:r w:rsidR="00E748A0">
        <w:rPr>
          <w:sz w:val="26"/>
          <w:szCs w:val="26"/>
        </w:rPr>
        <w:t xml:space="preserve">detrazioni per carichi di famiglia </w:t>
      </w:r>
      <w:r w:rsidR="009B245E">
        <w:rPr>
          <w:sz w:val="26"/>
          <w:szCs w:val="26"/>
        </w:rPr>
        <w:t>previste dal Testo unico delle imposte sui redditi, approvato con decreto del Presidente della Repubblica 22 dicembre 1986, n. 917 (</w:t>
      </w:r>
      <w:r w:rsidR="00AB783C">
        <w:rPr>
          <w:sz w:val="26"/>
          <w:szCs w:val="26"/>
        </w:rPr>
        <w:t xml:space="preserve">di seguito, </w:t>
      </w:r>
      <w:r w:rsidR="009B245E">
        <w:rPr>
          <w:sz w:val="26"/>
          <w:szCs w:val="26"/>
        </w:rPr>
        <w:t>Tuir), il successivo articolo 10</w:t>
      </w:r>
      <w:r w:rsidR="00E663C9">
        <w:rPr>
          <w:sz w:val="26"/>
          <w:szCs w:val="26"/>
        </w:rPr>
        <w:t>, comma 4,</w:t>
      </w:r>
      <w:r w:rsidR="008F7524">
        <w:rPr>
          <w:sz w:val="26"/>
          <w:szCs w:val="26"/>
        </w:rPr>
        <w:t xml:space="preserve"> </w:t>
      </w:r>
      <w:r w:rsidR="009B245E">
        <w:rPr>
          <w:sz w:val="26"/>
          <w:szCs w:val="26"/>
        </w:rPr>
        <w:t xml:space="preserve">del </w:t>
      </w:r>
      <w:r w:rsidR="00E663C9">
        <w:rPr>
          <w:sz w:val="26"/>
          <w:szCs w:val="26"/>
        </w:rPr>
        <w:t xml:space="preserve">richiamato </w:t>
      </w:r>
      <w:r w:rsidR="009B245E">
        <w:rPr>
          <w:sz w:val="26"/>
          <w:szCs w:val="26"/>
        </w:rPr>
        <w:t>decreto</w:t>
      </w:r>
      <w:r w:rsidR="00E663C9">
        <w:rPr>
          <w:sz w:val="26"/>
          <w:szCs w:val="26"/>
        </w:rPr>
        <w:t xml:space="preserve"> </w:t>
      </w:r>
      <w:r w:rsidR="007E016F">
        <w:rPr>
          <w:sz w:val="26"/>
          <w:szCs w:val="26"/>
        </w:rPr>
        <w:t xml:space="preserve">delegato </w:t>
      </w:r>
      <w:r w:rsidR="00E663C9">
        <w:rPr>
          <w:sz w:val="26"/>
          <w:szCs w:val="26"/>
        </w:rPr>
        <w:t>n. 230 del 2021</w:t>
      </w:r>
      <w:r w:rsidR="009B245E">
        <w:rPr>
          <w:sz w:val="26"/>
          <w:szCs w:val="26"/>
        </w:rPr>
        <w:t xml:space="preserve"> </w:t>
      </w:r>
      <w:r w:rsidR="00E748A0">
        <w:rPr>
          <w:sz w:val="26"/>
          <w:szCs w:val="26"/>
        </w:rPr>
        <w:t xml:space="preserve">ha modificato l’articolo 12 del Tuir rubricato </w:t>
      </w:r>
      <w:r w:rsidR="00FA7797">
        <w:rPr>
          <w:sz w:val="26"/>
          <w:szCs w:val="26"/>
        </w:rPr>
        <w:t>“</w:t>
      </w:r>
      <w:r w:rsidR="00E748A0" w:rsidRPr="00E748A0">
        <w:rPr>
          <w:i/>
          <w:sz w:val="26"/>
          <w:szCs w:val="26"/>
        </w:rPr>
        <w:t>Detrazioni per carichi di famiglia</w:t>
      </w:r>
      <w:r w:rsidR="00FA7797">
        <w:rPr>
          <w:i/>
          <w:sz w:val="26"/>
          <w:szCs w:val="26"/>
        </w:rPr>
        <w:t>”</w:t>
      </w:r>
      <w:r w:rsidR="00E663C9">
        <w:rPr>
          <w:sz w:val="26"/>
          <w:szCs w:val="26"/>
        </w:rPr>
        <w:t xml:space="preserve">, prevedendo </w:t>
      </w:r>
      <w:r w:rsidR="00C83D67">
        <w:rPr>
          <w:sz w:val="26"/>
          <w:szCs w:val="26"/>
        </w:rPr>
        <w:t xml:space="preserve">a far data dal </w:t>
      </w:r>
      <w:r w:rsidR="00F46F69">
        <w:rPr>
          <w:sz w:val="26"/>
          <w:szCs w:val="26"/>
        </w:rPr>
        <w:t>1</w:t>
      </w:r>
      <w:r w:rsidR="00AD4D68">
        <w:rPr>
          <w:sz w:val="26"/>
          <w:szCs w:val="26"/>
        </w:rPr>
        <w:t>°</w:t>
      </w:r>
      <w:r w:rsidR="00F46F69">
        <w:rPr>
          <w:sz w:val="26"/>
          <w:szCs w:val="26"/>
        </w:rPr>
        <w:t xml:space="preserve"> marzo 2022</w:t>
      </w:r>
      <w:r w:rsidR="00BE0897">
        <w:rPr>
          <w:sz w:val="26"/>
          <w:szCs w:val="26"/>
        </w:rPr>
        <w:t>, che</w:t>
      </w:r>
      <w:r w:rsidR="00F46F69">
        <w:rPr>
          <w:sz w:val="26"/>
          <w:szCs w:val="26"/>
        </w:rPr>
        <w:t>:</w:t>
      </w:r>
    </w:p>
    <w:p w14:paraId="0948745F" w14:textId="77777777" w:rsidR="00F46F69" w:rsidRPr="00F46F69" w:rsidRDefault="00F46F69" w:rsidP="004768E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color w:val="000000"/>
          <w:sz w:val="26"/>
          <w:szCs w:val="26"/>
        </w:rPr>
      </w:pPr>
      <w:r w:rsidRPr="00F46F69">
        <w:rPr>
          <w:color w:val="000000"/>
          <w:sz w:val="26"/>
          <w:szCs w:val="26"/>
        </w:rPr>
        <w:t xml:space="preserve">la </w:t>
      </w:r>
      <w:r w:rsidRPr="00F46F69">
        <w:rPr>
          <w:bCs/>
          <w:color w:val="000000"/>
          <w:sz w:val="26"/>
          <w:szCs w:val="26"/>
        </w:rPr>
        <w:t xml:space="preserve">detrazione IRPEF </w:t>
      </w:r>
      <w:r w:rsidRPr="00F46F69">
        <w:rPr>
          <w:color w:val="000000"/>
          <w:sz w:val="26"/>
          <w:szCs w:val="26"/>
        </w:rPr>
        <w:t xml:space="preserve">per figli a carico è riconosciuta limitatamente ai figli di </w:t>
      </w:r>
      <w:r w:rsidRPr="00F46F69">
        <w:rPr>
          <w:bCs/>
          <w:color w:val="000000"/>
          <w:sz w:val="26"/>
          <w:szCs w:val="26"/>
        </w:rPr>
        <w:t>età pari o superiore a 21 anni;</w:t>
      </w:r>
    </w:p>
    <w:p w14:paraId="3BA51423" w14:textId="77777777" w:rsidR="00D33CC6" w:rsidRPr="00D33CC6" w:rsidRDefault="00F46F69" w:rsidP="004768E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color w:val="000000"/>
          <w:sz w:val="26"/>
          <w:szCs w:val="26"/>
        </w:rPr>
      </w:pPr>
      <w:r w:rsidRPr="00D33CC6">
        <w:rPr>
          <w:color w:val="000000"/>
          <w:sz w:val="26"/>
          <w:szCs w:val="26"/>
        </w:rPr>
        <w:t>cessano di avere efficacia le maggiorazioni della detrazione I</w:t>
      </w:r>
      <w:r w:rsidR="00D33CC6" w:rsidRPr="00D33CC6">
        <w:rPr>
          <w:color w:val="000000"/>
          <w:sz w:val="26"/>
          <w:szCs w:val="26"/>
        </w:rPr>
        <w:t>rpef previste:</w:t>
      </w:r>
    </w:p>
    <w:p w14:paraId="47026253" w14:textId="77777777" w:rsidR="00D33CC6" w:rsidRDefault="00F46F69" w:rsidP="00904F92">
      <w:pPr>
        <w:numPr>
          <w:ilvl w:val="0"/>
          <w:numId w:val="9"/>
        </w:numPr>
        <w:autoSpaceDE w:val="0"/>
        <w:autoSpaceDN w:val="0"/>
        <w:adjustRightInd w:val="0"/>
        <w:spacing w:after="63" w:line="360" w:lineRule="auto"/>
        <w:jc w:val="both"/>
        <w:rPr>
          <w:color w:val="000000"/>
          <w:sz w:val="26"/>
          <w:szCs w:val="26"/>
        </w:rPr>
      </w:pPr>
      <w:r w:rsidRPr="00D33CC6">
        <w:rPr>
          <w:color w:val="000000"/>
          <w:sz w:val="26"/>
          <w:szCs w:val="26"/>
        </w:rPr>
        <w:t>per i figli minori di tre anni</w:t>
      </w:r>
      <w:r w:rsidR="00D33CC6">
        <w:rPr>
          <w:color w:val="000000"/>
          <w:sz w:val="26"/>
          <w:szCs w:val="26"/>
        </w:rPr>
        <w:t>;</w:t>
      </w:r>
    </w:p>
    <w:p w14:paraId="4182DB4D" w14:textId="77777777" w:rsidR="00D33CC6" w:rsidRDefault="00F46F69" w:rsidP="00904F92">
      <w:pPr>
        <w:numPr>
          <w:ilvl w:val="0"/>
          <w:numId w:val="9"/>
        </w:numPr>
        <w:autoSpaceDE w:val="0"/>
        <w:autoSpaceDN w:val="0"/>
        <w:adjustRightInd w:val="0"/>
        <w:spacing w:after="63" w:line="360" w:lineRule="auto"/>
        <w:jc w:val="both"/>
        <w:rPr>
          <w:color w:val="000000"/>
          <w:sz w:val="26"/>
          <w:szCs w:val="26"/>
        </w:rPr>
      </w:pPr>
      <w:r w:rsidRPr="00D33CC6">
        <w:rPr>
          <w:color w:val="000000"/>
          <w:sz w:val="26"/>
          <w:szCs w:val="26"/>
        </w:rPr>
        <w:t>per i figli con disabilità</w:t>
      </w:r>
      <w:r w:rsidR="00D33CC6">
        <w:rPr>
          <w:color w:val="000000"/>
          <w:sz w:val="26"/>
          <w:szCs w:val="26"/>
        </w:rPr>
        <w:t>;</w:t>
      </w:r>
    </w:p>
    <w:p w14:paraId="5423E7F2" w14:textId="77777777" w:rsidR="00F46F69" w:rsidRDefault="00F46F69" w:rsidP="00904F92">
      <w:pPr>
        <w:numPr>
          <w:ilvl w:val="0"/>
          <w:numId w:val="9"/>
        </w:numPr>
        <w:autoSpaceDE w:val="0"/>
        <w:autoSpaceDN w:val="0"/>
        <w:adjustRightInd w:val="0"/>
        <w:spacing w:after="63" w:line="360" w:lineRule="auto"/>
        <w:jc w:val="both"/>
        <w:rPr>
          <w:color w:val="000000"/>
          <w:sz w:val="26"/>
          <w:szCs w:val="26"/>
        </w:rPr>
      </w:pPr>
      <w:r w:rsidRPr="00D33CC6">
        <w:rPr>
          <w:color w:val="000000"/>
          <w:sz w:val="26"/>
          <w:szCs w:val="26"/>
        </w:rPr>
        <w:t xml:space="preserve">per le </w:t>
      </w:r>
      <w:r w:rsidR="00D33CC6" w:rsidRPr="00D33CC6">
        <w:rPr>
          <w:color w:val="000000"/>
          <w:sz w:val="26"/>
          <w:szCs w:val="26"/>
        </w:rPr>
        <w:t xml:space="preserve">famiglie numerose, ovvero con almeno quattro figli. </w:t>
      </w:r>
    </w:p>
    <w:p w14:paraId="008619FE" w14:textId="4AC9DF3B" w:rsidR="00904F92" w:rsidRPr="00D33CC6" w:rsidRDefault="00B623C0" w:rsidP="00B623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32F37">
        <w:rPr>
          <w:color w:val="000000"/>
          <w:sz w:val="26"/>
          <w:szCs w:val="26"/>
        </w:rPr>
        <w:t>Pertanto</w:t>
      </w:r>
      <w:r w:rsidR="00CB426B" w:rsidRPr="00932F37">
        <w:rPr>
          <w:color w:val="000000"/>
          <w:sz w:val="26"/>
          <w:szCs w:val="26"/>
        </w:rPr>
        <w:t>,</w:t>
      </w:r>
      <w:r w:rsidRPr="00932F37">
        <w:rPr>
          <w:color w:val="000000"/>
          <w:sz w:val="26"/>
          <w:szCs w:val="26"/>
        </w:rPr>
        <w:t xml:space="preserve"> </w:t>
      </w:r>
      <w:r w:rsidR="0038059C" w:rsidRPr="00D92235">
        <w:rPr>
          <w:color w:val="000000"/>
          <w:sz w:val="26"/>
          <w:szCs w:val="26"/>
        </w:rPr>
        <w:t>per il periodo d’imposta 2023</w:t>
      </w:r>
      <w:r w:rsidRPr="00932F3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per ciascun figlio a carico, di età </w:t>
      </w:r>
      <w:r w:rsidR="000655C2">
        <w:rPr>
          <w:color w:val="000000"/>
          <w:sz w:val="26"/>
          <w:szCs w:val="26"/>
        </w:rPr>
        <w:t>inferiore</w:t>
      </w:r>
      <w:r>
        <w:rPr>
          <w:color w:val="000000"/>
          <w:sz w:val="26"/>
          <w:szCs w:val="26"/>
        </w:rPr>
        <w:t xml:space="preserve"> a 21 anni, il riconoscimento della detrazione per carichi di famiglia </w:t>
      </w:r>
      <w:r w:rsidR="004768ED">
        <w:rPr>
          <w:color w:val="000000"/>
          <w:sz w:val="26"/>
          <w:szCs w:val="26"/>
        </w:rPr>
        <w:t xml:space="preserve">è </w:t>
      </w:r>
      <w:r>
        <w:rPr>
          <w:color w:val="000000"/>
          <w:sz w:val="26"/>
          <w:szCs w:val="26"/>
        </w:rPr>
        <w:t>so</w:t>
      </w:r>
      <w:r w:rsidR="004768ED">
        <w:rPr>
          <w:color w:val="000000"/>
          <w:sz w:val="26"/>
          <w:szCs w:val="26"/>
        </w:rPr>
        <w:t xml:space="preserve">stituito dall’erogazione dell’AUU, </w:t>
      </w:r>
      <w:r w:rsidR="0087648C" w:rsidRPr="0087648C">
        <w:rPr>
          <w:color w:val="000000"/>
          <w:sz w:val="26"/>
          <w:szCs w:val="26"/>
        </w:rPr>
        <w:t>fatto salvo quanto previsto dal decreto legislativo n. 230 del 2021</w:t>
      </w:r>
      <w:r w:rsidR="004768ED" w:rsidRPr="0087648C">
        <w:rPr>
          <w:color w:val="000000"/>
          <w:sz w:val="26"/>
          <w:szCs w:val="26"/>
        </w:rPr>
        <w:t>.</w:t>
      </w:r>
    </w:p>
    <w:p w14:paraId="13CA0C44" w14:textId="6331E054" w:rsidR="003963CB" w:rsidRDefault="008068DC" w:rsidP="005762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</w:t>
      </w:r>
      <w:r w:rsidR="005762A2">
        <w:rPr>
          <w:color w:val="000000"/>
          <w:sz w:val="26"/>
          <w:szCs w:val="26"/>
        </w:rPr>
        <w:t>’articolo 19, comma 6, del decreto legge 27 gennaio 2022, n. 4 (cd. decreto sostegni</w:t>
      </w:r>
      <w:r w:rsidR="005762A2" w:rsidRPr="006F1909">
        <w:rPr>
          <w:color w:val="000000"/>
          <w:sz w:val="26"/>
          <w:szCs w:val="26"/>
        </w:rPr>
        <w:t>-</w:t>
      </w:r>
      <w:r w:rsidR="005762A2" w:rsidRPr="00046ACD">
        <w:rPr>
          <w:i/>
          <w:color w:val="000000"/>
          <w:sz w:val="26"/>
          <w:szCs w:val="26"/>
        </w:rPr>
        <w:t>ter</w:t>
      </w:r>
      <w:r w:rsidR="005762A2">
        <w:rPr>
          <w:color w:val="000000"/>
          <w:sz w:val="26"/>
          <w:szCs w:val="26"/>
        </w:rPr>
        <w:t>)</w:t>
      </w:r>
      <w:r w:rsidR="00751F72">
        <w:rPr>
          <w:color w:val="000000"/>
          <w:sz w:val="26"/>
          <w:szCs w:val="26"/>
        </w:rPr>
        <w:t>, convertito</w:t>
      </w:r>
      <w:r w:rsidR="00790773">
        <w:rPr>
          <w:color w:val="000000"/>
          <w:sz w:val="26"/>
          <w:szCs w:val="26"/>
        </w:rPr>
        <w:t>, con modificazioni, dalla legge 28 marzo 2022, n. 25</w:t>
      </w:r>
      <w:r w:rsidR="00751F72">
        <w:rPr>
          <w:color w:val="000000"/>
          <w:sz w:val="26"/>
          <w:szCs w:val="26"/>
        </w:rPr>
        <w:t>,</w:t>
      </w:r>
      <w:r w:rsidR="005762A2">
        <w:rPr>
          <w:color w:val="000000"/>
          <w:sz w:val="26"/>
          <w:szCs w:val="26"/>
        </w:rPr>
        <w:t xml:space="preserve"> ha inserito nel citato articolo 12 </w:t>
      </w:r>
      <w:r w:rsidR="00016E9A">
        <w:rPr>
          <w:color w:val="000000"/>
          <w:sz w:val="26"/>
          <w:szCs w:val="26"/>
        </w:rPr>
        <w:t xml:space="preserve">del Tuir </w:t>
      </w:r>
      <w:r w:rsidR="005762A2">
        <w:rPr>
          <w:color w:val="000000"/>
          <w:sz w:val="26"/>
          <w:szCs w:val="26"/>
        </w:rPr>
        <w:t xml:space="preserve">il comma </w:t>
      </w:r>
      <w:r w:rsidR="005762A2" w:rsidRPr="00DE4D18">
        <w:rPr>
          <w:color w:val="000000"/>
          <w:sz w:val="26"/>
          <w:szCs w:val="26"/>
        </w:rPr>
        <w:t>4</w:t>
      </w:r>
      <w:r w:rsidR="005762A2" w:rsidRPr="006F1909">
        <w:rPr>
          <w:i/>
          <w:color w:val="000000"/>
          <w:sz w:val="26"/>
          <w:szCs w:val="26"/>
        </w:rPr>
        <w:t>-ter</w:t>
      </w:r>
      <w:r w:rsidR="005762A2">
        <w:rPr>
          <w:color w:val="000000"/>
          <w:sz w:val="26"/>
          <w:szCs w:val="26"/>
        </w:rPr>
        <w:t xml:space="preserve">, ai sensi del quale </w:t>
      </w:r>
      <w:r w:rsidR="00FA7797">
        <w:rPr>
          <w:color w:val="000000"/>
          <w:sz w:val="26"/>
          <w:szCs w:val="26"/>
        </w:rPr>
        <w:t>“</w:t>
      </w:r>
      <w:r w:rsidR="005762A2" w:rsidRPr="00E84095">
        <w:rPr>
          <w:i/>
          <w:color w:val="000000"/>
          <w:sz w:val="26"/>
          <w:szCs w:val="26"/>
        </w:rPr>
        <w:t>Ai fini delle disposizioni fiscali che fanno riferimento alle persone indicate nel presente articolo, anche</w:t>
      </w:r>
      <w:r w:rsidR="00E84095" w:rsidRPr="00E84095">
        <w:rPr>
          <w:i/>
          <w:color w:val="000000"/>
          <w:sz w:val="26"/>
          <w:szCs w:val="26"/>
        </w:rPr>
        <w:t xml:space="preserve"> </w:t>
      </w:r>
      <w:r w:rsidR="005762A2" w:rsidRPr="00E84095">
        <w:rPr>
          <w:i/>
          <w:color w:val="000000"/>
          <w:sz w:val="26"/>
          <w:szCs w:val="26"/>
        </w:rPr>
        <w:t>richiamando le condizioni ivi previste, i figli per i quali non spetta la detrazione ai sensi della lettera c) del comma 1</w:t>
      </w:r>
      <w:r w:rsidR="00E84095" w:rsidRPr="00E84095">
        <w:rPr>
          <w:i/>
          <w:color w:val="000000"/>
          <w:sz w:val="26"/>
          <w:szCs w:val="26"/>
        </w:rPr>
        <w:t xml:space="preserve"> </w:t>
      </w:r>
      <w:r w:rsidR="005762A2" w:rsidRPr="00E84095">
        <w:rPr>
          <w:i/>
          <w:color w:val="000000"/>
          <w:sz w:val="26"/>
          <w:szCs w:val="26"/>
        </w:rPr>
        <w:t>sono considerati al pari dei figli per i quali spetta tale detrazione</w:t>
      </w:r>
      <w:r w:rsidR="00FA7797">
        <w:rPr>
          <w:color w:val="000000"/>
          <w:sz w:val="26"/>
          <w:szCs w:val="26"/>
        </w:rPr>
        <w:t>”</w:t>
      </w:r>
      <w:r w:rsidR="00E84095">
        <w:rPr>
          <w:color w:val="000000"/>
          <w:sz w:val="26"/>
          <w:szCs w:val="26"/>
        </w:rPr>
        <w:t>.</w:t>
      </w:r>
    </w:p>
    <w:p w14:paraId="49454982" w14:textId="414EB140" w:rsidR="00751F72" w:rsidRDefault="007E016F" w:rsidP="007E016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In virtù di quest’ultima disposizione e con l’introduzione dell’AUU, il contribuente con </w:t>
      </w:r>
      <w:r w:rsidRPr="007E016F">
        <w:rPr>
          <w:color w:val="000000"/>
          <w:sz w:val="26"/>
          <w:szCs w:val="26"/>
        </w:rPr>
        <w:t xml:space="preserve">figli di età inferiore ai 21 anni </w:t>
      </w:r>
      <w:r>
        <w:rPr>
          <w:color w:val="000000"/>
          <w:sz w:val="26"/>
          <w:szCs w:val="26"/>
        </w:rPr>
        <w:t xml:space="preserve">fiscalmente a carico non può più avvalersi delle detrazioni di cui all’articolo 12, comma 1, lettera </w:t>
      </w:r>
      <w:r w:rsidRPr="00DE4D18">
        <w:rPr>
          <w:i/>
          <w:color w:val="000000"/>
          <w:sz w:val="26"/>
          <w:szCs w:val="26"/>
        </w:rPr>
        <w:t>c)</w:t>
      </w:r>
      <w:r>
        <w:rPr>
          <w:color w:val="000000"/>
          <w:sz w:val="26"/>
          <w:szCs w:val="26"/>
        </w:rPr>
        <w:t>, del Tuir</w:t>
      </w:r>
      <w:r w:rsidR="00445F9E">
        <w:rPr>
          <w:color w:val="000000"/>
          <w:sz w:val="26"/>
          <w:szCs w:val="26"/>
        </w:rPr>
        <w:t xml:space="preserve"> ma può avvalersi del</w:t>
      </w:r>
      <w:r w:rsidRPr="007E016F">
        <w:rPr>
          <w:color w:val="000000"/>
          <w:sz w:val="26"/>
          <w:szCs w:val="26"/>
        </w:rPr>
        <w:t>le detrazioni</w:t>
      </w:r>
      <w:r>
        <w:rPr>
          <w:color w:val="000000"/>
          <w:sz w:val="26"/>
          <w:szCs w:val="26"/>
        </w:rPr>
        <w:t xml:space="preserve"> </w:t>
      </w:r>
      <w:r w:rsidRPr="007E016F">
        <w:rPr>
          <w:color w:val="000000"/>
          <w:sz w:val="26"/>
          <w:szCs w:val="26"/>
        </w:rPr>
        <w:t xml:space="preserve">e </w:t>
      </w:r>
      <w:r w:rsidR="00445F9E">
        <w:rPr>
          <w:color w:val="000000"/>
          <w:sz w:val="26"/>
          <w:szCs w:val="26"/>
        </w:rPr>
        <w:t>del</w:t>
      </w:r>
      <w:r w:rsidRPr="007E016F">
        <w:rPr>
          <w:color w:val="000000"/>
          <w:sz w:val="26"/>
          <w:szCs w:val="26"/>
        </w:rPr>
        <w:t>le deduzioni previste per oneri e spese sostenute nell’interesse dei familiari fiscalmente a</w:t>
      </w:r>
      <w:r>
        <w:rPr>
          <w:color w:val="000000"/>
          <w:sz w:val="26"/>
          <w:szCs w:val="26"/>
        </w:rPr>
        <w:t xml:space="preserve"> </w:t>
      </w:r>
      <w:r w:rsidR="00445F9E">
        <w:rPr>
          <w:color w:val="000000"/>
          <w:sz w:val="26"/>
          <w:szCs w:val="26"/>
        </w:rPr>
        <w:t xml:space="preserve">carico di cui al medesimo </w:t>
      </w:r>
      <w:r w:rsidRPr="007E016F">
        <w:rPr>
          <w:color w:val="000000"/>
          <w:sz w:val="26"/>
          <w:szCs w:val="26"/>
        </w:rPr>
        <w:t>articolo 12 del T</w:t>
      </w:r>
      <w:r w:rsidR="003B6216">
        <w:rPr>
          <w:color w:val="000000"/>
          <w:sz w:val="26"/>
          <w:szCs w:val="26"/>
        </w:rPr>
        <w:t>uir</w:t>
      </w:r>
      <w:r w:rsidRPr="007E016F">
        <w:rPr>
          <w:color w:val="000000"/>
          <w:sz w:val="26"/>
          <w:szCs w:val="26"/>
        </w:rPr>
        <w:t xml:space="preserve"> </w:t>
      </w:r>
      <w:r w:rsidR="002E04C8">
        <w:rPr>
          <w:color w:val="000000"/>
          <w:sz w:val="26"/>
          <w:szCs w:val="26"/>
        </w:rPr>
        <w:t>(cfr. circolare 18 febbraio 2022, n. 4/E, paragrafo 1.4)</w:t>
      </w:r>
      <w:r w:rsidR="00EB272E" w:rsidRPr="00996FD5">
        <w:rPr>
          <w:rStyle w:val="Rimandonotaapidipagina"/>
          <w:sz w:val="26"/>
          <w:szCs w:val="26"/>
        </w:rPr>
        <w:footnoteReference w:id="1"/>
      </w:r>
      <w:r w:rsidR="00EB272E" w:rsidRPr="00996FD5">
        <w:rPr>
          <w:sz w:val="26"/>
          <w:szCs w:val="26"/>
        </w:rPr>
        <w:t>.</w:t>
      </w:r>
    </w:p>
    <w:p w14:paraId="77C645D8" w14:textId="77BBD716" w:rsidR="00F6215F" w:rsidRDefault="00470871" w:rsidP="00F6215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32F37">
        <w:rPr>
          <w:color w:val="000000"/>
          <w:sz w:val="26"/>
          <w:szCs w:val="26"/>
        </w:rPr>
        <w:t>Ciò</w:t>
      </w:r>
      <w:r w:rsidR="00046ACD" w:rsidRPr="00932F37">
        <w:rPr>
          <w:color w:val="000000"/>
          <w:sz w:val="26"/>
          <w:szCs w:val="26"/>
        </w:rPr>
        <w:t xml:space="preserve"> </w:t>
      </w:r>
      <w:r w:rsidR="00610540" w:rsidRPr="00932F37">
        <w:rPr>
          <w:color w:val="000000"/>
          <w:sz w:val="26"/>
          <w:szCs w:val="26"/>
        </w:rPr>
        <w:t>premesso</w:t>
      </w:r>
      <w:r w:rsidRPr="00932F37">
        <w:rPr>
          <w:color w:val="000000"/>
          <w:sz w:val="26"/>
          <w:szCs w:val="26"/>
        </w:rPr>
        <w:t xml:space="preserve">, si </w:t>
      </w:r>
      <w:r w:rsidR="000C397C" w:rsidRPr="00932F37">
        <w:rPr>
          <w:color w:val="000000"/>
          <w:sz w:val="26"/>
          <w:szCs w:val="26"/>
        </w:rPr>
        <w:t>ribadisce l’importanza del</w:t>
      </w:r>
      <w:r w:rsidR="009E39E7" w:rsidRPr="00932F37">
        <w:rPr>
          <w:color w:val="000000"/>
          <w:sz w:val="26"/>
          <w:szCs w:val="26"/>
        </w:rPr>
        <w:t>l’indicazione</w:t>
      </w:r>
      <w:r w:rsidR="000C397C" w:rsidRPr="00932F37">
        <w:rPr>
          <w:color w:val="000000"/>
          <w:sz w:val="26"/>
          <w:szCs w:val="26"/>
        </w:rPr>
        <w:t xml:space="preserve"> nella C</w:t>
      </w:r>
      <w:r w:rsidR="006D2862" w:rsidRPr="00D92235">
        <w:rPr>
          <w:color w:val="000000"/>
          <w:sz w:val="26"/>
          <w:szCs w:val="26"/>
        </w:rPr>
        <w:t>U</w:t>
      </w:r>
      <w:r w:rsidR="000C397C" w:rsidRPr="00932F37">
        <w:rPr>
          <w:color w:val="000000"/>
          <w:sz w:val="26"/>
          <w:szCs w:val="26"/>
        </w:rPr>
        <w:t xml:space="preserve"> </w:t>
      </w:r>
      <w:r w:rsidR="009E39E7" w:rsidRPr="00932F37">
        <w:rPr>
          <w:color w:val="000000"/>
          <w:sz w:val="26"/>
          <w:szCs w:val="26"/>
        </w:rPr>
        <w:t xml:space="preserve">dei dati relativi ai familiari che nel periodo d’imposta di riferimento sono stati fiscalmente a </w:t>
      </w:r>
      <w:r w:rsidR="009E39E7" w:rsidRPr="00A65E38">
        <w:rPr>
          <w:color w:val="000000"/>
          <w:sz w:val="26"/>
          <w:szCs w:val="26"/>
        </w:rPr>
        <w:t>carico</w:t>
      </w:r>
      <w:r w:rsidR="009E39E7" w:rsidRPr="00A65E38">
        <w:rPr>
          <w:i/>
          <w:color w:val="000000"/>
          <w:sz w:val="26"/>
          <w:szCs w:val="26"/>
        </w:rPr>
        <w:t xml:space="preserve"> </w:t>
      </w:r>
      <w:r w:rsidR="000C397C" w:rsidRPr="00A65E38">
        <w:rPr>
          <w:color w:val="000000"/>
          <w:sz w:val="26"/>
          <w:szCs w:val="26"/>
        </w:rPr>
        <w:t>e</w:t>
      </w:r>
      <w:r w:rsidR="00256BBA">
        <w:rPr>
          <w:color w:val="000000"/>
          <w:sz w:val="26"/>
          <w:szCs w:val="26"/>
        </w:rPr>
        <w:t>,</w:t>
      </w:r>
      <w:r w:rsidR="000C397C" w:rsidRPr="00A65E38">
        <w:rPr>
          <w:color w:val="000000"/>
          <w:sz w:val="26"/>
          <w:szCs w:val="26"/>
        </w:rPr>
        <w:t xml:space="preserve"> per i quali</w:t>
      </w:r>
      <w:r w:rsidR="00256BBA">
        <w:rPr>
          <w:color w:val="000000"/>
          <w:sz w:val="26"/>
          <w:szCs w:val="26"/>
        </w:rPr>
        <w:t xml:space="preserve">, come precisato nelle istruzioni della CU, </w:t>
      </w:r>
      <w:r w:rsidR="009E39E7" w:rsidRPr="00A65E38">
        <w:rPr>
          <w:color w:val="000000"/>
          <w:sz w:val="26"/>
          <w:szCs w:val="26"/>
        </w:rPr>
        <w:t>non</w:t>
      </w:r>
      <w:r w:rsidR="001B316C" w:rsidRPr="00A65E38">
        <w:rPr>
          <w:color w:val="000000"/>
          <w:sz w:val="26"/>
          <w:szCs w:val="26"/>
        </w:rPr>
        <w:t xml:space="preserve"> ci siano</w:t>
      </w:r>
      <w:r w:rsidR="000C397C" w:rsidRPr="00A65E38">
        <w:rPr>
          <w:color w:val="000000"/>
          <w:sz w:val="26"/>
          <w:szCs w:val="26"/>
        </w:rPr>
        <w:t xml:space="preserve"> state</w:t>
      </w:r>
      <w:r w:rsidR="001B316C" w:rsidRPr="00A65E38">
        <w:rPr>
          <w:color w:val="000000"/>
          <w:sz w:val="26"/>
          <w:szCs w:val="26"/>
        </w:rPr>
        <w:t xml:space="preserve"> </w:t>
      </w:r>
      <w:r w:rsidR="009E39E7" w:rsidRPr="00A65E38">
        <w:rPr>
          <w:color w:val="000000"/>
          <w:sz w:val="26"/>
          <w:szCs w:val="26"/>
        </w:rPr>
        <w:t xml:space="preserve">le condizioni per usufruire delle detrazioni per </w:t>
      </w:r>
      <w:r w:rsidR="00A65E38" w:rsidRPr="00A65E38">
        <w:rPr>
          <w:color w:val="000000"/>
          <w:sz w:val="26"/>
          <w:szCs w:val="26"/>
        </w:rPr>
        <w:t>familiari a carico</w:t>
      </w:r>
      <w:r w:rsidR="00433832" w:rsidRPr="00A65E38">
        <w:rPr>
          <w:color w:val="000000"/>
          <w:sz w:val="26"/>
          <w:szCs w:val="26"/>
        </w:rPr>
        <w:t>, indipendentemente se gli oneri siano stati riconosciuti dal sostituto nella CU</w:t>
      </w:r>
      <w:r w:rsidR="009E39E7" w:rsidRPr="00A65E38">
        <w:rPr>
          <w:color w:val="000000"/>
          <w:sz w:val="26"/>
          <w:szCs w:val="26"/>
        </w:rPr>
        <w:t>.</w:t>
      </w:r>
      <w:r w:rsidR="00433832" w:rsidRPr="00A65E38">
        <w:rPr>
          <w:i/>
          <w:color w:val="000000"/>
          <w:sz w:val="26"/>
          <w:szCs w:val="26"/>
        </w:rPr>
        <w:t xml:space="preserve"> </w:t>
      </w:r>
      <w:r w:rsidR="00F6215F" w:rsidRPr="00A65E38">
        <w:rPr>
          <w:color w:val="000000"/>
          <w:sz w:val="26"/>
          <w:szCs w:val="26"/>
        </w:rPr>
        <w:t>Pertanto</w:t>
      </w:r>
      <w:r w:rsidR="00F6215F">
        <w:rPr>
          <w:color w:val="000000"/>
          <w:sz w:val="26"/>
          <w:szCs w:val="26"/>
        </w:rPr>
        <w:t xml:space="preserve">, alla luce di quanto previsto dal comma </w:t>
      </w:r>
      <w:r w:rsidR="00F6215F" w:rsidRPr="001F6719">
        <w:rPr>
          <w:color w:val="000000"/>
          <w:sz w:val="26"/>
          <w:szCs w:val="26"/>
        </w:rPr>
        <w:t>4-</w:t>
      </w:r>
      <w:r w:rsidR="00F6215F" w:rsidRPr="00DE4D18">
        <w:rPr>
          <w:i/>
          <w:color w:val="000000"/>
          <w:sz w:val="26"/>
          <w:szCs w:val="26"/>
        </w:rPr>
        <w:t>ter</w:t>
      </w:r>
      <w:r w:rsidR="00F6215F">
        <w:rPr>
          <w:color w:val="000000"/>
          <w:sz w:val="26"/>
          <w:szCs w:val="26"/>
        </w:rPr>
        <w:t xml:space="preserve"> del </w:t>
      </w:r>
      <w:r w:rsidR="00F6215F" w:rsidRPr="00AC2DEB">
        <w:rPr>
          <w:color w:val="000000"/>
          <w:sz w:val="26"/>
          <w:szCs w:val="26"/>
        </w:rPr>
        <w:t xml:space="preserve">citato articolo 12 </w:t>
      </w:r>
      <w:r w:rsidR="00F6215F">
        <w:rPr>
          <w:color w:val="000000"/>
          <w:sz w:val="26"/>
          <w:szCs w:val="26"/>
        </w:rPr>
        <w:t xml:space="preserve">e ai fini del riconoscimento, nel rispetto delle condizioni previste, da parte del sostituto d’imposta delle deduzioni/detrazioni degli oneri sostenuti dal lavoratore per i familiari a carico, si rappresenta che la sezione della CU dedicata </w:t>
      </w:r>
      <w:r w:rsidR="00F6215F" w:rsidRPr="007A032C">
        <w:rPr>
          <w:color w:val="000000"/>
          <w:sz w:val="26"/>
          <w:szCs w:val="26"/>
        </w:rPr>
        <w:t xml:space="preserve">ai </w:t>
      </w:r>
      <w:r w:rsidR="00F6215F">
        <w:rPr>
          <w:color w:val="000000"/>
          <w:sz w:val="26"/>
          <w:szCs w:val="26"/>
        </w:rPr>
        <w:t>“</w:t>
      </w:r>
      <w:r w:rsidR="00F6215F" w:rsidRPr="001F6719">
        <w:rPr>
          <w:color w:val="000000"/>
          <w:sz w:val="26"/>
          <w:szCs w:val="26"/>
        </w:rPr>
        <w:t>Dati relativi al coniuge e ai familiari a carico”</w:t>
      </w:r>
      <w:r w:rsidR="00F6215F">
        <w:rPr>
          <w:color w:val="000000"/>
          <w:sz w:val="26"/>
          <w:szCs w:val="26"/>
        </w:rPr>
        <w:t xml:space="preserve"> va compilata dal sostituto d’imposta anche nell’ipotesi in cui per i soggetti ivi indicati non si è provveduto al riconoscimento della detrazione per carichi di famiglia di cui all’articolo 12 del Tuir o di oneri</w:t>
      </w:r>
      <w:r w:rsidR="00F6215F" w:rsidRPr="00F6215F">
        <w:rPr>
          <w:color w:val="000000"/>
          <w:sz w:val="26"/>
          <w:szCs w:val="26"/>
        </w:rPr>
        <w:t xml:space="preserve"> </w:t>
      </w:r>
      <w:r w:rsidR="00F6215F">
        <w:rPr>
          <w:color w:val="000000"/>
          <w:sz w:val="26"/>
          <w:szCs w:val="26"/>
        </w:rPr>
        <w:t xml:space="preserve">e spese </w:t>
      </w:r>
      <w:r w:rsidR="00F6215F" w:rsidRPr="007E016F">
        <w:rPr>
          <w:color w:val="000000"/>
          <w:sz w:val="26"/>
          <w:szCs w:val="26"/>
        </w:rPr>
        <w:t>sostenute nell’interesse dei familiari fiscalmente a</w:t>
      </w:r>
      <w:r w:rsidR="00F6215F">
        <w:rPr>
          <w:color w:val="000000"/>
          <w:sz w:val="26"/>
          <w:szCs w:val="26"/>
        </w:rPr>
        <w:t xml:space="preserve"> carico di cui al medesimo </w:t>
      </w:r>
      <w:r w:rsidR="00F6215F" w:rsidRPr="007E016F">
        <w:rPr>
          <w:color w:val="000000"/>
          <w:sz w:val="26"/>
          <w:szCs w:val="26"/>
        </w:rPr>
        <w:t>articolo 12 del T</w:t>
      </w:r>
      <w:r w:rsidR="00F6215F">
        <w:rPr>
          <w:color w:val="000000"/>
          <w:sz w:val="26"/>
          <w:szCs w:val="26"/>
        </w:rPr>
        <w:t>uir.</w:t>
      </w:r>
    </w:p>
    <w:p w14:paraId="4D1885D9" w14:textId="77777777" w:rsidR="009D0AD2" w:rsidRDefault="00245670" w:rsidP="00D9223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aggiunta a ciò, si evidenzia che le </w:t>
      </w:r>
      <w:r w:rsidRPr="00D4629D">
        <w:rPr>
          <w:sz w:val="26"/>
          <w:szCs w:val="26"/>
        </w:rPr>
        <w:t xml:space="preserve">informazioni relative ai figli a carico per cui non spettano le detrazioni di cui all’articolo 12, comma 1, </w:t>
      </w:r>
      <w:r w:rsidRPr="00DE4D18">
        <w:rPr>
          <w:sz w:val="26"/>
          <w:szCs w:val="26"/>
        </w:rPr>
        <w:t>lett</w:t>
      </w:r>
      <w:r>
        <w:rPr>
          <w:sz w:val="26"/>
          <w:szCs w:val="26"/>
        </w:rPr>
        <w:t>era</w:t>
      </w:r>
      <w:r w:rsidRPr="00D4629D">
        <w:rPr>
          <w:i/>
          <w:sz w:val="26"/>
          <w:szCs w:val="26"/>
        </w:rPr>
        <w:t xml:space="preserve"> c)</w:t>
      </w:r>
      <w:r w:rsidRPr="00D4629D">
        <w:rPr>
          <w:sz w:val="26"/>
          <w:szCs w:val="26"/>
        </w:rPr>
        <w:t xml:space="preserve">, del Tuir sono </w:t>
      </w:r>
      <w:r w:rsidRPr="00D4629D">
        <w:rPr>
          <w:sz w:val="26"/>
          <w:szCs w:val="26"/>
        </w:rPr>
        <w:lastRenderedPageBreak/>
        <w:t xml:space="preserve">necessarie per la determinazione delle addizionali regionali all’Irpef con riferimento alle Regioni che </w:t>
      </w:r>
      <w:r>
        <w:rPr>
          <w:sz w:val="26"/>
          <w:szCs w:val="26"/>
        </w:rPr>
        <w:t>prevedono particolari</w:t>
      </w:r>
      <w:r w:rsidRPr="00D4629D">
        <w:rPr>
          <w:sz w:val="26"/>
          <w:szCs w:val="26"/>
        </w:rPr>
        <w:t xml:space="preserve"> agevolazioni </w:t>
      </w:r>
      <w:r>
        <w:rPr>
          <w:sz w:val="26"/>
          <w:szCs w:val="26"/>
        </w:rPr>
        <w:t>correlate al carico fiscale</w:t>
      </w:r>
      <w:r w:rsidRPr="00D4629D">
        <w:rPr>
          <w:sz w:val="26"/>
          <w:szCs w:val="26"/>
        </w:rPr>
        <w:t>.</w:t>
      </w:r>
    </w:p>
    <w:p w14:paraId="526AFE6D" w14:textId="58D187F0" w:rsidR="007029C8" w:rsidRPr="00D92235" w:rsidRDefault="00245670" w:rsidP="00D9223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Si rappresenta</w:t>
      </w:r>
      <w:r w:rsidR="008B3A3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C37E5">
        <w:rPr>
          <w:sz w:val="26"/>
          <w:szCs w:val="26"/>
        </w:rPr>
        <w:t>inoltre</w:t>
      </w:r>
      <w:r w:rsidR="008B3A3B">
        <w:rPr>
          <w:sz w:val="26"/>
          <w:szCs w:val="26"/>
        </w:rPr>
        <w:t>,</w:t>
      </w:r>
      <w:r w:rsidR="008E1B8A" w:rsidRPr="00932F37">
        <w:rPr>
          <w:sz w:val="26"/>
          <w:szCs w:val="26"/>
        </w:rPr>
        <w:t xml:space="preserve"> che a </w:t>
      </w:r>
      <w:r w:rsidR="007029C8" w:rsidRPr="00932F37">
        <w:rPr>
          <w:sz w:val="26"/>
          <w:szCs w:val="26"/>
        </w:rPr>
        <w:t>seguito di alcune</w:t>
      </w:r>
      <w:r w:rsidR="007029C8" w:rsidRPr="00D92235">
        <w:rPr>
          <w:sz w:val="26"/>
          <w:szCs w:val="26"/>
        </w:rPr>
        <w:t xml:space="preserve"> recenti disposizioni</w:t>
      </w:r>
      <w:r w:rsidR="008E1B8A" w:rsidRPr="00D92235">
        <w:rPr>
          <w:sz w:val="26"/>
          <w:szCs w:val="26"/>
        </w:rPr>
        <w:t xml:space="preserve"> in tema di welfare aziendale, un</w:t>
      </w:r>
      <w:r w:rsidR="007029C8" w:rsidRPr="00D92235">
        <w:rPr>
          <w:sz w:val="26"/>
          <w:szCs w:val="26"/>
        </w:rPr>
        <w:t>a completa esposizione delle informazioni riferite ai familiari a carico risulta necessari</w:t>
      </w:r>
      <w:r w:rsidR="008E1B8A" w:rsidRPr="00D92235">
        <w:rPr>
          <w:sz w:val="26"/>
          <w:szCs w:val="26"/>
        </w:rPr>
        <w:t>a</w:t>
      </w:r>
      <w:r w:rsidR="007029C8" w:rsidRPr="00D92235">
        <w:rPr>
          <w:sz w:val="26"/>
          <w:szCs w:val="26"/>
        </w:rPr>
        <w:t xml:space="preserve"> per la corretta applicazione dell</w:t>
      </w:r>
      <w:r w:rsidR="008B3A3B">
        <w:rPr>
          <w:sz w:val="26"/>
          <w:szCs w:val="26"/>
        </w:rPr>
        <w:t>e norme</w:t>
      </w:r>
      <w:r w:rsidR="007029C8" w:rsidRPr="00D92235">
        <w:rPr>
          <w:sz w:val="26"/>
          <w:szCs w:val="26"/>
        </w:rPr>
        <w:t>.</w:t>
      </w:r>
    </w:p>
    <w:p w14:paraId="0E2A5734" w14:textId="470DBDED" w:rsidR="00591404" w:rsidRPr="00B62E9E" w:rsidRDefault="007358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62E9E">
        <w:rPr>
          <w:color w:val="000000"/>
          <w:sz w:val="26"/>
          <w:szCs w:val="26"/>
        </w:rPr>
        <w:t>Limitatamente al periodo d’imposta 2023, l</w:t>
      </w:r>
      <w:r w:rsidR="00EE47ED" w:rsidRPr="00B62E9E">
        <w:rPr>
          <w:color w:val="000000"/>
          <w:sz w:val="26"/>
          <w:szCs w:val="26"/>
        </w:rPr>
        <w:t>’articolo 40</w:t>
      </w:r>
      <w:r w:rsidR="00591404" w:rsidRPr="00B62E9E">
        <w:rPr>
          <w:color w:val="000000"/>
          <w:sz w:val="26"/>
          <w:szCs w:val="26"/>
        </w:rPr>
        <w:t xml:space="preserve">, comma 1, </w:t>
      </w:r>
      <w:r w:rsidR="00EE47ED" w:rsidRPr="00B62E9E">
        <w:rPr>
          <w:color w:val="000000"/>
          <w:sz w:val="26"/>
          <w:szCs w:val="26"/>
        </w:rPr>
        <w:t xml:space="preserve">del decreto legge </w:t>
      </w:r>
      <w:r w:rsidR="00932F37" w:rsidRPr="00B62E9E">
        <w:rPr>
          <w:color w:val="000000"/>
          <w:sz w:val="26"/>
          <w:szCs w:val="26"/>
        </w:rPr>
        <w:t xml:space="preserve">n. 48 </w:t>
      </w:r>
      <w:r w:rsidR="00EE47ED" w:rsidRPr="00B62E9E">
        <w:rPr>
          <w:color w:val="000000"/>
          <w:sz w:val="26"/>
          <w:szCs w:val="26"/>
        </w:rPr>
        <w:t xml:space="preserve">del </w:t>
      </w:r>
      <w:r w:rsidR="00932F37" w:rsidRPr="00B62E9E">
        <w:rPr>
          <w:color w:val="000000"/>
          <w:sz w:val="26"/>
          <w:szCs w:val="26"/>
        </w:rPr>
        <w:t>4 maggio</w:t>
      </w:r>
      <w:r w:rsidR="007029C8" w:rsidRPr="00B62E9E">
        <w:rPr>
          <w:color w:val="000000"/>
          <w:sz w:val="26"/>
          <w:szCs w:val="26"/>
        </w:rPr>
        <w:t xml:space="preserve"> </w:t>
      </w:r>
      <w:r w:rsidR="00EE47ED" w:rsidRPr="00B62E9E">
        <w:rPr>
          <w:color w:val="000000"/>
          <w:sz w:val="26"/>
          <w:szCs w:val="26"/>
        </w:rPr>
        <w:t>2023</w:t>
      </w:r>
      <w:r w:rsidR="00CD4535" w:rsidRPr="00B62E9E">
        <w:rPr>
          <w:color w:val="000000"/>
          <w:sz w:val="26"/>
          <w:szCs w:val="26"/>
        </w:rPr>
        <w:t>,</w:t>
      </w:r>
      <w:r w:rsidR="000C397C" w:rsidRPr="00B62E9E">
        <w:rPr>
          <w:color w:val="000000"/>
          <w:sz w:val="26"/>
          <w:szCs w:val="26"/>
        </w:rPr>
        <w:t xml:space="preserve"> in deroga a quanto </w:t>
      </w:r>
      <w:r w:rsidRPr="00B62E9E">
        <w:rPr>
          <w:color w:val="000000"/>
          <w:sz w:val="26"/>
          <w:szCs w:val="26"/>
        </w:rPr>
        <w:t xml:space="preserve">disposto </w:t>
      </w:r>
      <w:r w:rsidR="000C397C" w:rsidRPr="00B62E9E">
        <w:rPr>
          <w:color w:val="000000"/>
          <w:sz w:val="26"/>
          <w:szCs w:val="26"/>
        </w:rPr>
        <w:t>dall’articolo 51, comma 3, prima parte del terzo periodo del Tuir</w:t>
      </w:r>
      <w:r w:rsidR="00CD4535" w:rsidRPr="00B62E9E">
        <w:rPr>
          <w:color w:val="000000"/>
          <w:sz w:val="26"/>
          <w:szCs w:val="26"/>
        </w:rPr>
        <w:t>,</w:t>
      </w:r>
      <w:r w:rsidR="008E1B8A" w:rsidRPr="00B62E9E">
        <w:rPr>
          <w:color w:val="000000"/>
          <w:sz w:val="26"/>
          <w:szCs w:val="26"/>
        </w:rPr>
        <w:t xml:space="preserve"> </w:t>
      </w:r>
      <w:r w:rsidR="00932F37" w:rsidRPr="00B62E9E">
        <w:rPr>
          <w:color w:val="000000"/>
          <w:sz w:val="26"/>
          <w:szCs w:val="26"/>
        </w:rPr>
        <w:t>h</w:t>
      </w:r>
      <w:r w:rsidR="008E1B8A" w:rsidRPr="00B62E9E">
        <w:rPr>
          <w:color w:val="000000"/>
          <w:sz w:val="26"/>
          <w:szCs w:val="26"/>
        </w:rPr>
        <w:t>a</w:t>
      </w:r>
      <w:r w:rsidR="00D62AB3" w:rsidRPr="00B62E9E">
        <w:rPr>
          <w:color w:val="000000"/>
          <w:sz w:val="26"/>
          <w:szCs w:val="26"/>
        </w:rPr>
        <w:t xml:space="preserve"> previsto la non concorrenza alla formazione del reddito</w:t>
      </w:r>
      <w:r w:rsidR="001B093F">
        <w:rPr>
          <w:color w:val="000000"/>
          <w:sz w:val="26"/>
          <w:szCs w:val="26"/>
        </w:rPr>
        <w:t xml:space="preserve">, entro il limite complessivo </w:t>
      </w:r>
      <w:r w:rsidR="00D62AB3" w:rsidRPr="00B62E9E">
        <w:rPr>
          <w:color w:val="000000"/>
          <w:sz w:val="26"/>
          <w:szCs w:val="26"/>
        </w:rPr>
        <w:t>di 3.000 euro</w:t>
      </w:r>
      <w:r w:rsidR="00B62E9E" w:rsidRPr="00B62E9E">
        <w:rPr>
          <w:color w:val="000000"/>
          <w:sz w:val="26"/>
          <w:szCs w:val="26"/>
        </w:rPr>
        <w:t>,</w:t>
      </w:r>
      <w:r w:rsidR="00D62AB3" w:rsidRPr="00B62E9E">
        <w:rPr>
          <w:color w:val="000000"/>
          <w:sz w:val="26"/>
          <w:szCs w:val="26"/>
        </w:rPr>
        <w:t xml:space="preserve"> </w:t>
      </w:r>
      <w:r w:rsidR="001B093F">
        <w:rPr>
          <w:color w:val="000000"/>
          <w:sz w:val="26"/>
          <w:szCs w:val="26"/>
        </w:rPr>
        <w:t>de</w:t>
      </w:r>
      <w:r w:rsidR="00D62AB3" w:rsidRPr="00B62E9E">
        <w:rPr>
          <w:color w:val="000000"/>
          <w:sz w:val="26"/>
          <w:szCs w:val="26"/>
        </w:rPr>
        <w:t xml:space="preserve">l valore </w:t>
      </w:r>
      <w:r w:rsidR="00B900F9" w:rsidRPr="00B62E9E">
        <w:rPr>
          <w:color w:val="000000"/>
          <w:sz w:val="26"/>
          <w:szCs w:val="26"/>
        </w:rPr>
        <w:t>dei beni ceduti e dei servizi prestati ai lavoratori dipendenti con figli, compresi i figli nati fuori del matrimonio riconosciuti, i figli adottivi o affidati, che si trovino nelle condizioni previste dall’ar</w:t>
      </w:r>
      <w:r w:rsidR="008B3A3B" w:rsidRPr="00B62E9E">
        <w:rPr>
          <w:color w:val="000000"/>
          <w:sz w:val="26"/>
          <w:szCs w:val="26"/>
        </w:rPr>
        <w:t>ticolo 12, comma 2, del citato Testo U</w:t>
      </w:r>
      <w:r w:rsidR="00B900F9" w:rsidRPr="00B62E9E">
        <w:rPr>
          <w:color w:val="000000"/>
          <w:sz w:val="26"/>
          <w:szCs w:val="26"/>
        </w:rPr>
        <w:t xml:space="preserve">nico, nonché </w:t>
      </w:r>
      <w:r w:rsidR="001B093F">
        <w:rPr>
          <w:color w:val="000000"/>
          <w:sz w:val="26"/>
          <w:szCs w:val="26"/>
        </w:rPr>
        <w:t>de</w:t>
      </w:r>
      <w:r w:rsidR="00B62E9E" w:rsidRPr="00B62E9E">
        <w:rPr>
          <w:color w:val="000000"/>
          <w:sz w:val="26"/>
          <w:szCs w:val="26"/>
        </w:rPr>
        <w:t>l</w:t>
      </w:r>
      <w:r w:rsidR="00B900F9" w:rsidRPr="00B62E9E">
        <w:rPr>
          <w:color w:val="000000"/>
          <w:sz w:val="26"/>
          <w:szCs w:val="26"/>
        </w:rPr>
        <w:t>le somme erogate o rimborsate ai medesimi lavoratori dei datori di lavoro per il pagamento delle utenze domestiche del servizio idrico integrato, dell’energia elettrica e del gas naturale.</w:t>
      </w:r>
    </w:p>
    <w:p w14:paraId="29E9291D" w14:textId="1D6C9703" w:rsidR="00EE47ED" w:rsidRDefault="000C39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eastAsia="Calibri" w:hAnsi="Courier New" w:cs="Courier New"/>
          <w:color w:val="19191A"/>
          <w:sz w:val="22"/>
          <w:szCs w:val="22"/>
        </w:rPr>
      </w:pPr>
      <w:r w:rsidRPr="00B62E9E">
        <w:rPr>
          <w:color w:val="000000"/>
          <w:sz w:val="26"/>
          <w:szCs w:val="26"/>
        </w:rPr>
        <w:t xml:space="preserve"> Il comma 3 del predetto articolo 40 prevede che </w:t>
      </w:r>
      <w:r w:rsidR="00591404" w:rsidRPr="00B62E9E">
        <w:rPr>
          <w:color w:val="000000"/>
          <w:sz w:val="26"/>
          <w:szCs w:val="26"/>
        </w:rPr>
        <w:t xml:space="preserve">il limite </w:t>
      </w:r>
      <w:r w:rsidR="00932F37" w:rsidRPr="00B62E9E">
        <w:rPr>
          <w:color w:val="000000"/>
          <w:sz w:val="26"/>
          <w:szCs w:val="26"/>
        </w:rPr>
        <w:t>di 3.000 euro</w:t>
      </w:r>
      <w:r w:rsidR="00591404" w:rsidRPr="00932F37">
        <w:rPr>
          <w:color w:val="000000"/>
          <w:sz w:val="26"/>
          <w:szCs w:val="26"/>
        </w:rPr>
        <w:t xml:space="preserve"> si applica se il lavoratore dipendente dichiara al datore di lavoro di avervi diritto</w:t>
      </w:r>
      <w:r w:rsidR="00DE52B1">
        <w:rPr>
          <w:color w:val="000000"/>
          <w:sz w:val="26"/>
          <w:szCs w:val="26"/>
        </w:rPr>
        <w:t>.</w:t>
      </w:r>
      <w:r w:rsidR="00591404" w:rsidRPr="00932F37">
        <w:rPr>
          <w:color w:val="000000"/>
          <w:sz w:val="26"/>
          <w:szCs w:val="26"/>
        </w:rPr>
        <w:t xml:space="preserve"> </w:t>
      </w:r>
      <w:r w:rsidR="00DE52B1">
        <w:rPr>
          <w:color w:val="000000"/>
          <w:sz w:val="26"/>
          <w:szCs w:val="26"/>
        </w:rPr>
        <w:t xml:space="preserve">A tal fine il lavoratore comunica </w:t>
      </w:r>
      <w:r w:rsidR="00CD4535">
        <w:rPr>
          <w:color w:val="000000"/>
          <w:sz w:val="26"/>
          <w:szCs w:val="26"/>
        </w:rPr>
        <w:t xml:space="preserve">i codici fiscali dei figli </w:t>
      </w:r>
      <w:r w:rsidR="00DE52B1">
        <w:rPr>
          <w:color w:val="000000"/>
          <w:sz w:val="26"/>
          <w:szCs w:val="26"/>
        </w:rPr>
        <w:t>al sostituto,</w:t>
      </w:r>
      <w:r w:rsidR="009229F7">
        <w:rPr>
          <w:color w:val="000000"/>
          <w:sz w:val="26"/>
          <w:szCs w:val="26"/>
        </w:rPr>
        <w:t xml:space="preserve"> </w:t>
      </w:r>
      <w:r w:rsidR="00CD4535">
        <w:rPr>
          <w:color w:val="000000"/>
          <w:sz w:val="26"/>
          <w:szCs w:val="26"/>
        </w:rPr>
        <w:t>che</w:t>
      </w:r>
      <w:r w:rsidR="00CD4535" w:rsidRPr="00932F37">
        <w:rPr>
          <w:color w:val="000000"/>
          <w:sz w:val="26"/>
          <w:szCs w:val="26"/>
        </w:rPr>
        <w:t xml:space="preserve"> </w:t>
      </w:r>
      <w:r w:rsidR="00DE52B1">
        <w:rPr>
          <w:color w:val="000000"/>
          <w:sz w:val="26"/>
          <w:szCs w:val="26"/>
        </w:rPr>
        <w:t xml:space="preserve">provvederà a </w:t>
      </w:r>
      <w:r w:rsidR="00591404" w:rsidRPr="00932F37">
        <w:rPr>
          <w:color w:val="000000"/>
          <w:sz w:val="26"/>
          <w:szCs w:val="26"/>
        </w:rPr>
        <w:t>riport</w:t>
      </w:r>
      <w:r w:rsidR="00DE52B1">
        <w:rPr>
          <w:color w:val="000000"/>
          <w:sz w:val="26"/>
          <w:szCs w:val="26"/>
        </w:rPr>
        <w:t>are</w:t>
      </w:r>
      <w:r w:rsidR="00591404" w:rsidRPr="00932F37">
        <w:rPr>
          <w:color w:val="000000"/>
          <w:sz w:val="26"/>
          <w:szCs w:val="26"/>
        </w:rPr>
        <w:t xml:space="preserve"> </w:t>
      </w:r>
      <w:r w:rsidR="00CD4535">
        <w:rPr>
          <w:color w:val="000000"/>
          <w:sz w:val="26"/>
          <w:szCs w:val="26"/>
        </w:rPr>
        <w:t xml:space="preserve">tali dati </w:t>
      </w:r>
      <w:r w:rsidR="00591404" w:rsidRPr="00932F37">
        <w:rPr>
          <w:color w:val="000000"/>
          <w:sz w:val="26"/>
          <w:szCs w:val="26"/>
        </w:rPr>
        <w:t xml:space="preserve">nel prospetto dei familiari a carico, anche se per </w:t>
      </w:r>
      <w:r w:rsidR="00DE52B1">
        <w:rPr>
          <w:color w:val="000000"/>
          <w:sz w:val="26"/>
          <w:szCs w:val="26"/>
        </w:rPr>
        <w:t>detti familiari</w:t>
      </w:r>
      <w:r w:rsidR="00591404" w:rsidRPr="00932F37">
        <w:rPr>
          <w:color w:val="000000"/>
          <w:sz w:val="26"/>
          <w:szCs w:val="26"/>
        </w:rPr>
        <w:t xml:space="preserve"> non si è usufruito delle detrazioni.</w:t>
      </w:r>
    </w:p>
    <w:p w14:paraId="34FA8816" w14:textId="4EE415DE" w:rsidR="00395BD8" w:rsidRDefault="00395B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6ACD">
        <w:rPr>
          <w:color w:val="000000"/>
          <w:sz w:val="26"/>
          <w:szCs w:val="26"/>
        </w:rPr>
        <w:t xml:space="preserve">Nelle istruzioni </w:t>
      </w:r>
      <w:r w:rsidR="00AC2DEB" w:rsidRPr="00046ACD">
        <w:rPr>
          <w:color w:val="000000"/>
          <w:sz w:val="26"/>
          <w:szCs w:val="26"/>
        </w:rPr>
        <w:t xml:space="preserve">per la </w:t>
      </w:r>
      <w:r w:rsidRPr="00046ACD">
        <w:rPr>
          <w:color w:val="000000"/>
          <w:sz w:val="26"/>
          <w:szCs w:val="26"/>
        </w:rPr>
        <w:t xml:space="preserve">compilazione della </w:t>
      </w:r>
      <w:r w:rsidR="00CC334B">
        <w:rPr>
          <w:color w:val="000000"/>
          <w:sz w:val="26"/>
          <w:szCs w:val="26"/>
        </w:rPr>
        <w:t>CU</w:t>
      </w:r>
      <w:r w:rsidR="00AC2DEB" w:rsidRPr="00932F37">
        <w:rPr>
          <w:color w:val="000000"/>
          <w:sz w:val="26"/>
          <w:szCs w:val="26"/>
        </w:rPr>
        <w:t xml:space="preserve"> 202</w:t>
      </w:r>
      <w:r w:rsidR="00EA7FF9" w:rsidRPr="00932F37">
        <w:rPr>
          <w:color w:val="000000"/>
          <w:sz w:val="26"/>
          <w:szCs w:val="26"/>
        </w:rPr>
        <w:t>4</w:t>
      </w:r>
      <w:r w:rsidRPr="00046ACD">
        <w:rPr>
          <w:color w:val="000000"/>
          <w:sz w:val="26"/>
          <w:szCs w:val="26"/>
        </w:rPr>
        <w:t xml:space="preserve"> verranno </w:t>
      </w:r>
      <w:r w:rsidR="00AC2DEB" w:rsidRPr="00046ACD">
        <w:rPr>
          <w:color w:val="000000"/>
          <w:sz w:val="26"/>
          <w:szCs w:val="26"/>
        </w:rPr>
        <w:t>illustrate</w:t>
      </w:r>
      <w:r w:rsidR="00046ACD" w:rsidRPr="00046ACD">
        <w:rPr>
          <w:color w:val="000000"/>
          <w:sz w:val="26"/>
          <w:szCs w:val="26"/>
        </w:rPr>
        <w:t xml:space="preserve"> </w:t>
      </w:r>
      <w:r w:rsidRPr="00046ACD">
        <w:rPr>
          <w:color w:val="000000"/>
          <w:sz w:val="26"/>
          <w:szCs w:val="26"/>
        </w:rPr>
        <w:t xml:space="preserve">le modalità di compilazione della sezione </w:t>
      </w:r>
      <w:r w:rsidRPr="001B093F">
        <w:rPr>
          <w:color w:val="000000"/>
          <w:sz w:val="26"/>
          <w:szCs w:val="26"/>
        </w:rPr>
        <w:t>“</w:t>
      </w:r>
      <w:r w:rsidRPr="001B093F">
        <w:rPr>
          <w:i/>
          <w:color w:val="000000"/>
          <w:sz w:val="26"/>
          <w:szCs w:val="26"/>
        </w:rPr>
        <w:t>Dati relativi al coniuge e ai familiari a carico</w:t>
      </w:r>
      <w:r w:rsidRPr="001B093F">
        <w:rPr>
          <w:color w:val="000000"/>
          <w:sz w:val="26"/>
          <w:szCs w:val="26"/>
        </w:rPr>
        <w:t>”</w:t>
      </w:r>
      <w:r w:rsidR="00AC2DEB" w:rsidRPr="001B093F">
        <w:rPr>
          <w:color w:val="000000"/>
          <w:sz w:val="26"/>
          <w:szCs w:val="26"/>
        </w:rPr>
        <w:t xml:space="preserve"> </w:t>
      </w:r>
      <w:r w:rsidR="00A4043B" w:rsidRPr="001B093F">
        <w:rPr>
          <w:color w:val="000000"/>
          <w:sz w:val="26"/>
          <w:szCs w:val="26"/>
        </w:rPr>
        <w:t xml:space="preserve">con riferimento alle </w:t>
      </w:r>
      <w:r w:rsidR="00AC2DEB" w:rsidRPr="001B093F">
        <w:rPr>
          <w:color w:val="000000"/>
          <w:sz w:val="26"/>
          <w:szCs w:val="26"/>
        </w:rPr>
        <w:t>novità</w:t>
      </w:r>
      <w:r w:rsidR="005B59BF" w:rsidRPr="001B093F">
        <w:rPr>
          <w:color w:val="000000"/>
          <w:sz w:val="26"/>
          <w:szCs w:val="26"/>
        </w:rPr>
        <w:t xml:space="preserve"> sopra descritte</w:t>
      </w:r>
      <w:r w:rsidR="005B59BF" w:rsidRPr="00D92235">
        <w:rPr>
          <w:color w:val="000000"/>
          <w:sz w:val="26"/>
          <w:szCs w:val="26"/>
        </w:rPr>
        <w:t>.</w:t>
      </w:r>
      <w:r w:rsidR="00AC2DEB" w:rsidRPr="001F6719">
        <w:rPr>
          <w:color w:val="000000"/>
          <w:sz w:val="26"/>
          <w:szCs w:val="26"/>
        </w:rPr>
        <w:t xml:space="preserve"> </w:t>
      </w:r>
    </w:p>
    <w:p w14:paraId="11E0577E" w14:textId="1E6A4F96" w:rsidR="00A4043B" w:rsidRPr="009D0AD2" w:rsidRDefault="000C37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D0AD2">
        <w:rPr>
          <w:sz w:val="26"/>
          <w:szCs w:val="26"/>
        </w:rPr>
        <w:t xml:space="preserve">Si </w:t>
      </w:r>
      <w:r w:rsidR="00A4043B" w:rsidRPr="009D0AD2">
        <w:rPr>
          <w:sz w:val="26"/>
          <w:szCs w:val="26"/>
        </w:rPr>
        <w:t>sottolinea</w:t>
      </w:r>
      <w:r w:rsidR="008B3A3B">
        <w:rPr>
          <w:sz w:val="26"/>
          <w:szCs w:val="26"/>
        </w:rPr>
        <w:t>,</w:t>
      </w:r>
      <w:r w:rsidR="00A4043B" w:rsidRPr="009D0AD2">
        <w:rPr>
          <w:sz w:val="26"/>
          <w:szCs w:val="26"/>
        </w:rPr>
        <w:t xml:space="preserve"> </w:t>
      </w:r>
      <w:r w:rsidRPr="009D0AD2">
        <w:rPr>
          <w:sz w:val="26"/>
          <w:szCs w:val="26"/>
        </w:rPr>
        <w:t>infine</w:t>
      </w:r>
      <w:r w:rsidR="008B3A3B">
        <w:rPr>
          <w:sz w:val="26"/>
          <w:szCs w:val="26"/>
        </w:rPr>
        <w:t>,</w:t>
      </w:r>
      <w:r w:rsidRPr="009D0AD2">
        <w:rPr>
          <w:sz w:val="26"/>
          <w:szCs w:val="26"/>
        </w:rPr>
        <w:t xml:space="preserve"> che </w:t>
      </w:r>
      <w:r w:rsidR="00A4043B" w:rsidRPr="009D0AD2">
        <w:rPr>
          <w:sz w:val="26"/>
          <w:szCs w:val="26"/>
        </w:rPr>
        <w:t xml:space="preserve">un prospetto dei familiari </w:t>
      </w:r>
      <w:r w:rsidR="00DE68B7">
        <w:rPr>
          <w:sz w:val="26"/>
          <w:szCs w:val="26"/>
        </w:rPr>
        <w:t xml:space="preserve">a carico </w:t>
      </w:r>
      <w:r w:rsidR="00A4043B" w:rsidRPr="009D0AD2">
        <w:rPr>
          <w:sz w:val="26"/>
          <w:szCs w:val="26"/>
        </w:rPr>
        <w:t>completo</w:t>
      </w:r>
      <w:r w:rsidRPr="009D0AD2">
        <w:rPr>
          <w:sz w:val="26"/>
          <w:szCs w:val="26"/>
        </w:rPr>
        <w:t>,</w:t>
      </w:r>
      <w:r w:rsidR="00A4043B" w:rsidRPr="009D0AD2">
        <w:rPr>
          <w:sz w:val="26"/>
          <w:szCs w:val="26"/>
        </w:rPr>
        <w:t xml:space="preserve"> nel quale risultino riportati anche i codici fiscali dei figli per i qual</w:t>
      </w:r>
      <w:r w:rsidR="001D7F84" w:rsidRPr="009D0AD2">
        <w:rPr>
          <w:sz w:val="26"/>
          <w:szCs w:val="26"/>
        </w:rPr>
        <w:t xml:space="preserve">i </w:t>
      </w:r>
      <w:r w:rsidR="008B3A3B">
        <w:rPr>
          <w:sz w:val="26"/>
          <w:szCs w:val="26"/>
        </w:rPr>
        <w:t>il contribuente</w:t>
      </w:r>
      <w:r w:rsidR="001D7F84" w:rsidRPr="009D0AD2">
        <w:rPr>
          <w:sz w:val="26"/>
          <w:szCs w:val="26"/>
        </w:rPr>
        <w:t xml:space="preserve"> fruisce dell’Assegno unico</w:t>
      </w:r>
      <w:r w:rsidRPr="009D0AD2">
        <w:rPr>
          <w:sz w:val="26"/>
          <w:szCs w:val="26"/>
        </w:rPr>
        <w:t xml:space="preserve">, consente all’Agenzia delle entrate </w:t>
      </w:r>
      <w:r w:rsidR="00A4043B" w:rsidRPr="009D0AD2">
        <w:rPr>
          <w:sz w:val="26"/>
          <w:szCs w:val="26"/>
        </w:rPr>
        <w:t xml:space="preserve">di avere a disposizione </w:t>
      </w:r>
      <w:r w:rsidR="00A4043B" w:rsidRPr="009D0AD2">
        <w:rPr>
          <w:sz w:val="26"/>
          <w:szCs w:val="26"/>
        </w:rPr>
        <w:lastRenderedPageBreak/>
        <w:t xml:space="preserve">informazioni fondamentali per poter attribuire nella dichiarazione dei redditi precompilata le spese sostenute per i figli comunicate dai soggetti terzi, permettendo </w:t>
      </w:r>
      <w:r w:rsidRPr="009D0AD2">
        <w:rPr>
          <w:sz w:val="26"/>
          <w:szCs w:val="26"/>
        </w:rPr>
        <w:t xml:space="preserve">quindi </w:t>
      </w:r>
      <w:r w:rsidR="00A4043B" w:rsidRPr="009D0AD2">
        <w:rPr>
          <w:sz w:val="26"/>
          <w:szCs w:val="26"/>
        </w:rPr>
        <w:t xml:space="preserve">al contribuente di accettare la dichiarazione </w:t>
      </w:r>
      <w:r w:rsidRPr="009D0AD2">
        <w:rPr>
          <w:sz w:val="26"/>
          <w:szCs w:val="26"/>
        </w:rPr>
        <w:t xml:space="preserve">proposta </w:t>
      </w:r>
      <w:r w:rsidR="00A4043B" w:rsidRPr="009D0AD2">
        <w:rPr>
          <w:sz w:val="26"/>
          <w:szCs w:val="26"/>
        </w:rPr>
        <w:t xml:space="preserve">e </w:t>
      </w:r>
      <w:r w:rsidRPr="009D0AD2">
        <w:rPr>
          <w:sz w:val="26"/>
          <w:szCs w:val="26"/>
        </w:rPr>
        <w:t>beneficiare</w:t>
      </w:r>
      <w:r w:rsidR="00A4043B" w:rsidRPr="009D0AD2">
        <w:rPr>
          <w:sz w:val="26"/>
          <w:szCs w:val="26"/>
        </w:rPr>
        <w:t xml:space="preserve"> delle conseguenti agevolazioni</w:t>
      </w:r>
      <w:r w:rsidRPr="009D0AD2">
        <w:rPr>
          <w:sz w:val="26"/>
          <w:szCs w:val="26"/>
        </w:rPr>
        <w:t xml:space="preserve"> sui controlli, previste dall’articolo 5 del decreto legislativo 21 novembre 2014, n. 175</w:t>
      </w:r>
      <w:r w:rsidR="00A4043B" w:rsidRPr="009D0AD2">
        <w:rPr>
          <w:sz w:val="26"/>
          <w:szCs w:val="26"/>
        </w:rPr>
        <w:t>.</w:t>
      </w:r>
    </w:p>
    <w:p w14:paraId="0A438BD0" w14:textId="631930CB" w:rsidR="00551008" w:rsidRPr="00A72935" w:rsidRDefault="00551008" w:rsidP="00D92235">
      <w:pPr>
        <w:tabs>
          <w:tab w:val="left" w:pos="195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14:paraId="5C57598B" w14:textId="77777777" w:rsidR="00247BA8" w:rsidRDefault="00247BA8" w:rsidP="000C6AD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******</w:t>
      </w:r>
    </w:p>
    <w:p w14:paraId="1E12FF11" w14:textId="077AD35D" w:rsidR="00022614" w:rsidRDefault="00C13E1D" w:rsidP="000C6ADB">
      <w:pPr>
        <w:pStyle w:val="CM3"/>
        <w:spacing w:after="0" w:line="503" w:lineRule="atLeast"/>
        <w:ind w:firstLine="720"/>
        <w:jc w:val="both"/>
        <w:rPr>
          <w:color w:val="000000"/>
          <w:sz w:val="26"/>
          <w:szCs w:val="26"/>
        </w:rPr>
      </w:pPr>
      <w:r w:rsidRPr="00F42222">
        <w:rPr>
          <w:color w:val="000000"/>
          <w:sz w:val="26"/>
          <w:szCs w:val="26"/>
        </w:rPr>
        <w:t>Le Direzioni r</w:t>
      </w:r>
      <w:r w:rsidR="00CF4F71" w:rsidRPr="00F42222">
        <w:rPr>
          <w:color w:val="000000"/>
          <w:sz w:val="26"/>
          <w:szCs w:val="26"/>
        </w:rPr>
        <w:t xml:space="preserve">egionali </w:t>
      </w:r>
      <w:r w:rsidR="005D6988" w:rsidRPr="00F42222">
        <w:rPr>
          <w:color w:val="000000"/>
          <w:sz w:val="26"/>
          <w:szCs w:val="26"/>
        </w:rPr>
        <w:t>v</w:t>
      </w:r>
      <w:r w:rsidR="00CF4F71" w:rsidRPr="00F42222">
        <w:rPr>
          <w:color w:val="000000"/>
          <w:sz w:val="26"/>
          <w:szCs w:val="26"/>
        </w:rPr>
        <w:t xml:space="preserve">igileranno affinché i principi enunciati </w:t>
      </w:r>
      <w:r w:rsidR="005D6988" w:rsidRPr="00F42222">
        <w:rPr>
          <w:color w:val="000000"/>
          <w:sz w:val="26"/>
          <w:szCs w:val="26"/>
        </w:rPr>
        <w:t xml:space="preserve">e le istruzioni fornite con la </w:t>
      </w:r>
      <w:r w:rsidR="00CF4F71" w:rsidRPr="00F42222">
        <w:rPr>
          <w:color w:val="000000"/>
          <w:sz w:val="26"/>
          <w:szCs w:val="26"/>
        </w:rPr>
        <w:t>presente risoluzione v</w:t>
      </w:r>
      <w:r w:rsidR="005D6988" w:rsidRPr="00F42222">
        <w:rPr>
          <w:color w:val="000000"/>
          <w:sz w:val="26"/>
          <w:szCs w:val="26"/>
        </w:rPr>
        <w:t>engano puntualmente osservati dalle Direzioni provinciali e dagli Uffici dipendenti.</w:t>
      </w:r>
    </w:p>
    <w:p w14:paraId="59CFF349" w14:textId="77777777" w:rsidR="00022614" w:rsidRDefault="00022614" w:rsidP="000C6ADB">
      <w:pPr>
        <w:pStyle w:val="CM3"/>
        <w:spacing w:after="0" w:line="503" w:lineRule="atLeast"/>
        <w:ind w:firstLine="720"/>
        <w:jc w:val="both"/>
        <w:rPr>
          <w:color w:val="000000"/>
          <w:sz w:val="26"/>
          <w:szCs w:val="26"/>
        </w:rPr>
      </w:pPr>
    </w:p>
    <w:p w14:paraId="19B515A2" w14:textId="77777777" w:rsidR="00732101" w:rsidRPr="00732101" w:rsidRDefault="00732101" w:rsidP="00732101">
      <w:pPr>
        <w:keepNext/>
        <w:keepLines/>
        <w:widowControl w:val="0"/>
        <w:shd w:val="clear" w:color="auto" w:fill="FFFFFF"/>
        <w:spacing w:line="360" w:lineRule="auto"/>
        <w:ind w:left="3969"/>
        <w:jc w:val="center"/>
        <w:outlineLvl w:val="0"/>
        <w:rPr>
          <w:bCs/>
          <w:sz w:val="26"/>
          <w:szCs w:val="26"/>
          <w:lang w:eastAsia="en-US" w:bidi="en-US"/>
        </w:rPr>
      </w:pPr>
      <w:r w:rsidRPr="00732101">
        <w:rPr>
          <w:bCs/>
          <w:sz w:val="26"/>
          <w:szCs w:val="26"/>
          <w:lang w:eastAsia="en-US" w:bidi="en-US"/>
        </w:rPr>
        <w:t xml:space="preserve">IL DIRETTORE </w:t>
      </w:r>
      <w:r>
        <w:rPr>
          <w:bCs/>
          <w:sz w:val="26"/>
          <w:szCs w:val="26"/>
          <w:lang w:eastAsia="en-US" w:bidi="en-US"/>
        </w:rPr>
        <w:t>CENTRALE</w:t>
      </w:r>
    </w:p>
    <w:p w14:paraId="530BA0B9" w14:textId="77777777" w:rsidR="00732101" w:rsidRPr="00732101" w:rsidRDefault="00732101" w:rsidP="00732101">
      <w:pPr>
        <w:keepNext/>
        <w:keepLines/>
        <w:widowControl w:val="0"/>
        <w:spacing w:line="360" w:lineRule="auto"/>
        <w:ind w:left="3969"/>
        <w:jc w:val="center"/>
        <w:outlineLvl w:val="0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>Federico Monaco</w:t>
      </w:r>
    </w:p>
    <w:p w14:paraId="0021ADE1" w14:textId="77777777" w:rsidR="00732101" w:rsidRPr="00732101" w:rsidRDefault="00732101" w:rsidP="00732101">
      <w:pPr>
        <w:keepNext/>
        <w:keepLines/>
        <w:widowControl w:val="0"/>
        <w:spacing w:line="360" w:lineRule="auto"/>
        <w:ind w:left="3969"/>
        <w:jc w:val="center"/>
        <w:outlineLvl w:val="0"/>
        <w:rPr>
          <w:b/>
          <w:bCs/>
          <w:sz w:val="26"/>
          <w:szCs w:val="26"/>
          <w:lang w:eastAsia="en-US" w:bidi="en-US"/>
        </w:rPr>
      </w:pPr>
      <w:r w:rsidRPr="00732101">
        <w:rPr>
          <w:bCs/>
          <w:i/>
          <w:iCs/>
          <w:sz w:val="26"/>
          <w:szCs w:val="26"/>
          <w:lang w:eastAsia="en-US" w:bidi="en-US"/>
        </w:rPr>
        <w:t>Firmato digitalmente</w:t>
      </w:r>
    </w:p>
    <w:p w14:paraId="27184DF5" w14:textId="77777777" w:rsidR="00664DF9" w:rsidRPr="00664DF9" w:rsidRDefault="00664DF9" w:rsidP="00664DF9">
      <w:pPr>
        <w:pStyle w:val="Default"/>
      </w:pPr>
    </w:p>
    <w:sectPr w:rsidR="00664DF9" w:rsidRPr="00664DF9" w:rsidSect="00DA25D6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2062" w:right="1701" w:bottom="1843" w:left="1701" w:header="113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5F6F" w14:textId="77777777" w:rsidR="005479A6" w:rsidRDefault="005479A6">
      <w:r>
        <w:separator/>
      </w:r>
    </w:p>
  </w:endnote>
  <w:endnote w:type="continuationSeparator" w:id="0">
    <w:p w14:paraId="08089FBF" w14:textId="77777777" w:rsidR="005479A6" w:rsidRDefault="005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883E" w14:textId="77777777" w:rsidR="003930A5" w:rsidRPr="007E4A93" w:rsidRDefault="003930A5" w:rsidP="007E4A93">
    <w:pPr>
      <w:pStyle w:val="Pidipagina"/>
      <w:rPr>
        <w:szCs w:val="16"/>
      </w:rPr>
    </w:pPr>
    <w:r w:rsidRPr="007E4A93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4CAD0" w14:textId="77777777" w:rsidR="005479A6" w:rsidRDefault="005479A6">
      <w:r>
        <w:separator/>
      </w:r>
    </w:p>
  </w:footnote>
  <w:footnote w:type="continuationSeparator" w:id="0">
    <w:p w14:paraId="28921090" w14:textId="77777777" w:rsidR="005479A6" w:rsidRDefault="005479A6">
      <w:r>
        <w:continuationSeparator/>
      </w:r>
    </w:p>
  </w:footnote>
  <w:footnote w:id="1">
    <w:p w14:paraId="3AFF0DBE" w14:textId="77777777" w:rsidR="00EB272E" w:rsidRPr="009D0AD2" w:rsidRDefault="00EB272E" w:rsidP="00EB272E">
      <w:pPr>
        <w:pStyle w:val="Testonotaapidipagina"/>
        <w:jc w:val="both"/>
      </w:pPr>
      <w:r w:rsidRPr="009D0AD2">
        <w:rPr>
          <w:rStyle w:val="Rimandonotaapidipagina"/>
        </w:rPr>
        <w:footnoteRef/>
      </w:r>
      <w:r w:rsidRPr="009D0AD2">
        <w:t xml:space="preserve"> In altri termini, viene prevista un’equiparazione tra figli di età pari o superiore a 21 anni, per i quali risulta ancora applicabile la disciplina di cui all’art. 12 del TUIR, e figli per i quali viene erogato l’Assegno Unico Universale ma che rispettano comunque le condizioni per essere considerati fiscalmente a carico dal citato art. 12, comma 2. Ciò anche e soprattutto con riguardo all’applicazione dell’art. 10 sugli “oneri deducibili” e dell’art. 15 sugli “oneri detraibili” del TUIR, che consentono al genitore di dedurre o detrarre le spese sostenute per figli a carico. Indipendentemente dal fatto che venga erogato l’Assegno Unico Universale e purché siano rispettati i criteri reddituali stabiliti al comma 2 del medesimo articolo 12, anche per i figli di età inferiore ai 21 anni, il genitore potrà continuare a fruire delle detrazioni e le deduzioni previste per le spese sostenute nell’interesse degli stessi.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CD01" w14:textId="594E39FB" w:rsidR="003930A5" w:rsidRDefault="003870DA" w:rsidP="002F4A73">
    <w:pPr>
      <w:pStyle w:val="Intestazione"/>
      <w:framePr w:wrap="around" w:vAnchor="text" w:hAnchor="margin" w:xAlign="center" w:y="1"/>
      <w:rPr>
        <w:rStyle w:val="Numeropagina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70B47" wp14:editId="62D578C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16510"/>
              <wp:wrapNone/>
              <wp:docPr id="3" name="Casella di testo 3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9806C0" w14:textId="0847E352" w:rsidR="003870DA" w:rsidRPr="003870DA" w:rsidRDefault="003870DA" w:rsidP="003870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870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670B4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Uso 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99806C0" w14:textId="0847E352" w:rsidR="003870DA" w:rsidRPr="003870DA" w:rsidRDefault="003870DA" w:rsidP="003870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870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30A5">
      <w:rPr>
        <w:rStyle w:val="Numeropagina"/>
      </w:rPr>
      <w:fldChar w:fldCharType="begin"/>
    </w:r>
    <w:r w:rsidR="003930A5">
      <w:rPr>
        <w:rStyle w:val="Numeropagina"/>
      </w:rPr>
      <w:instrText xml:space="preserve">PAGE  </w:instrText>
    </w:r>
    <w:r w:rsidR="003930A5">
      <w:rPr>
        <w:rStyle w:val="Numeropagina"/>
      </w:rPr>
      <w:fldChar w:fldCharType="separate"/>
    </w:r>
    <w:r w:rsidR="00FD4DAC">
      <w:rPr>
        <w:rStyle w:val="Numeropagina"/>
        <w:noProof/>
      </w:rPr>
      <w:t>1</w:t>
    </w:r>
    <w:r w:rsidR="003930A5">
      <w:rPr>
        <w:rStyle w:val="Numeropagina"/>
      </w:rPr>
      <w:fldChar w:fldCharType="end"/>
    </w:r>
  </w:p>
  <w:p w14:paraId="06DF6221" w14:textId="77777777" w:rsidR="003930A5" w:rsidRDefault="003930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B460" w14:textId="278257B1" w:rsidR="003930A5" w:rsidRDefault="003870DA" w:rsidP="002F4A73">
    <w:pPr>
      <w:pStyle w:val="Intestazione"/>
      <w:framePr w:wrap="around" w:vAnchor="text" w:hAnchor="margin" w:xAlign="center" w:y="1"/>
      <w:rPr>
        <w:rStyle w:val="Numeropagin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FA0147" wp14:editId="0708365F">
              <wp:simplePos x="38481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16510"/>
              <wp:wrapNone/>
              <wp:docPr id="4" name="Casella di testo 4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7F55F" w14:textId="6F65DFA2" w:rsidR="003870DA" w:rsidRPr="003870DA" w:rsidRDefault="003870DA" w:rsidP="003870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FA014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AD7F55F" w14:textId="6F65DFA2" w:rsidR="003870DA" w:rsidRPr="003870DA" w:rsidRDefault="003870DA" w:rsidP="003870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30A5">
      <w:rPr>
        <w:rStyle w:val="Numeropagina"/>
      </w:rPr>
      <w:fldChar w:fldCharType="begin"/>
    </w:r>
    <w:r w:rsidR="003930A5">
      <w:rPr>
        <w:rStyle w:val="Numeropagina"/>
      </w:rPr>
      <w:instrText xml:space="preserve">PAGE  </w:instrText>
    </w:r>
    <w:r w:rsidR="003930A5">
      <w:rPr>
        <w:rStyle w:val="Numeropagina"/>
      </w:rPr>
      <w:fldChar w:fldCharType="separate"/>
    </w:r>
    <w:r w:rsidR="00624130">
      <w:rPr>
        <w:rStyle w:val="Numeropagina"/>
        <w:noProof/>
      </w:rPr>
      <w:t>5</w:t>
    </w:r>
    <w:r w:rsidR="003930A5">
      <w:rPr>
        <w:rStyle w:val="Numeropagina"/>
      </w:rPr>
      <w:fldChar w:fldCharType="end"/>
    </w:r>
  </w:p>
  <w:p w14:paraId="6D46BB29" w14:textId="77777777" w:rsidR="003930A5" w:rsidRDefault="003930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DB09" w14:textId="39D8C051" w:rsidR="003930A5" w:rsidRPr="00C84DA6" w:rsidRDefault="003870DA" w:rsidP="007E4A93">
    <w:pPr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56A31D" wp14:editId="2443E054">
              <wp:simplePos x="107632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16510"/>
              <wp:wrapNone/>
              <wp:docPr id="2" name="Casella di tes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EB72A" w14:textId="5B0C8E6D" w:rsidR="003870DA" w:rsidRPr="003870DA" w:rsidRDefault="003870DA" w:rsidP="003870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56A31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Uso interno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EB72A" w14:textId="5B0C8E6D" w:rsidR="003870DA" w:rsidRPr="003870DA" w:rsidRDefault="003870DA" w:rsidP="003870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30A5" w:rsidRPr="00C84DA6">
      <w:rPr>
        <w:b/>
        <w:sz w:val="26"/>
        <w:szCs w:val="26"/>
      </w:rPr>
      <w:t>RISOLUZIONE N.</w:t>
    </w:r>
    <w:r w:rsidR="003930A5">
      <w:rPr>
        <w:b/>
        <w:sz w:val="26"/>
        <w:szCs w:val="26"/>
      </w:rPr>
      <w:t xml:space="preserve"> </w:t>
    </w:r>
    <w:bookmarkStart w:id="0" w:name="_GoBack"/>
    <w:bookmarkEnd w:id="0"/>
    <w:r w:rsidR="003930A5">
      <w:rPr>
        <w:b/>
        <w:sz w:val="26"/>
        <w:szCs w:val="26"/>
      </w:rPr>
      <w:t xml:space="preserve">     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B2F"/>
    <w:multiLevelType w:val="hybridMultilevel"/>
    <w:tmpl w:val="D5D850B6"/>
    <w:lvl w:ilvl="0" w:tplc="871C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F075C"/>
    <w:multiLevelType w:val="hybridMultilevel"/>
    <w:tmpl w:val="8E8ABF14"/>
    <w:lvl w:ilvl="0" w:tplc="A41A2220">
      <w:numFmt w:val="bullet"/>
      <w:lvlText w:val="-"/>
      <w:lvlJc w:val="left"/>
      <w:pPr>
        <w:ind w:left="256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7A70B56"/>
    <w:multiLevelType w:val="hybridMultilevel"/>
    <w:tmpl w:val="034CE5A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884337"/>
    <w:multiLevelType w:val="hybridMultilevel"/>
    <w:tmpl w:val="7FC88D78"/>
    <w:lvl w:ilvl="0" w:tplc="0136B25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5A7"/>
    <w:multiLevelType w:val="hybridMultilevel"/>
    <w:tmpl w:val="5B52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1C26"/>
    <w:multiLevelType w:val="hybridMultilevel"/>
    <w:tmpl w:val="DC368394"/>
    <w:lvl w:ilvl="0" w:tplc="09D472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D191AC0"/>
    <w:multiLevelType w:val="hybridMultilevel"/>
    <w:tmpl w:val="18E20F9A"/>
    <w:lvl w:ilvl="0" w:tplc="871C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F6ABC"/>
    <w:multiLevelType w:val="hybridMultilevel"/>
    <w:tmpl w:val="9F68FC4A"/>
    <w:lvl w:ilvl="0" w:tplc="E99A7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66FB7"/>
    <w:multiLevelType w:val="hybridMultilevel"/>
    <w:tmpl w:val="81CAC7EC"/>
    <w:lvl w:ilvl="0" w:tplc="7C868812">
      <w:start w:val="600"/>
      <w:numFmt w:val="bullet"/>
      <w:lvlText w:val="-"/>
      <w:lvlJc w:val="left"/>
      <w:pPr>
        <w:ind w:left="253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7"/>
    <w:rsid w:val="00003C47"/>
    <w:rsid w:val="00015F4C"/>
    <w:rsid w:val="00016E9A"/>
    <w:rsid w:val="000201F7"/>
    <w:rsid w:val="00022614"/>
    <w:rsid w:val="00022B6C"/>
    <w:rsid w:val="00031CB2"/>
    <w:rsid w:val="000349F4"/>
    <w:rsid w:val="00034C0D"/>
    <w:rsid w:val="00042F25"/>
    <w:rsid w:val="00046ACD"/>
    <w:rsid w:val="0005792A"/>
    <w:rsid w:val="000655C2"/>
    <w:rsid w:val="000838FC"/>
    <w:rsid w:val="00086B84"/>
    <w:rsid w:val="000879BE"/>
    <w:rsid w:val="000931F8"/>
    <w:rsid w:val="000A16C3"/>
    <w:rsid w:val="000A6BE0"/>
    <w:rsid w:val="000B6062"/>
    <w:rsid w:val="000C37E5"/>
    <w:rsid w:val="000C397C"/>
    <w:rsid w:val="000C67B4"/>
    <w:rsid w:val="000C6ADB"/>
    <w:rsid w:val="000D1920"/>
    <w:rsid w:val="000D6E2D"/>
    <w:rsid w:val="000E01C9"/>
    <w:rsid w:val="000F0F43"/>
    <w:rsid w:val="00107727"/>
    <w:rsid w:val="00110CEF"/>
    <w:rsid w:val="0011748A"/>
    <w:rsid w:val="00117AA7"/>
    <w:rsid w:val="00121E14"/>
    <w:rsid w:val="0012680F"/>
    <w:rsid w:val="001355E8"/>
    <w:rsid w:val="00145011"/>
    <w:rsid w:val="001466B7"/>
    <w:rsid w:val="001527EC"/>
    <w:rsid w:val="001613BB"/>
    <w:rsid w:val="0016401B"/>
    <w:rsid w:val="00171484"/>
    <w:rsid w:val="00177682"/>
    <w:rsid w:val="001845E9"/>
    <w:rsid w:val="001901AE"/>
    <w:rsid w:val="0019320E"/>
    <w:rsid w:val="001969D7"/>
    <w:rsid w:val="00196C01"/>
    <w:rsid w:val="0019782F"/>
    <w:rsid w:val="001A318D"/>
    <w:rsid w:val="001A6D2D"/>
    <w:rsid w:val="001B093F"/>
    <w:rsid w:val="001B239C"/>
    <w:rsid w:val="001B316C"/>
    <w:rsid w:val="001B31FC"/>
    <w:rsid w:val="001B4DEF"/>
    <w:rsid w:val="001C3596"/>
    <w:rsid w:val="001C67BF"/>
    <w:rsid w:val="001D4425"/>
    <w:rsid w:val="001D6849"/>
    <w:rsid w:val="001D7F84"/>
    <w:rsid w:val="001E75D9"/>
    <w:rsid w:val="001F5BD5"/>
    <w:rsid w:val="001F5FC2"/>
    <w:rsid w:val="001F6719"/>
    <w:rsid w:val="001F6FBA"/>
    <w:rsid w:val="002003B0"/>
    <w:rsid w:val="00204575"/>
    <w:rsid w:val="00204CBB"/>
    <w:rsid w:val="002123B1"/>
    <w:rsid w:val="00212904"/>
    <w:rsid w:val="002132E7"/>
    <w:rsid w:val="00232DE1"/>
    <w:rsid w:val="00245670"/>
    <w:rsid w:val="00245AA8"/>
    <w:rsid w:val="00247BA8"/>
    <w:rsid w:val="00252E0D"/>
    <w:rsid w:val="00256BBA"/>
    <w:rsid w:val="00261801"/>
    <w:rsid w:val="00261996"/>
    <w:rsid w:val="00262DE9"/>
    <w:rsid w:val="0026384F"/>
    <w:rsid w:val="00270130"/>
    <w:rsid w:val="00274896"/>
    <w:rsid w:val="00284BA6"/>
    <w:rsid w:val="00286E36"/>
    <w:rsid w:val="002907D6"/>
    <w:rsid w:val="00295ED4"/>
    <w:rsid w:val="002976DD"/>
    <w:rsid w:val="002B5425"/>
    <w:rsid w:val="002C7240"/>
    <w:rsid w:val="002D2589"/>
    <w:rsid w:val="002D6DC8"/>
    <w:rsid w:val="002E00A4"/>
    <w:rsid w:val="002E04C8"/>
    <w:rsid w:val="002F18A4"/>
    <w:rsid w:val="002F4A73"/>
    <w:rsid w:val="002F4C95"/>
    <w:rsid w:val="00300F9E"/>
    <w:rsid w:val="00302D9C"/>
    <w:rsid w:val="00305A60"/>
    <w:rsid w:val="003066CC"/>
    <w:rsid w:val="0031043C"/>
    <w:rsid w:val="00317970"/>
    <w:rsid w:val="003208CC"/>
    <w:rsid w:val="00323675"/>
    <w:rsid w:val="00326DB8"/>
    <w:rsid w:val="003377A4"/>
    <w:rsid w:val="003455CA"/>
    <w:rsid w:val="00350A35"/>
    <w:rsid w:val="00354FC1"/>
    <w:rsid w:val="003569FE"/>
    <w:rsid w:val="00362458"/>
    <w:rsid w:val="00366BED"/>
    <w:rsid w:val="003713F4"/>
    <w:rsid w:val="003723C1"/>
    <w:rsid w:val="00376292"/>
    <w:rsid w:val="003779C9"/>
    <w:rsid w:val="0038059C"/>
    <w:rsid w:val="00386B3B"/>
    <w:rsid w:val="003870DA"/>
    <w:rsid w:val="003930A5"/>
    <w:rsid w:val="00395BD8"/>
    <w:rsid w:val="003963CB"/>
    <w:rsid w:val="003A0718"/>
    <w:rsid w:val="003A375C"/>
    <w:rsid w:val="003A4C79"/>
    <w:rsid w:val="003B6216"/>
    <w:rsid w:val="003B6FBE"/>
    <w:rsid w:val="003C1BA7"/>
    <w:rsid w:val="003C27BF"/>
    <w:rsid w:val="003D0D2A"/>
    <w:rsid w:val="003D200C"/>
    <w:rsid w:val="003D21A7"/>
    <w:rsid w:val="003D5275"/>
    <w:rsid w:val="003D6234"/>
    <w:rsid w:val="003E0591"/>
    <w:rsid w:val="003E2425"/>
    <w:rsid w:val="003E7500"/>
    <w:rsid w:val="003F50E9"/>
    <w:rsid w:val="004007E3"/>
    <w:rsid w:val="00402267"/>
    <w:rsid w:val="00403DC3"/>
    <w:rsid w:val="00404543"/>
    <w:rsid w:val="0041575E"/>
    <w:rsid w:val="004235FF"/>
    <w:rsid w:val="004300EE"/>
    <w:rsid w:val="00433832"/>
    <w:rsid w:val="004403E1"/>
    <w:rsid w:val="00441866"/>
    <w:rsid w:val="0044403C"/>
    <w:rsid w:val="00444CC5"/>
    <w:rsid w:val="00445F9E"/>
    <w:rsid w:val="0044678F"/>
    <w:rsid w:val="0045172B"/>
    <w:rsid w:val="00460B4C"/>
    <w:rsid w:val="004637DC"/>
    <w:rsid w:val="00464A6E"/>
    <w:rsid w:val="00467F43"/>
    <w:rsid w:val="00470871"/>
    <w:rsid w:val="00470E4D"/>
    <w:rsid w:val="0047213D"/>
    <w:rsid w:val="004768ED"/>
    <w:rsid w:val="004802CA"/>
    <w:rsid w:val="00481539"/>
    <w:rsid w:val="00487EB5"/>
    <w:rsid w:val="004A1B8F"/>
    <w:rsid w:val="004A2ADA"/>
    <w:rsid w:val="004A3E30"/>
    <w:rsid w:val="004A5328"/>
    <w:rsid w:val="004A69CA"/>
    <w:rsid w:val="004B272E"/>
    <w:rsid w:val="004B4400"/>
    <w:rsid w:val="004B79F2"/>
    <w:rsid w:val="004C6970"/>
    <w:rsid w:val="004C7662"/>
    <w:rsid w:val="004C7C38"/>
    <w:rsid w:val="004D03F7"/>
    <w:rsid w:val="004E6BB6"/>
    <w:rsid w:val="004F1986"/>
    <w:rsid w:val="004F6F0B"/>
    <w:rsid w:val="00514F50"/>
    <w:rsid w:val="00523A9B"/>
    <w:rsid w:val="0052621F"/>
    <w:rsid w:val="005315C1"/>
    <w:rsid w:val="00537BA4"/>
    <w:rsid w:val="00542F49"/>
    <w:rsid w:val="005446EF"/>
    <w:rsid w:val="0054531C"/>
    <w:rsid w:val="00545CF4"/>
    <w:rsid w:val="005479A6"/>
    <w:rsid w:val="00551008"/>
    <w:rsid w:val="0055188A"/>
    <w:rsid w:val="00552F1E"/>
    <w:rsid w:val="0055686A"/>
    <w:rsid w:val="00560FD8"/>
    <w:rsid w:val="005762A2"/>
    <w:rsid w:val="005766A1"/>
    <w:rsid w:val="00585DAC"/>
    <w:rsid w:val="00591404"/>
    <w:rsid w:val="005952A4"/>
    <w:rsid w:val="0059761A"/>
    <w:rsid w:val="005B0CAC"/>
    <w:rsid w:val="005B1460"/>
    <w:rsid w:val="005B1A41"/>
    <w:rsid w:val="005B59BF"/>
    <w:rsid w:val="005B7128"/>
    <w:rsid w:val="005B7D29"/>
    <w:rsid w:val="005C4EC7"/>
    <w:rsid w:val="005C6403"/>
    <w:rsid w:val="005C6689"/>
    <w:rsid w:val="005D3F11"/>
    <w:rsid w:val="005D6988"/>
    <w:rsid w:val="005D6C3C"/>
    <w:rsid w:val="005E41F8"/>
    <w:rsid w:val="005F21AF"/>
    <w:rsid w:val="005F5449"/>
    <w:rsid w:val="005F6E86"/>
    <w:rsid w:val="0060190E"/>
    <w:rsid w:val="00601FDD"/>
    <w:rsid w:val="00610540"/>
    <w:rsid w:val="00620CF5"/>
    <w:rsid w:val="00624130"/>
    <w:rsid w:val="00625747"/>
    <w:rsid w:val="00625AF5"/>
    <w:rsid w:val="00630017"/>
    <w:rsid w:val="00641A24"/>
    <w:rsid w:val="006541AC"/>
    <w:rsid w:val="00654A65"/>
    <w:rsid w:val="006578C0"/>
    <w:rsid w:val="00664DF9"/>
    <w:rsid w:val="00664E9C"/>
    <w:rsid w:val="00667311"/>
    <w:rsid w:val="00670E7E"/>
    <w:rsid w:val="0067390B"/>
    <w:rsid w:val="0067776C"/>
    <w:rsid w:val="00686B3B"/>
    <w:rsid w:val="006938EB"/>
    <w:rsid w:val="00697A42"/>
    <w:rsid w:val="006A39A2"/>
    <w:rsid w:val="006B0916"/>
    <w:rsid w:val="006B31D8"/>
    <w:rsid w:val="006B3752"/>
    <w:rsid w:val="006C7B80"/>
    <w:rsid w:val="006D220E"/>
    <w:rsid w:val="006D2862"/>
    <w:rsid w:val="006D4CE9"/>
    <w:rsid w:val="006D72DC"/>
    <w:rsid w:val="006F1909"/>
    <w:rsid w:val="007029C8"/>
    <w:rsid w:val="00704256"/>
    <w:rsid w:val="007042C1"/>
    <w:rsid w:val="007057E6"/>
    <w:rsid w:val="00710158"/>
    <w:rsid w:val="00711D76"/>
    <w:rsid w:val="007177BD"/>
    <w:rsid w:val="00725C66"/>
    <w:rsid w:val="00732101"/>
    <w:rsid w:val="0073589F"/>
    <w:rsid w:val="00740CAE"/>
    <w:rsid w:val="0074128F"/>
    <w:rsid w:val="00744B9A"/>
    <w:rsid w:val="00746BB2"/>
    <w:rsid w:val="00747A6A"/>
    <w:rsid w:val="00751F72"/>
    <w:rsid w:val="00760BC6"/>
    <w:rsid w:val="00774910"/>
    <w:rsid w:val="00790773"/>
    <w:rsid w:val="007922EF"/>
    <w:rsid w:val="00792CD7"/>
    <w:rsid w:val="00794431"/>
    <w:rsid w:val="007A032C"/>
    <w:rsid w:val="007B0667"/>
    <w:rsid w:val="007B2174"/>
    <w:rsid w:val="007B3489"/>
    <w:rsid w:val="007B44BA"/>
    <w:rsid w:val="007B4CED"/>
    <w:rsid w:val="007C55B2"/>
    <w:rsid w:val="007C76D1"/>
    <w:rsid w:val="007D0183"/>
    <w:rsid w:val="007D048D"/>
    <w:rsid w:val="007E016F"/>
    <w:rsid w:val="007E3919"/>
    <w:rsid w:val="007E4A93"/>
    <w:rsid w:val="007E5DBD"/>
    <w:rsid w:val="007F4850"/>
    <w:rsid w:val="007F5665"/>
    <w:rsid w:val="008020C3"/>
    <w:rsid w:val="008068DC"/>
    <w:rsid w:val="008105CB"/>
    <w:rsid w:val="00812EAB"/>
    <w:rsid w:val="00815B65"/>
    <w:rsid w:val="00821007"/>
    <w:rsid w:val="00822BB8"/>
    <w:rsid w:val="00824B80"/>
    <w:rsid w:val="00845368"/>
    <w:rsid w:val="00845C1C"/>
    <w:rsid w:val="00846570"/>
    <w:rsid w:val="00846FF1"/>
    <w:rsid w:val="008623F4"/>
    <w:rsid w:val="00863839"/>
    <w:rsid w:val="0086622C"/>
    <w:rsid w:val="008673F5"/>
    <w:rsid w:val="0087648C"/>
    <w:rsid w:val="008872F2"/>
    <w:rsid w:val="00887D28"/>
    <w:rsid w:val="00892AD8"/>
    <w:rsid w:val="008A512B"/>
    <w:rsid w:val="008B32ED"/>
    <w:rsid w:val="008B3A3B"/>
    <w:rsid w:val="008C3903"/>
    <w:rsid w:val="008C4299"/>
    <w:rsid w:val="008E1B8A"/>
    <w:rsid w:val="008E5B19"/>
    <w:rsid w:val="008F1307"/>
    <w:rsid w:val="008F7524"/>
    <w:rsid w:val="0090318E"/>
    <w:rsid w:val="00904F92"/>
    <w:rsid w:val="009074AC"/>
    <w:rsid w:val="009150A6"/>
    <w:rsid w:val="00917F81"/>
    <w:rsid w:val="009229F7"/>
    <w:rsid w:val="00932F37"/>
    <w:rsid w:val="00953EED"/>
    <w:rsid w:val="00954C25"/>
    <w:rsid w:val="00956057"/>
    <w:rsid w:val="0096687B"/>
    <w:rsid w:val="0097536B"/>
    <w:rsid w:val="00981205"/>
    <w:rsid w:val="00990871"/>
    <w:rsid w:val="009A6575"/>
    <w:rsid w:val="009B245E"/>
    <w:rsid w:val="009B5FE7"/>
    <w:rsid w:val="009B6608"/>
    <w:rsid w:val="009B66DC"/>
    <w:rsid w:val="009C31E3"/>
    <w:rsid w:val="009D0AD2"/>
    <w:rsid w:val="009D4FA0"/>
    <w:rsid w:val="009D5692"/>
    <w:rsid w:val="009E1142"/>
    <w:rsid w:val="009E39E7"/>
    <w:rsid w:val="009F1E09"/>
    <w:rsid w:val="009F50DC"/>
    <w:rsid w:val="009F7F6B"/>
    <w:rsid w:val="00A01E13"/>
    <w:rsid w:val="00A06964"/>
    <w:rsid w:val="00A24941"/>
    <w:rsid w:val="00A25CF5"/>
    <w:rsid w:val="00A4043B"/>
    <w:rsid w:val="00A42C4F"/>
    <w:rsid w:val="00A468CC"/>
    <w:rsid w:val="00A5418F"/>
    <w:rsid w:val="00A61FB2"/>
    <w:rsid w:val="00A63612"/>
    <w:rsid w:val="00A655DA"/>
    <w:rsid w:val="00A65E38"/>
    <w:rsid w:val="00A66179"/>
    <w:rsid w:val="00A71F9B"/>
    <w:rsid w:val="00A72935"/>
    <w:rsid w:val="00A83FC5"/>
    <w:rsid w:val="00A84AD7"/>
    <w:rsid w:val="00A84B40"/>
    <w:rsid w:val="00A933CF"/>
    <w:rsid w:val="00A9667F"/>
    <w:rsid w:val="00AA0C4E"/>
    <w:rsid w:val="00AA321D"/>
    <w:rsid w:val="00AA7223"/>
    <w:rsid w:val="00AA7842"/>
    <w:rsid w:val="00AB48B8"/>
    <w:rsid w:val="00AB783C"/>
    <w:rsid w:val="00AC24E5"/>
    <w:rsid w:val="00AC2DEB"/>
    <w:rsid w:val="00AC7066"/>
    <w:rsid w:val="00AD4D68"/>
    <w:rsid w:val="00AD742C"/>
    <w:rsid w:val="00AE02CA"/>
    <w:rsid w:val="00AF3131"/>
    <w:rsid w:val="00B10BCF"/>
    <w:rsid w:val="00B141D3"/>
    <w:rsid w:val="00B37789"/>
    <w:rsid w:val="00B425A2"/>
    <w:rsid w:val="00B4341C"/>
    <w:rsid w:val="00B4447E"/>
    <w:rsid w:val="00B44986"/>
    <w:rsid w:val="00B525A8"/>
    <w:rsid w:val="00B53992"/>
    <w:rsid w:val="00B623C0"/>
    <w:rsid w:val="00B62E9E"/>
    <w:rsid w:val="00B64DF6"/>
    <w:rsid w:val="00B80BDD"/>
    <w:rsid w:val="00B900F9"/>
    <w:rsid w:val="00BA043F"/>
    <w:rsid w:val="00BB7674"/>
    <w:rsid w:val="00BC0026"/>
    <w:rsid w:val="00BC400C"/>
    <w:rsid w:val="00BC5B94"/>
    <w:rsid w:val="00BD445A"/>
    <w:rsid w:val="00BD49CD"/>
    <w:rsid w:val="00BE00B9"/>
    <w:rsid w:val="00BE0897"/>
    <w:rsid w:val="00BE166F"/>
    <w:rsid w:val="00BE536C"/>
    <w:rsid w:val="00BE5DF4"/>
    <w:rsid w:val="00BF4A70"/>
    <w:rsid w:val="00C0586B"/>
    <w:rsid w:val="00C06A7A"/>
    <w:rsid w:val="00C11C4E"/>
    <w:rsid w:val="00C11F9C"/>
    <w:rsid w:val="00C13E1D"/>
    <w:rsid w:val="00C42093"/>
    <w:rsid w:val="00C60EC1"/>
    <w:rsid w:val="00C66ED3"/>
    <w:rsid w:val="00C71BC9"/>
    <w:rsid w:val="00C732FF"/>
    <w:rsid w:val="00C74716"/>
    <w:rsid w:val="00C7492F"/>
    <w:rsid w:val="00C811BE"/>
    <w:rsid w:val="00C83465"/>
    <w:rsid w:val="00C83728"/>
    <w:rsid w:val="00C83D67"/>
    <w:rsid w:val="00C84DA6"/>
    <w:rsid w:val="00C8549C"/>
    <w:rsid w:val="00C85C9A"/>
    <w:rsid w:val="00C91EF6"/>
    <w:rsid w:val="00C9231F"/>
    <w:rsid w:val="00C92B7F"/>
    <w:rsid w:val="00C93BB1"/>
    <w:rsid w:val="00C94E17"/>
    <w:rsid w:val="00CA6610"/>
    <w:rsid w:val="00CB242A"/>
    <w:rsid w:val="00CB3348"/>
    <w:rsid w:val="00CB426B"/>
    <w:rsid w:val="00CC0705"/>
    <w:rsid w:val="00CC0B81"/>
    <w:rsid w:val="00CC123E"/>
    <w:rsid w:val="00CC334B"/>
    <w:rsid w:val="00CD4535"/>
    <w:rsid w:val="00CD757F"/>
    <w:rsid w:val="00CD7A10"/>
    <w:rsid w:val="00CF4F71"/>
    <w:rsid w:val="00CF7D34"/>
    <w:rsid w:val="00D07149"/>
    <w:rsid w:val="00D077A7"/>
    <w:rsid w:val="00D153FD"/>
    <w:rsid w:val="00D169F9"/>
    <w:rsid w:val="00D2517A"/>
    <w:rsid w:val="00D26AAC"/>
    <w:rsid w:val="00D27785"/>
    <w:rsid w:val="00D33CC6"/>
    <w:rsid w:val="00D405FC"/>
    <w:rsid w:val="00D4410D"/>
    <w:rsid w:val="00D4629D"/>
    <w:rsid w:val="00D54EA3"/>
    <w:rsid w:val="00D62AB3"/>
    <w:rsid w:val="00D62AFC"/>
    <w:rsid w:val="00D62DC3"/>
    <w:rsid w:val="00D63B35"/>
    <w:rsid w:val="00D7385D"/>
    <w:rsid w:val="00D74C0F"/>
    <w:rsid w:val="00D82037"/>
    <w:rsid w:val="00D87608"/>
    <w:rsid w:val="00D92235"/>
    <w:rsid w:val="00D9425D"/>
    <w:rsid w:val="00D9656B"/>
    <w:rsid w:val="00DA25D6"/>
    <w:rsid w:val="00DA2EC1"/>
    <w:rsid w:val="00DA3E62"/>
    <w:rsid w:val="00DA4434"/>
    <w:rsid w:val="00DB1824"/>
    <w:rsid w:val="00DB5795"/>
    <w:rsid w:val="00DC6996"/>
    <w:rsid w:val="00DD1522"/>
    <w:rsid w:val="00DD3CCC"/>
    <w:rsid w:val="00DD6ABC"/>
    <w:rsid w:val="00DE4D18"/>
    <w:rsid w:val="00DE5004"/>
    <w:rsid w:val="00DE52B1"/>
    <w:rsid w:val="00DE68B7"/>
    <w:rsid w:val="00DF2BF6"/>
    <w:rsid w:val="00DF525A"/>
    <w:rsid w:val="00E0233A"/>
    <w:rsid w:val="00E07B46"/>
    <w:rsid w:val="00E1195F"/>
    <w:rsid w:val="00E12F5E"/>
    <w:rsid w:val="00E1724A"/>
    <w:rsid w:val="00E20040"/>
    <w:rsid w:val="00E20641"/>
    <w:rsid w:val="00E27EB5"/>
    <w:rsid w:val="00E34A42"/>
    <w:rsid w:val="00E40920"/>
    <w:rsid w:val="00E41313"/>
    <w:rsid w:val="00E4164D"/>
    <w:rsid w:val="00E42297"/>
    <w:rsid w:val="00E42398"/>
    <w:rsid w:val="00E446F8"/>
    <w:rsid w:val="00E4740B"/>
    <w:rsid w:val="00E50F14"/>
    <w:rsid w:val="00E57CA7"/>
    <w:rsid w:val="00E63FAE"/>
    <w:rsid w:val="00E663C9"/>
    <w:rsid w:val="00E748A0"/>
    <w:rsid w:val="00E77537"/>
    <w:rsid w:val="00E82D3C"/>
    <w:rsid w:val="00E84095"/>
    <w:rsid w:val="00E84BB9"/>
    <w:rsid w:val="00E93142"/>
    <w:rsid w:val="00EA7FF9"/>
    <w:rsid w:val="00EB272E"/>
    <w:rsid w:val="00EB3355"/>
    <w:rsid w:val="00EB3FD6"/>
    <w:rsid w:val="00EB61A0"/>
    <w:rsid w:val="00EC0D8B"/>
    <w:rsid w:val="00EC7054"/>
    <w:rsid w:val="00EC7DAC"/>
    <w:rsid w:val="00ED04CE"/>
    <w:rsid w:val="00ED2B2B"/>
    <w:rsid w:val="00EE12FC"/>
    <w:rsid w:val="00EE47ED"/>
    <w:rsid w:val="00EF07C4"/>
    <w:rsid w:val="00EF1CAD"/>
    <w:rsid w:val="00EF2E72"/>
    <w:rsid w:val="00EF651B"/>
    <w:rsid w:val="00F02231"/>
    <w:rsid w:val="00F02252"/>
    <w:rsid w:val="00F03666"/>
    <w:rsid w:val="00F03CF2"/>
    <w:rsid w:val="00F10C57"/>
    <w:rsid w:val="00F150DC"/>
    <w:rsid w:val="00F176EC"/>
    <w:rsid w:val="00F366B4"/>
    <w:rsid w:val="00F42222"/>
    <w:rsid w:val="00F43521"/>
    <w:rsid w:val="00F44FCE"/>
    <w:rsid w:val="00F46F69"/>
    <w:rsid w:val="00F509C3"/>
    <w:rsid w:val="00F57DA9"/>
    <w:rsid w:val="00F6215F"/>
    <w:rsid w:val="00F71956"/>
    <w:rsid w:val="00F71EBF"/>
    <w:rsid w:val="00F8057D"/>
    <w:rsid w:val="00F8312C"/>
    <w:rsid w:val="00FA2A55"/>
    <w:rsid w:val="00FA2F4C"/>
    <w:rsid w:val="00FA7797"/>
    <w:rsid w:val="00FB1649"/>
    <w:rsid w:val="00FB2DBC"/>
    <w:rsid w:val="00FC47FA"/>
    <w:rsid w:val="00FD1021"/>
    <w:rsid w:val="00FD1B9C"/>
    <w:rsid w:val="00FD3252"/>
    <w:rsid w:val="00FD42A3"/>
    <w:rsid w:val="00FD46A5"/>
    <w:rsid w:val="00FD4DAC"/>
    <w:rsid w:val="00FE489D"/>
    <w:rsid w:val="00FE783E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FB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713"/>
    </w:pPr>
    <w:rPr>
      <w:color w:val="auto"/>
    </w:rPr>
  </w:style>
  <w:style w:type="paragraph" w:customStyle="1" w:styleId="CM4">
    <w:name w:val="CM4"/>
    <w:basedOn w:val="Default"/>
    <w:next w:val="Default"/>
    <w:pPr>
      <w:spacing w:after="488"/>
    </w:pPr>
    <w:rPr>
      <w:color w:val="auto"/>
    </w:rPr>
  </w:style>
  <w:style w:type="paragraph" w:customStyle="1" w:styleId="CM1">
    <w:name w:val="CM1"/>
    <w:basedOn w:val="Default"/>
    <w:next w:val="Default"/>
    <w:pPr>
      <w:spacing w:line="503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Pidipagina">
    <w:name w:val="footer"/>
    <w:basedOn w:val="Normale"/>
    <w:rsid w:val="00A468C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E4A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4A93"/>
  </w:style>
  <w:style w:type="paragraph" w:styleId="Testofumetto">
    <w:name w:val="Balloon Text"/>
    <w:basedOn w:val="Normale"/>
    <w:link w:val="TestofumettoCarattere"/>
    <w:rsid w:val="00545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4531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86B3B"/>
    <w:rPr>
      <w:rFonts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16401B"/>
    <w:pPr>
      <w:spacing w:after="120"/>
    </w:pPr>
  </w:style>
  <w:style w:type="character" w:customStyle="1" w:styleId="CorpodeltestoCarattere">
    <w:name w:val="Corpo del testo Carattere"/>
    <w:link w:val="a"/>
    <w:rsid w:val="0016401B"/>
    <w:rPr>
      <w:sz w:val="24"/>
      <w:szCs w:val="24"/>
    </w:rPr>
  </w:style>
  <w:style w:type="paragraph" w:styleId="Corpotesto">
    <w:name w:val="Body Text"/>
    <w:basedOn w:val="Normale"/>
    <w:link w:val="CorpotestoCarattere"/>
    <w:rsid w:val="0016401B"/>
    <w:pPr>
      <w:spacing w:after="120"/>
    </w:pPr>
  </w:style>
  <w:style w:type="character" w:customStyle="1" w:styleId="CorpotestoCarattere">
    <w:name w:val="Corpo testo Carattere"/>
    <w:link w:val="Corpotesto"/>
    <w:rsid w:val="0016401B"/>
    <w:rPr>
      <w:sz w:val="24"/>
      <w:szCs w:val="24"/>
    </w:rPr>
  </w:style>
  <w:style w:type="character" w:styleId="Rimandocommento">
    <w:name w:val="annotation reference"/>
    <w:semiHidden/>
    <w:unhideWhenUsed/>
    <w:rsid w:val="009D569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D56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D569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D5692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9D5692"/>
    <w:rPr>
      <w:b/>
      <w:bCs/>
    </w:rPr>
  </w:style>
  <w:style w:type="character" w:customStyle="1" w:styleId="ParagrafoTestoCarattere">
    <w:name w:val="ParagrafoTesto Carattere"/>
    <w:basedOn w:val="Carpredefinitoparagrafo"/>
    <w:link w:val="ParagrafoTesto"/>
    <w:qFormat/>
    <w:rsid w:val="00AB48B8"/>
    <w:rPr>
      <w:sz w:val="24"/>
      <w:szCs w:val="26"/>
    </w:rPr>
  </w:style>
  <w:style w:type="paragraph" w:customStyle="1" w:styleId="ParagrafoTesto">
    <w:name w:val="ParagrafoTesto"/>
    <w:basedOn w:val="Normale"/>
    <w:link w:val="ParagrafoTestoCarattere"/>
    <w:qFormat/>
    <w:rsid w:val="00AB48B8"/>
    <w:pPr>
      <w:suppressAutoHyphens/>
      <w:spacing w:after="120" w:line="288" w:lineRule="auto"/>
      <w:ind w:firstLine="425"/>
      <w:jc w:val="both"/>
    </w:pPr>
    <w:rPr>
      <w:szCs w:val="26"/>
    </w:rPr>
  </w:style>
  <w:style w:type="paragraph" w:styleId="Testonotaapidipagina">
    <w:name w:val="footnote text"/>
    <w:basedOn w:val="Normale"/>
    <w:link w:val="TestonotaapidipaginaCarattere"/>
    <w:rsid w:val="00EB27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272E"/>
  </w:style>
  <w:style w:type="character" w:styleId="Rimandonotaapidipagina">
    <w:name w:val="footnote reference"/>
    <w:basedOn w:val="Carpredefinitoparagrafo"/>
    <w:rsid w:val="00EB2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2023-10-03T10:20:00Z</dcterms:created>
  <dcterms:modified xsi:type="dcterms:W3CDTF">2023-10-03T10:20:00Z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Uso interno</vt:lpwstr>
  </property>
  <property fmtid="{D5CDD505-2E9C-101B-9397-08002B2CF9AE}" pid="5" name="MSIP_Label_39360337-1d70-46cc-865b-b527827efdaf_Enabled">
    <vt:lpwstr>true</vt:lpwstr>
  </property>
  <property fmtid="{D5CDD505-2E9C-101B-9397-08002B2CF9AE}" pid="6" name="MSIP_Label_39360337-1d70-46cc-865b-b527827efdaf_SetDate">
    <vt:lpwstr>2023-10-02T13:42:34Z</vt:lpwstr>
  </property>
  <property fmtid="{D5CDD505-2E9C-101B-9397-08002B2CF9AE}" pid="7" name="MSIP_Label_39360337-1d70-46cc-865b-b527827efdaf_Method">
    <vt:lpwstr>Standard</vt:lpwstr>
  </property>
  <property fmtid="{D5CDD505-2E9C-101B-9397-08002B2CF9AE}" pid="8" name="MSIP_Label_39360337-1d70-46cc-865b-b527827efdaf_Name">
    <vt:lpwstr>Uso interno - Non cifrato</vt:lpwstr>
  </property>
  <property fmtid="{D5CDD505-2E9C-101B-9397-08002B2CF9AE}" pid="9" name="MSIP_Label_39360337-1d70-46cc-865b-b527827efdaf_SiteId">
    <vt:lpwstr>dc5ab1ad-4533-49df-8e99-26421b43b959</vt:lpwstr>
  </property>
  <property fmtid="{D5CDD505-2E9C-101B-9397-08002B2CF9AE}" pid="10" name="MSIP_Label_39360337-1d70-46cc-865b-b527827efdaf_ActionId">
    <vt:lpwstr>49deff2d-8035-4768-8f5c-79f270b7b172</vt:lpwstr>
  </property>
  <property fmtid="{D5CDD505-2E9C-101B-9397-08002B2CF9AE}" pid="11" name="MSIP_Label_39360337-1d70-46cc-865b-b527827efdaf_ContentBits">
    <vt:lpwstr>1</vt:lpwstr>
  </property>
</Properties>
</file>