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641B" w:rsidR="008A641B" w:rsidP="008A641B" w:rsidRDefault="0076331A" w14:paraId="439A80DD" w14:textId="77777777">
      <w:pPr>
        <w:ind w:left="1410" w:hanging="1410"/>
        <w:rPr>
          <w:rFonts w:ascii="Times New Roman" w:hAnsi="Times New Roman" w:cs="Times New Roman"/>
          <w:b/>
          <w:bCs/>
          <w:sz w:val="24"/>
          <w:szCs w:val="24"/>
        </w:rPr>
      </w:pPr>
      <w:r>
        <w:rPr>
          <w:rFonts w:ascii="Times New Roman" w:hAnsi="Times New Roman" w:cs="Times New Roman"/>
          <w:b/>
        </w:rPr>
        <w:t>36</w:t>
      </w:r>
      <w:r w:rsidR="008A641B">
        <w:rPr>
          <w:rFonts w:ascii="Times New Roman" w:hAnsi="Times New Roman" w:cs="Times New Roman"/>
          <w:b/>
        </w:rPr>
        <w:t xml:space="preserve"> </w:t>
      </w:r>
      <w:r>
        <w:rPr>
          <w:rFonts w:ascii="Times New Roman" w:hAnsi="Times New Roman" w:cs="Times New Roman"/>
          <w:b/>
        </w:rPr>
        <w:t xml:space="preserve">638 </w:t>
      </w:r>
      <w:r>
        <w:rPr>
          <w:rFonts w:ascii="Times New Roman" w:hAnsi="Times New Roman" w:cs="Times New Roman"/>
          <w:b/>
        </w:rPr>
        <w:tab/>
      </w:r>
      <w:r>
        <w:rPr>
          <w:rFonts w:ascii="Times New Roman" w:hAnsi="Times New Roman" w:cs="Times New Roman"/>
          <w:b/>
        </w:rPr>
        <w:tab/>
      </w:r>
      <w:r w:rsidRPr="008A641B" w:rsidR="008A641B">
        <w:rPr>
          <w:rFonts w:ascii="Times New Roman" w:hAnsi="Times New Roman" w:cs="Times New Roman"/>
          <w:b/>
          <w:bCs/>
          <w:sz w:val="24"/>
          <w:szCs w:val="24"/>
        </w:rPr>
        <w:t>Wijziging van enkele wetten op het gebied van Justitie en Veiligheid en op het gebied van Asiel en Migratie in verband met aanpassingen van overwegend technische aard (Verzamelwet Justitie en Veiligheid en Asiel en Migratie 20XX)</w:t>
      </w:r>
    </w:p>
    <w:p w:rsidRPr="001D1474" w:rsidR="0076331A" w:rsidP="0076331A" w:rsidRDefault="0076331A" w14:paraId="0CBEA9A0" w14:textId="194E8517">
      <w:pPr>
        <w:pStyle w:val="Default"/>
        <w:ind w:left="1410" w:hanging="1410"/>
        <w:rPr>
          <w:rFonts w:ascii="Times New Roman" w:hAnsi="Times New Roman" w:cs="Times New Roman" w:eastAsiaTheme="minorHAnsi"/>
          <w:b/>
          <w:bCs/>
          <w:lang w:eastAsia="en-US"/>
        </w:rPr>
      </w:pPr>
    </w:p>
    <w:p w:rsidRPr="008A641B" w:rsidR="0076331A" w:rsidP="008A641B" w:rsidRDefault="0076331A" w14:paraId="469C1899" w14:textId="0A608BE5">
      <w:pPr>
        <w:ind w:left="1410" w:hanging="1410"/>
        <w:rPr>
          <w:rFonts w:ascii="Times New Roman" w:hAnsi="Times New Roman" w:cs="Times New Roman"/>
          <w:b/>
          <w:sz w:val="24"/>
          <w:szCs w:val="24"/>
        </w:rPr>
      </w:pPr>
      <w:r>
        <w:rPr>
          <w:rFonts w:ascii="Times New Roman" w:hAnsi="Times New Roman" w:cs="Times New Roman"/>
          <w:b/>
          <w:sz w:val="24"/>
          <w:szCs w:val="24"/>
        </w:rPr>
        <w:t>Nr.</w:t>
      </w:r>
      <w:r w:rsidR="008A641B">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r w:rsidR="008A641B">
        <w:rPr>
          <w:rFonts w:ascii="Times New Roman" w:hAnsi="Times New Roman" w:cs="Times New Roman"/>
          <w:b/>
          <w:sz w:val="24"/>
          <w:szCs w:val="24"/>
        </w:rPr>
        <w:br/>
      </w:r>
      <w:r>
        <w:rPr>
          <w:rFonts w:ascii="Times New Roman" w:hAnsi="Times New Roman" w:cs="Times New Roman"/>
          <w:sz w:val="24"/>
          <w:szCs w:val="24"/>
        </w:rPr>
        <w:t xml:space="preserve">Vastgesteld </w:t>
      </w:r>
      <w:r w:rsidR="008A641B">
        <w:rPr>
          <w:rFonts w:ascii="Times New Roman" w:hAnsi="Times New Roman" w:cs="Times New Roman"/>
          <w:sz w:val="24"/>
          <w:szCs w:val="24"/>
        </w:rPr>
        <w:t>28 november 2024</w:t>
      </w:r>
    </w:p>
    <w:p w:rsidR="0076331A" w:rsidP="0076331A" w:rsidRDefault="0076331A" w14:paraId="6D687A53" w14:textId="77777777">
      <w:pPr>
        <w:ind w:left="1416"/>
        <w:rPr>
          <w:rFonts w:ascii="Times New Roman" w:hAnsi="Times New Roman" w:cs="Times New Roman"/>
          <w:sz w:val="24"/>
          <w:szCs w:val="24"/>
        </w:rPr>
      </w:pPr>
      <w:r w:rsidRPr="00D315A4">
        <w:rPr>
          <w:rFonts w:ascii="Times New Roman" w:hAnsi="Times New Roman" w:cs="Times New Roman"/>
          <w:sz w:val="24"/>
          <w:szCs w:val="24"/>
        </w:rPr>
        <w:t>De vaste commissie voor Justitie en Veiligheid,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76331A" w:rsidP="0076331A" w:rsidRDefault="0076331A" w14:paraId="5C29ACB3" w14:textId="77777777">
      <w:pPr>
        <w:pStyle w:val="Default"/>
        <w:rPr>
          <w:rFonts w:ascii="Times New Roman" w:hAnsi="Times New Roman" w:cs="Times New Roman"/>
          <w:b/>
        </w:rPr>
      </w:pPr>
    </w:p>
    <w:p w:rsidR="0076331A" w:rsidP="0076331A" w:rsidRDefault="0076331A" w14:paraId="45D33441" w14:textId="77777777">
      <w:pPr>
        <w:pStyle w:val="Default"/>
        <w:rPr>
          <w:rFonts w:ascii="Times New Roman" w:hAnsi="Times New Roman" w:cs="Times New Roman"/>
          <w:b/>
        </w:rPr>
      </w:pPr>
    </w:p>
    <w:p w:rsidRPr="00142A11" w:rsidR="0076331A" w:rsidP="0076331A" w:rsidRDefault="0076331A" w14:paraId="52888AA9" w14:textId="77777777">
      <w:pPr>
        <w:pStyle w:val="Default"/>
        <w:ind w:left="708" w:firstLine="708"/>
        <w:rPr>
          <w:rFonts w:ascii="Times New Roman" w:hAnsi="Times New Roman" w:cs="Times New Roman"/>
          <w:b/>
        </w:rPr>
      </w:pPr>
      <w:r w:rsidRPr="00142A11">
        <w:rPr>
          <w:rFonts w:ascii="Times New Roman" w:hAnsi="Times New Roman" w:cs="Times New Roman"/>
          <w:b/>
        </w:rPr>
        <w:t>INHOUDSOPGAVE</w:t>
      </w:r>
    </w:p>
    <w:p w:rsidRPr="00142A11" w:rsidR="0076331A" w:rsidP="0076331A" w:rsidRDefault="0076331A" w14:paraId="5B3C688F"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p>
    <w:p w:rsidRPr="00142A11" w:rsidR="0076331A" w:rsidP="0076331A" w:rsidRDefault="0076331A" w14:paraId="77D799FA" w14:textId="6BD0E146">
      <w:pPr>
        <w:ind w:left="708" w:firstLine="708"/>
        <w:rPr>
          <w:rStyle w:val="normaltextrun"/>
          <w:rFonts w:ascii="Times New Roman" w:hAnsi="Times New Roman" w:eastAsia="Times New Roman" w:cs="Times New Roman"/>
          <w:bCs/>
          <w:sz w:val="24"/>
          <w:szCs w:val="24"/>
          <w:lang w:eastAsia="nl-NL"/>
        </w:rPr>
      </w:pPr>
      <w:r w:rsidRPr="00142A11">
        <w:rPr>
          <w:rStyle w:val="normaltextrun"/>
          <w:rFonts w:ascii="Times New Roman" w:hAnsi="Times New Roman" w:eastAsia="Times New Roman" w:cs="Times New Roman"/>
          <w:bCs/>
          <w:sz w:val="24"/>
          <w:szCs w:val="24"/>
          <w:lang w:eastAsia="nl-NL"/>
        </w:rPr>
        <w:t>I ALGEMEEN DEEL</w:t>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sid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1</w:t>
      </w:r>
    </w:p>
    <w:p w:rsidRPr="00142A11" w:rsidR="0076331A" w:rsidP="0076331A" w:rsidRDefault="00142A11" w14:paraId="35778C4F" w14:textId="06318C08">
      <w:pPr>
        <w:ind w:left="708" w:firstLine="708"/>
        <w:rPr>
          <w:rStyle w:val="normaltextrun"/>
          <w:rFonts w:ascii="Times New Roman" w:hAnsi="Times New Roman" w:eastAsia="Times New Roman" w:cs="Times New Roman"/>
          <w:bCs/>
          <w:sz w:val="24"/>
          <w:szCs w:val="24"/>
          <w:lang w:eastAsia="nl-NL"/>
        </w:rPr>
      </w:pPr>
      <w:r w:rsidRPr="00142A11">
        <w:rPr>
          <w:rStyle w:val="normaltextrun"/>
          <w:rFonts w:ascii="Times New Roman" w:hAnsi="Times New Roman" w:eastAsia="Times New Roman" w:cs="Times New Roman"/>
          <w:bCs/>
          <w:sz w:val="24"/>
          <w:szCs w:val="24"/>
          <w:lang w:eastAsia="nl-NL"/>
        </w:rPr>
        <w:t>1</w:t>
      </w:r>
      <w:r w:rsidRPr="00142A11" w:rsidR="0076331A">
        <w:rPr>
          <w:rStyle w:val="normaltextrun"/>
          <w:rFonts w:ascii="Times New Roman" w:hAnsi="Times New Roman" w:eastAsia="Times New Roman" w:cs="Times New Roman"/>
          <w:bCs/>
          <w:sz w:val="24"/>
          <w:szCs w:val="24"/>
          <w:lang w:eastAsia="nl-NL"/>
        </w:rPr>
        <w:t>. Ontvangen adviezen</w:t>
      </w:r>
      <w:r w:rsidRPr="00142A11" w:rsidR="0076331A">
        <w:rPr>
          <w:rStyle w:val="normaltextrun"/>
          <w:rFonts w:ascii="Times New Roman" w:hAnsi="Times New Roman" w:eastAsia="Times New Roman" w:cs="Times New Roman"/>
          <w:bCs/>
          <w:sz w:val="24"/>
          <w:szCs w:val="24"/>
          <w:lang w:eastAsia="nl-NL"/>
        </w:rPr>
        <w:tab/>
      </w:r>
      <w:r w:rsidRPr="00142A11" w:rsidR="0076331A">
        <w:rPr>
          <w:rStyle w:val="normaltextrun"/>
          <w:rFonts w:ascii="Times New Roman" w:hAnsi="Times New Roman" w:eastAsia="Times New Roman" w:cs="Times New Roman"/>
          <w:bCs/>
          <w:sz w:val="24"/>
          <w:szCs w:val="24"/>
          <w:lang w:eastAsia="nl-NL"/>
        </w:rPr>
        <w:tab/>
      </w:r>
      <w:r w:rsidRPr="00142A11" w:rsidR="0076331A">
        <w:rPr>
          <w:rStyle w:val="normaltextrun"/>
          <w:rFonts w:ascii="Times New Roman" w:hAnsi="Times New Roman" w:eastAsia="Times New Roman" w:cs="Times New Roman"/>
          <w:bCs/>
          <w:sz w:val="24"/>
          <w:szCs w:val="24"/>
          <w:lang w:eastAsia="nl-NL"/>
        </w:rPr>
        <w:tab/>
      </w:r>
      <w:r w:rsidRPr="00142A11" w:rsidR="0076331A">
        <w:rPr>
          <w:rStyle w:val="normaltextrun"/>
          <w:rFonts w:ascii="Times New Roman" w:hAnsi="Times New Roman" w:eastAsia="Times New Roman" w:cs="Times New Roman"/>
          <w:bCs/>
          <w:sz w:val="24"/>
          <w:szCs w:val="24"/>
          <w:lang w:eastAsia="nl-NL"/>
        </w:rPr>
        <w:tab/>
      </w:r>
      <w:r w:rsidRPr="00142A11" w:rsidR="0076331A">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t>2</w:t>
      </w:r>
    </w:p>
    <w:p w:rsidRPr="00142A11" w:rsidR="0076331A" w:rsidP="0076331A" w:rsidRDefault="0076331A" w14:paraId="10A93951" w14:textId="61D19AD4">
      <w:pPr>
        <w:rPr>
          <w:rStyle w:val="normaltextrun"/>
          <w:rFonts w:ascii="Times New Roman" w:hAnsi="Times New Roman" w:eastAsia="Times New Roman" w:cs="Times New Roman"/>
          <w:b/>
          <w:bCs/>
          <w:sz w:val="24"/>
          <w:szCs w:val="24"/>
          <w:lang w:eastAsia="nl-NL"/>
        </w:rPr>
      </w:pP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t>II ARTIKELSGEWIJZE TOELICHTING</w:t>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Pr>
          <w:rStyle w:val="normaltextrun"/>
          <w:rFonts w:ascii="Times New Roman" w:hAnsi="Times New Roman" w:eastAsia="Times New Roman" w:cs="Times New Roman"/>
          <w:bCs/>
          <w:sz w:val="24"/>
          <w:szCs w:val="24"/>
          <w:lang w:eastAsia="nl-NL"/>
        </w:rPr>
        <w:tab/>
      </w:r>
      <w:r w:rsidRPr="00142A11" w:rsidR="00142A11">
        <w:rPr>
          <w:rStyle w:val="normaltextrun"/>
          <w:rFonts w:ascii="Times New Roman" w:hAnsi="Times New Roman" w:eastAsia="Times New Roman" w:cs="Times New Roman"/>
          <w:bCs/>
          <w:sz w:val="24"/>
          <w:szCs w:val="24"/>
          <w:lang w:eastAsia="nl-NL"/>
        </w:rPr>
        <w:tab/>
        <w:t>2</w:t>
      </w:r>
    </w:p>
    <w:p w:rsidRPr="00142A11" w:rsidR="00142A11" w:rsidP="00142A11" w:rsidRDefault="00AD076F" w14:paraId="427B328B" w14:textId="0D40260B">
      <w:pPr>
        <w:rPr>
          <w:rStyle w:val="normaltextrun"/>
          <w:rFonts w:ascii="Times New Roman" w:hAnsi="Times New Roman" w:eastAsia="Times New Roman" w:cs="Times New Roman"/>
          <w:sz w:val="24"/>
          <w:szCs w:val="24"/>
          <w:lang w:eastAsia="nl-NL"/>
        </w:rPr>
      </w:pPr>
      <w:r w:rsidRPr="00142A11">
        <w:rPr>
          <w:rStyle w:val="normaltextrun"/>
          <w:rFonts w:ascii="Times New Roman" w:hAnsi="Times New Roman" w:eastAsia="Times New Roman" w:cs="Times New Roman"/>
          <w:b/>
          <w:bCs/>
          <w:sz w:val="24"/>
          <w:szCs w:val="24"/>
          <w:lang w:eastAsia="nl-NL"/>
        </w:rPr>
        <w:tab/>
      </w:r>
      <w:r w:rsidRPr="00142A11">
        <w:rPr>
          <w:rStyle w:val="normaltextrun"/>
          <w:rFonts w:ascii="Times New Roman" w:hAnsi="Times New Roman" w:eastAsia="Times New Roman" w:cs="Times New Roman"/>
          <w:b/>
          <w:bCs/>
          <w:sz w:val="24"/>
          <w:szCs w:val="24"/>
          <w:lang w:eastAsia="nl-NL"/>
        </w:rPr>
        <w:tab/>
      </w:r>
      <w:r w:rsidRPr="00142A11" w:rsidR="00142A11">
        <w:rPr>
          <w:rStyle w:val="normaltextrun"/>
          <w:rFonts w:ascii="Times New Roman" w:hAnsi="Times New Roman" w:eastAsia="Times New Roman" w:cs="Times New Roman"/>
          <w:sz w:val="24"/>
          <w:szCs w:val="24"/>
          <w:lang w:eastAsia="nl-NL"/>
        </w:rPr>
        <w:t>ARTIKEL XXII (wijziging van de Vreemdelingenwet 2000)</w:t>
      </w:r>
      <w:r w:rsidRPr="00142A11" w:rsidR="00142A11">
        <w:rPr>
          <w:rStyle w:val="normaltextrun"/>
          <w:rFonts w:ascii="Times New Roman" w:hAnsi="Times New Roman" w:eastAsia="Times New Roman" w:cs="Times New Roman"/>
          <w:sz w:val="24"/>
          <w:szCs w:val="24"/>
          <w:lang w:eastAsia="nl-NL"/>
        </w:rPr>
        <w:tab/>
        <w:t>3</w:t>
      </w:r>
    </w:p>
    <w:p w:rsidRPr="00142A11" w:rsidR="00142A11" w:rsidP="00142A11" w:rsidRDefault="00142A11" w14:paraId="3385AE86" w14:textId="27C560BB">
      <w:pPr>
        <w:rPr>
          <w:rStyle w:val="normaltextrun"/>
          <w:rFonts w:ascii="Times New Roman" w:hAnsi="Times New Roman" w:eastAsia="Times New Roman" w:cs="Times New Roman"/>
          <w:sz w:val="24"/>
          <w:szCs w:val="24"/>
          <w:lang w:eastAsia="nl-NL"/>
        </w:rPr>
      </w:pP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t>ARTIKEL XXVII (wijziging van de Wet forensische zorg)</w:t>
      </w:r>
      <w:r w:rsidRPr="00142A11">
        <w:rPr>
          <w:rStyle w:val="normaltextrun"/>
          <w:rFonts w:ascii="Times New Roman" w:hAnsi="Times New Roman" w:eastAsia="Times New Roman" w:cs="Times New Roman"/>
          <w:sz w:val="24"/>
          <w:szCs w:val="24"/>
          <w:lang w:eastAsia="nl-NL"/>
        </w:rPr>
        <w:tab/>
        <w:t>3</w:t>
      </w:r>
    </w:p>
    <w:p w:rsidR="00142A11" w:rsidP="00142A11" w:rsidRDefault="00142A11" w14:paraId="5B662929" w14:textId="41B66C5B">
      <w:pPr>
        <w:ind w:left="1416"/>
        <w:rPr>
          <w:rStyle w:val="normaltextrun"/>
          <w:rFonts w:ascii="Times New Roman" w:hAnsi="Times New Roman" w:eastAsia="Times New Roman" w:cs="Times New Roman"/>
          <w:sz w:val="24"/>
          <w:szCs w:val="24"/>
          <w:lang w:eastAsia="nl-NL"/>
        </w:rPr>
      </w:pPr>
      <w:r w:rsidRPr="00142A11">
        <w:rPr>
          <w:rStyle w:val="normaltextrun"/>
          <w:rFonts w:ascii="Times New Roman" w:hAnsi="Times New Roman" w:eastAsia="Times New Roman" w:cs="Times New Roman"/>
          <w:sz w:val="24"/>
          <w:szCs w:val="24"/>
          <w:lang w:eastAsia="nl-NL"/>
        </w:rPr>
        <w:t xml:space="preserve">ARTIKEL XXIX (wijziging van de Wet griffierechten </w:t>
      </w:r>
      <w:r w:rsidRPr="00142A11">
        <w:rPr>
          <w:rStyle w:val="normaltextrun"/>
          <w:rFonts w:ascii="Times New Roman" w:hAnsi="Times New Roman" w:eastAsia="Times New Roman" w:cs="Times New Roman"/>
          <w:sz w:val="24"/>
          <w:szCs w:val="24"/>
          <w:lang w:eastAsia="nl-NL"/>
        </w:rPr>
        <w:br/>
        <w:t>burgerlijke zaken (</w:t>
      </w:r>
      <w:proofErr w:type="spellStart"/>
      <w:r w:rsidRPr="00142A11">
        <w:rPr>
          <w:rStyle w:val="normaltextrun"/>
          <w:rFonts w:ascii="Times New Roman" w:hAnsi="Times New Roman" w:eastAsia="Times New Roman" w:cs="Times New Roman"/>
          <w:sz w:val="24"/>
          <w:szCs w:val="24"/>
          <w:lang w:eastAsia="nl-NL"/>
        </w:rPr>
        <w:t>Wgbz</w:t>
      </w:r>
      <w:proofErr w:type="spellEnd"/>
      <w:r w:rsidRPr="00142A11">
        <w:rPr>
          <w:rStyle w:val="normaltextrun"/>
          <w:rFonts w:ascii="Times New Roman" w:hAnsi="Times New Roman" w:eastAsia="Times New Roman" w:cs="Times New Roman"/>
          <w:sz w:val="24"/>
          <w:szCs w:val="24"/>
          <w:lang w:eastAsia="nl-NL"/>
        </w:rPr>
        <w:t>))</w:t>
      </w: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r>
      <w:r w:rsidRPr="00142A11">
        <w:rPr>
          <w:rStyle w:val="normaltextrun"/>
          <w:rFonts w:ascii="Times New Roman" w:hAnsi="Times New Roman" w:eastAsia="Times New Roman" w:cs="Times New Roman"/>
          <w:sz w:val="24"/>
          <w:szCs w:val="24"/>
          <w:lang w:eastAsia="nl-NL"/>
        </w:rPr>
        <w:tab/>
        <w:t>4</w:t>
      </w:r>
      <w:r>
        <w:rPr>
          <w:rStyle w:val="normaltextrun"/>
          <w:rFonts w:ascii="Times New Roman" w:hAnsi="Times New Roman" w:eastAsia="Times New Roman" w:cs="Times New Roman"/>
          <w:sz w:val="24"/>
          <w:szCs w:val="24"/>
          <w:lang w:eastAsia="nl-NL"/>
        </w:rPr>
        <w:tab/>
      </w:r>
      <w:r>
        <w:rPr>
          <w:rStyle w:val="normaltextrun"/>
          <w:rFonts w:ascii="Times New Roman" w:hAnsi="Times New Roman" w:eastAsia="Times New Roman" w:cs="Times New Roman"/>
          <w:sz w:val="24"/>
          <w:szCs w:val="24"/>
          <w:lang w:eastAsia="nl-NL"/>
        </w:rPr>
        <w:tab/>
      </w:r>
    </w:p>
    <w:p w:rsidRPr="00142A11" w:rsidR="0076331A" w:rsidP="0076331A" w:rsidRDefault="00142A11" w14:paraId="55AF0A5E" w14:textId="215A0C49">
      <w:pPr>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ab/>
      </w:r>
      <w:r>
        <w:rPr>
          <w:rStyle w:val="normaltextrun"/>
          <w:rFonts w:ascii="Times New Roman" w:hAnsi="Times New Roman" w:eastAsia="Times New Roman" w:cs="Times New Roman"/>
          <w:sz w:val="24"/>
          <w:szCs w:val="24"/>
          <w:lang w:eastAsia="nl-NL"/>
        </w:rPr>
        <w:tab/>
      </w:r>
    </w:p>
    <w:p w:rsidRPr="0076331A" w:rsidR="0076331A" w:rsidP="0076331A" w:rsidRDefault="0076331A" w14:paraId="0B7C67E2" w14:textId="77777777">
      <w:pPr>
        <w:rPr>
          <w:rStyle w:val="normaltextrun"/>
          <w:rFonts w:ascii="Times New Roman" w:hAnsi="Times New Roman" w:eastAsia="Times New Roman" w:cs="Times New Roman"/>
          <w:b/>
          <w:bCs/>
          <w:sz w:val="24"/>
          <w:szCs w:val="24"/>
          <w:lang w:eastAsia="nl-NL"/>
        </w:rPr>
      </w:pPr>
      <w:r w:rsidRPr="0076331A">
        <w:rPr>
          <w:rStyle w:val="normaltextrun"/>
          <w:rFonts w:ascii="Times New Roman" w:hAnsi="Times New Roman" w:eastAsia="Times New Roman" w:cs="Times New Roman"/>
          <w:b/>
          <w:bCs/>
          <w:sz w:val="24"/>
          <w:szCs w:val="24"/>
          <w:lang w:eastAsia="nl-NL"/>
        </w:rPr>
        <w:t>I ALGEMEEN DEEL</w:t>
      </w:r>
    </w:p>
    <w:p w:rsidRPr="00A658FD" w:rsidR="00A658FD" w:rsidP="00A658FD" w:rsidRDefault="00A658FD" w14:paraId="733095E5" w14:textId="6EA22DCC">
      <w:pPr>
        <w:rPr>
          <w:rStyle w:val="normaltextrun"/>
          <w:rFonts w:ascii="Times New Roman" w:hAnsi="Times New Roman" w:eastAsia="Times New Roman" w:cs="Times New Roman"/>
          <w:sz w:val="24"/>
          <w:szCs w:val="24"/>
          <w:lang w:eastAsia="nl-NL"/>
        </w:rPr>
      </w:pPr>
      <w:r w:rsidRPr="00A658FD">
        <w:rPr>
          <w:rStyle w:val="normaltextrun"/>
          <w:rFonts w:ascii="Times New Roman" w:hAnsi="Times New Roman" w:eastAsia="Times New Roman" w:cs="Times New Roman"/>
          <w:sz w:val="24"/>
          <w:szCs w:val="24"/>
          <w:lang w:eastAsia="nl-NL"/>
        </w:rPr>
        <w:t>De leden van de VVD-fractie hebben met belangstelling kennisgenomen van de Wijziging van enkele wetten op het gebied van Justitie en Veiligheid en op het gebied van Asiel en Migratie in verband met aanpassingen van overwegend technische aard (hierna: het wetsvoorstel). Zij stellen nog enkele vragen.</w:t>
      </w:r>
    </w:p>
    <w:p w:rsidRPr="00A658FD" w:rsidR="00A658FD" w:rsidP="00A658FD" w:rsidRDefault="00A658FD" w14:paraId="7ACBE632" w14:textId="55AE2559">
      <w:pPr>
        <w:rPr>
          <w:rStyle w:val="normaltextrun"/>
          <w:rFonts w:ascii="Times New Roman" w:hAnsi="Times New Roman" w:eastAsia="Times New Roman" w:cs="Times New Roman"/>
          <w:sz w:val="24"/>
          <w:szCs w:val="24"/>
          <w:lang w:eastAsia="nl-NL"/>
        </w:rPr>
      </w:pPr>
      <w:r w:rsidRPr="00A658FD">
        <w:rPr>
          <w:rStyle w:val="normaltextrun"/>
          <w:rFonts w:ascii="Times New Roman" w:hAnsi="Times New Roman" w:eastAsia="Times New Roman" w:cs="Times New Roman"/>
          <w:sz w:val="24"/>
          <w:szCs w:val="24"/>
          <w:lang w:eastAsia="nl-NL"/>
        </w:rPr>
        <w:t>De leden van de VVD-fractie vragen naar een geactualiseerd overzicht van wetsvoorstellen op het gebied van Justitie en Veiligheid die wel door beide Kamers zijn aangenomen en in het Staatsblad zijn gepubliceerd, maar nog altijd niet in werking zijn getreden.</w:t>
      </w:r>
      <w:r>
        <w:rPr>
          <w:rStyle w:val="Voetnootmarkering"/>
          <w:rFonts w:ascii="Times New Roman" w:hAnsi="Times New Roman" w:eastAsia="Times New Roman" w:cs="Times New Roman"/>
          <w:sz w:val="24"/>
          <w:szCs w:val="24"/>
          <w:lang w:eastAsia="nl-NL"/>
        </w:rPr>
        <w:footnoteReference w:id="2"/>
      </w:r>
      <w:r w:rsidRPr="00A658FD">
        <w:rPr>
          <w:rStyle w:val="normaltextrun"/>
          <w:rFonts w:ascii="Times New Roman" w:hAnsi="Times New Roman" w:eastAsia="Times New Roman" w:cs="Times New Roman"/>
          <w:sz w:val="24"/>
          <w:szCs w:val="24"/>
          <w:lang w:eastAsia="nl-NL"/>
        </w:rPr>
        <w:t xml:space="preserve"> Hierbij vragen deze leden ook naar een toelichting per wet waarom inwerkingtreding nog niet heeft plaatsgevonden en op welke termijn inwerkingtreding is voorzien. </w:t>
      </w:r>
    </w:p>
    <w:p w:rsidR="00A658FD" w:rsidP="0076331A" w:rsidRDefault="00A658FD" w14:paraId="28AFE0E1" w14:textId="091B39FA">
      <w:pPr>
        <w:rPr>
          <w:rStyle w:val="normaltextrun"/>
          <w:rFonts w:ascii="Times New Roman" w:hAnsi="Times New Roman" w:eastAsia="Times New Roman" w:cs="Times New Roman"/>
          <w:sz w:val="24"/>
          <w:szCs w:val="24"/>
          <w:lang w:eastAsia="nl-NL"/>
        </w:rPr>
      </w:pPr>
      <w:r w:rsidRPr="00A658FD">
        <w:rPr>
          <w:rStyle w:val="normaltextrun"/>
          <w:rFonts w:ascii="Times New Roman" w:hAnsi="Times New Roman" w:eastAsia="Times New Roman" w:cs="Times New Roman"/>
          <w:sz w:val="24"/>
          <w:szCs w:val="24"/>
          <w:lang w:eastAsia="nl-NL"/>
        </w:rPr>
        <w:t xml:space="preserve">De leden van de VVD-fractie vragen of de regering kan toelichten wat het oorspronkelijke artikel XXXVII van de versie van dit wetsvoorstel zoals dat was voorgelegd aan de Afdeling </w:t>
      </w:r>
      <w:r w:rsidRPr="00A658FD">
        <w:rPr>
          <w:rStyle w:val="normaltextrun"/>
          <w:rFonts w:ascii="Times New Roman" w:hAnsi="Times New Roman" w:eastAsia="Times New Roman" w:cs="Times New Roman"/>
          <w:sz w:val="24"/>
          <w:szCs w:val="24"/>
          <w:lang w:eastAsia="nl-NL"/>
        </w:rPr>
        <w:lastRenderedPageBreak/>
        <w:t>advisering van de Raad van State (hierna: de Afdeling) inhield en waarom het na het advies van de Afdeling is geschrapt.</w:t>
      </w:r>
    </w:p>
    <w:p w:rsidRPr="00A658FD" w:rsidR="00572434" w:rsidP="0076331A" w:rsidRDefault="00572434" w14:paraId="503DB223" w14:textId="25430D9E">
      <w:pPr>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De leden van de NSC-fractie hebben kennisgenomen van het wetsvoorstel en hebben nog een aantal vragen.</w:t>
      </w:r>
    </w:p>
    <w:p w:rsidR="00FC0195" w:rsidP="0076331A" w:rsidRDefault="0014246D" w14:paraId="5D8F8BA5" w14:textId="4E3F2543">
      <w:pPr>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De leden van de BBB-fractie hebben kennisgenomen van het wetsvoorstel</w:t>
      </w:r>
      <w:r w:rsidR="00A658FD">
        <w:rPr>
          <w:rStyle w:val="normaltextrun"/>
          <w:rFonts w:ascii="Times New Roman" w:hAnsi="Times New Roman" w:eastAsia="Times New Roman" w:cs="Times New Roman"/>
          <w:sz w:val="24"/>
          <w:szCs w:val="24"/>
          <w:lang w:eastAsia="nl-NL"/>
        </w:rPr>
        <w:t xml:space="preserve"> </w:t>
      </w:r>
      <w:r>
        <w:rPr>
          <w:rStyle w:val="normaltextrun"/>
          <w:rFonts w:ascii="Times New Roman" w:hAnsi="Times New Roman" w:eastAsia="Times New Roman" w:cs="Times New Roman"/>
          <w:sz w:val="24"/>
          <w:szCs w:val="24"/>
          <w:lang w:eastAsia="nl-NL"/>
        </w:rPr>
        <w:t>en hebben nog een aantal vragen.</w:t>
      </w:r>
    </w:p>
    <w:p w:rsidR="00FC0195" w:rsidP="0076331A" w:rsidRDefault="00FC0195" w14:paraId="343AA32F" w14:textId="22B41AD5">
      <w:pPr>
        <w:rPr>
          <w:rStyle w:val="normaltextrun"/>
          <w:rFonts w:ascii="Times New Roman" w:hAnsi="Times New Roman" w:eastAsia="Times New Roman" w:cs="Times New Roman"/>
          <w:sz w:val="24"/>
          <w:szCs w:val="24"/>
          <w:lang w:eastAsia="nl-NL"/>
        </w:rPr>
      </w:pPr>
      <w:r w:rsidRPr="00FC0195">
        <w:rPr>
          <w:rStyle w:val="normaltextrun"/>
          <w:rFonts w:ascii="Times New Roman" w:hAnsi="Times New Roman" w:eastAsia="Times New Roman" w:cs="Times New Roman"/>
          <w:sz w:val="24"/>
          <w:szCs w:val="24"/>
          <w:lang w:eastAsia="nl-NL"/>
        </w:rPr>
        <w:t xml:space="preserve">De leden van de SP-fractie hebben </w:t>
      </w:r>
      <w:r>
        <w:rPr>
          <w:rStyle w:val="normaltextrun"/>
          <w:rFonts w:ascii="Times New Roman" w:hAnsi="Times New Roman" w:eastAsia="Times New Roman" w:cs="Times New Roman"/>
          <w:sz w:val="24"/>
          <w:szCs w:val="24"/>
          <w:lang w:eastAsia="nl-NL"/>
        </w:rPr>
        <w:t>het wetsvoorstel</w:t>
      </w:r>
      <w:r w:rsidRPr="00FC0195">
        <w:rPr>
          <w:rStyle w:val="normaltextrun"/>
          <w:rFonts w:ascii="Times New Roman" w:hAnsi="Times New Roman" w:eastAsia="Times New Roman" w:cs="Times New Roman"/>
          <w:sz w:val="24"/>
          <w:szCs w:val="24"/>
          <w:lang w:eastAsia="nl-NL"/>
        </w:rPr>
        <w:t xml:space="preserve"> gelezen. De</w:t>
      </w:r>
      <w:r w:rsidR="00994665">
        <w:rPr>
          <w:rStyle w:val="normaltextrun"/>
          <w:rFonts w:ascii="Times New Roman" w:hAnsi="Times New Roman" w:eastAsia="Times New Roman" w:cs="Times New Roman"/>
          <w:sz w:val="24"/>
          <w:szCs w:val="24"/>
          <w:lang w:eastAsia="nl-NL"/>
        </w:rPr>
        <w:t>ze</w:t>
      </w:r>
      <w:r w:rsidRPr="00FC0195">
        <w:rPr>
          <w:rStyle w:val="normaltextrun"/>
          <w:rFonts w:ascii="Times New Roman" w:hAnsi="Times New Roman" w:eastAsia="Times New Roman" w:cs="Times New Roman"/>
          <w:sz w:val="24"/>
          <w:szCs w:val="24"/>
          <w:lang w:eastAsia="nl-NL"/>
        </w:rPr>
        <w:t xml:space="preserve"> leden hebben hier nog een aantal vragen over.</w:t>
      </w:r>
    </w:p>
    <w:p w:rsidRPr="0014246D" w:rsidR="00142A11" w:rsidP="0076331A" w:rsidRDefault="00142A11" w14:paraId="57865F53" w14:textId="77777777">
      <w:pPr>
        <w:rPr>
          <w:rStyle w:val="normaltextrun"/>
          <w:rFonts w:ascii="Times New Roman" w:hAnsi="Times New Roman" w:eastAsia="Times New Roman" w:cs="Times New Roman"/>
          <w:sz w:val="24"/>
          <w:szCs w:val="24"/>
          <w:lang w:eastAsia="nl-NL"/>
        </w:rPr>
      </w:pPr>
    </w:p>
    <w:p w:rsidR="00A658FD" w:rsidP="0076331A" w:rsidRDefault="00142A11" w14:paraId="377C5941" w14:textId="7050109D">
      <w:pPr>
        <w:rPr>
          <w:rStyle w:val="normaltextrun"/>
          <w:rFonts w:ascii="Times New Roman" w:hAnsi="Times New Roman" w:eastAsia="Times New Roman" w:cs="Times New Roman"/>
          <w:b/>
          <w:bCs/>
          <w:sz w:val="24"/>
          <w:szCs w:val="24"/>
          <w:lang w:eastAsia="nl-NL"/>
        </w:rPr>
      </w:pPr>
      <w:r>
        <w:rPr>
          <w:rStyle w:val="normaltextrun"/>
          <w:rFonts w:ascii="Times New Roman" w:hAnsi="Times New Roman" w:eastAsia="Times New Roman" w:cs="Times New Roman"/>
          <w:b/>
          <w:bCs/>
          <w:sz w:val="24"/>
          <w:szCs w:val="24"/>
          <w:lang w:eastAsia="nl-NL"/>
        </w:rPr>
        <w:t>1</w:t>
      </w:r>
      <w:r w:rsidRPr="0076331A" w:rsidR="0076331A">
        <w:rPr>
          <w:rStyle w:val="normaltextrun"/>
          <w:rFonts w:ascii="Times New Roman" w:hAnsi="Times New Roman" w:eastAsia="Times New Roman" w:cs="Times New Roman"/>
          <w:b/>
          <w:bCs/>
          <w:sz w:val="24"/>
          <w:szCs w:val="24"/>
          <w:lang w:eastAsia="nl-NL"/>
        </w:rPr>
        <w:t>.</w:t>
      </w:r>
      <w:r w:rsidRPr="0076331A" w:rsidR="0076331A">
        <w:rPr>
          <w:rStyle w:val="normaltextrun"/>
          <w:rFonts w:ascii="Times New Roman" w:hAnsi="Times New Roman" w:eastAsia="Times New Roman" w:cs="Times New Roman"/>
          <w:b/>
          <w:bCs/>
          <w:sz w:val="24"/>
          <w:szCs w:val="24"/>
          <w:lang w:eastAsia="nl-NL"/>
        </w:rPr>
        <w:tab/>
        <w:t>Ontvangen adviezen</w:t>
      </w:r>
    </w:p>
    <w:p w:rsidRPr="00084B40" w:rsidR="00A658FD" w:rsidP="00A658FD" w:rsidRDefault="00A658FD" w14:paraId="089E9CB8" w14:textId="1B73AD95">
      <w:pPr>
        <w:rPr>
          <w:rStyle w:val="normaltextrun"/>
          <w:rFonts w:ascii="Times New Roman" w:hAnsi="Times New Roman" w:eastAsia="Times New Roman" w:cs="Times New Roman"/>
          <w:sz w:val="24"/>
          <w:szCs w:val="24"/>
          <w:lang w:eastAsia="nl-NL"/>
        </w:rPr>
      </w:pPr>
      <w:r w:rsidRPr="00084B40">
        <w:rPr>
          <w:rStyle w:val="normaltextrun"/>
          <w:rFonts w:ascii="Times New Roman" w:hAnsi="Times New Roman" w:eastAsia="Times New Roman" w:cs="Times New Roman"/>
          <w:sz w:val="24"/>
          <w:szCs w:val="24"/>
          <w:lang w:eastAsia="nl-NL"/>
        </w:rPr>
        <w:t xml:space="preserve">De leden van de VVD-fractie hebben kennisgenomen van de wijzigingen onder artikel V en artikel IX waarin de termen ‘scheidsmannen’ en ‘goed huisvader’ uit het </w:t>
      </w:r>
      <w:r w:rsidRPr="00084B40" w:rsidR="00084B40">
        <w:rPr>
          <w:rStyle w:val="normaltextrun"/>
          <w:rFonts w:ascii="Times New Roman" w:hAnsi="Times New Roman" w:eastAsia="Times New Roman" w:cs="Times New Roman"/>
          <w:sz w:val="24"/>
          <w:szCs w:val="24"/>
          <w:lang w:eastAsia="nl-NL"/>
        </w:rPr>
        <w:t>Burgerlijk Wetboek (</w:t>
      </w:r>
      <w:r w:rsidRPr="00084B40">
        <w:rPr>
          <w:rStyle w:val="normaltextrun"/>
          <w:rFonts w:ascii="Times New Roman" w:hAnsi="Times New Roman" w:eastAsia="Times New Roman" w:cs="Times New Roman"/>
          <w:sz w:val="24"/>
          <w:szCs w:val="24"/>
          <w:lang w:eastAsia="nl-NL"/>
        </w:rPr>
        <w:t>BW</w:t>
      </w:r>
      <w:r w:rsidRPr="00084B40" w:rsidR="00084B40">
        <w:rPr>
          <w:rStyle w:val="normaltextrun"/>
          <w:rFonts w:ascii="Times New Roman" w:hAnsi="Times New Roman" w:eastAsia="Times New Roman" w:cs="Times New Roman"/>
          <w:sz w:val="24"/>
          <w:szCs w:val="24"/>
          <w:lang w:eastAsia="nl-NL"/>
        </w:rPr>
        <w:t>)</w:t>
      </w:r>
      <w:r w:rsidRPr="00084B40">
        <w:rPr>
          <w:rStyle w:val="normaltextrun"/>
          <w:rFonts w:ascii="Times New Roman" w:hAnsi="Times New Roman" w:eastAsia="Times New Roman" w:cs="Times New Roman"/>
          <w:sz w:val="24"/>
          <w:szCs w:val="24"/>
          <w:lang w:eastAsia="nl-NL"/>
        </w:rPr>
        <w:t xml:space="preserve"> worden vervangen wegens een onnodige mannelijke connotatie. De regering </w:t>
      </w:r>
      <w:r w:rsidRPr="00084B40" w:rsidR="00084B40">
        <w:rPr>
          <w:rStyle w:val="normaltextrun"/>
          <w:rFonts w:ascii="Times New Roman" w:hAnsi="Times New Roman" w:eastAsia="Times New Roman" w:cs="Times New Roman"/>
          <w:sz w:val="24"/>
          <w:szCs w:val="24"/>
          <w:lang w:eastAsia="nl-NL"/>
        </w:rPr>
        <w:t>noemt</w:t>
      </w:r>
      <w:r w:rsidRPr="00084B40">
        <w:rPr>
          <w:rStyle w:val="normaltextrun"/>
          <w:rFonts w:ascii="Times New Roman" w:hAnsi="Times New Roman" w:eastAsia="Times New Roman" w:cs="Times New Roman"/>
          <w:sz w:val="24"/>
          <w:szCs w:val="24"/>
          <w:lang w:eastAsia="nl-NL"/>
        </w:rPr>
        <w:t xml:space="preserve"> expliciet het standpunt dat het niet opportuun was om deze wijziging mee te nemen in een ander wetsvoorstel. De</w:t>
      </w:r>
      <w:r w:rsidRPr="00084B40" w:rsidR="00084B40">
        <w:rPr>
          <w:rStyle w:val="normaltextrun"/>
          <w:rFonts w:ascii="Times New Roman" w:hAnsi="Times New Roman" w:eastAsia="Times New Roman" w:cs="Times New Roman"/>
          <w:sz w:val="24"/>
          <w:szCs w:val="24"/>
          <w:lang w:eastAsia="nl-NL"/>
        </w:rPr>
        <w:t>ze</w:t>
      </w:r>
      <w:r w:rsidRPr="00084B40">
        <w:rPr>
          <w:rStyle w:val="normaltextrun"/>
          <w:rFonts w:ascii="Times New Roman" w:hAnsi="Times New Roman" w:eastAsia="Times New Roman" w:cs="Times New Roman"/>
          <w:sz w:val="24"/>
          <w:szCs w:val="24"/>
          <w:lang w:eastAsia="nl-NL"/>
        </w:rPr>
        <w:t xml:space="preserve"> leden vragen of de regering kan toelichten hoe dit standpunt zich verhoudt tot het standpunt van </w:t>
      </w:r>
      <w:r w:rsidRPr="00084B40" w:rsidR="00084B40">
        <w:rPr>
          <w:rStyle w:val="normaltextrun"/>
          <w:rFonts w:ascii="Times New Roman" w:hAnsi="Times New Roman" w:eastAsia="Times New Roman" w:cs="Times New Roman"/>
          <w:sz w:val="24"/>
          <w:szCs w:val="24"/>
          <w:lang w:eastAsia="nl-NL"/>
        </w:rPr>
        <w:t>de toenmalige regering</w:t>
      </w:r>
      <w:r w:rsidRPr="00084B40">
        <w:rPr>
          <w:rStyle w:val="normaltextrun"/>
          <w:rFonts w:ascii="Times New Roman" w:hAnsi="Times New Roman" w:eastAsia="Times New Roman" w:cs="Times New Roman"/>
          <w:sz w:val="24"/>
          <w:szCs w:val="24"/>
          <w:lang w:eastAsia="nl-NL"/>
        </w:rPr>
        <w:t xml:space="preserve"> over de vervanging van de term ‘moeder uit wie het kind is geboren’ in de Wet Basisregistratie personen door ‘de ouder uit wie het kind is geboren’. Deze wijziging maakte aanvankelijk onderdeel uit van een Verzamelwet, maar </w:t>
      </w:r>
      <w:r w:rsidRPr="00084B40" w:rsidR="00084B40">
        <w:rPr>
          <w:rStyle w:val="normaltextrun"/>
          <w:rFonts w:ascii="Times New Roman" w:hAnsi="Times New Roman" w:eastAsia="Times New Roman" w:cs="Times New Roman"/>
          <w:sz w:val="24"/>
          <w:szCs w:val="24"/>
          <w:lang w:eastAsia="nl-NL"/>
        </w:rPr>
        <w:t xml:space="preserve">de toenmalige regering </w:t>
      </w:r>
      <w:r w:rsidRPr="00084B40">
        <w:rPr>
          <w:rStyle w:val="normaltextrun"/>
          <w:rFonts w:ascii="Times New Roman" w:hAnsi="Times New Roman" w:eastAsia="Times New Roman" w:cs="Times New Roman"/>
          <w:sz w:val="24"/>
          <w:szCs w:val="24"/>
          <w:lang w:eastAsia="nl-NL"/>
        </w:rPr>
        <w:t xml:space="preserve">besloot middels een nota van wijziging dit uit het wetsvoorstel te halen. </w:t>
      </w:r>
      <w:r w:rsidRPr="00084B40" w:rsidR="00084B40">
        <w:rPr>
          <w:rStyle w:val="normaltextrun"/>
          <w:rFonts w:ascii="Times New Roman" w:hAnsi="Times New Roman" w:eastAsia="Times New Roman" w:cs="Times New Roman"/>
          <w:sz w:val="24"/>
          <w:szCs w:val="24"/>
          <w:lang w:eastAsia="nl-NL"/>
        </w:rPr>
        <w:t>De toenmalige regering</w:t>
      </w:r>
      <w:r w:rsidRPr="00084B40">
        <w:rPr>
          <w:rStyle w:val="normaltextrun"/>
          <w:rFonts w:ascii="Times New Roman" w:hAnsi="Times New Roman" w:eastAsia="Times New Roman" w:cs="Times New Roman"/>
          <w:sz w:val="24"/>
          <w:szCs w:val="24"/>
          <w:lang w:eastAsia="nl-NL"/>
        </w:rPr>
        <w:t xml:space="preserve"> hechtte eraan dat een Verzamelwet enkel technische en </w:t>
      </w:r>
      <w:proofErr w:type="spellStart"/>
      <w:r w:rsidRPr="00084B40">
        <w:rPr>
          <w:rStyle w:val="normaltextrun"/>
          <w:rFonts w:ascii="Times New Roman" w:hAnsi="Times New Roman" w:eastAsia="Times New Roman" w:cs="Times New Roman"/>
          <w:sz w:val="24"/>
          <w:szCs w:val="24"/>
          <w:lang w:eastAsia="nl-NL"/>
        </w:rPr>
        <w:t>beleidsneutrale</w:t>
      </w:r>
      <w:proofErr w:type="spellEnd"/>
      <w:r w:rsidRPr="00084B40">
        <w:rPr>
          <w:rStyle w:val="normaltextrun"/>
          <w:rFonts w:ascii="Times New Roman" w:hAnsi="Times New Roman" w:eastAsia="Times New Roman" w:cs="Times New Roman"/>
          <w:sz w:val="24"/>
          <w:szCs w:val="24"/>
          <w:lang w:eastAsia="nl-NL"/>
        </w:rPr>
        <w:t xml:space="preserve"> wijzigingen </w:t>
      </w:r>
      <w:r w:rsidRPr="00084B40" w:rsidR="00084B40">
        <w:rPr>
          <w:rStyle w:val="normaltextrun"/>
          <w:rFonts w:ascii="Times New Roman" w:hAnsi="Times New Roman" w:eastAsia="Times New Roman" w:cs="Times New Roman"/>
          <w:sz w:val="24"/>
          <w:szCs w:val="24"/>
          <w:lang w:eastAsia="nl-NL"/>
        </w:rPr>
        <w:t xml:space="preserve">zou </w:t>
      </w:r>
      <w:r w:rsidRPr="00084B40">
        <w:rPr>
          <w:rStyle w:val="normaltextrun"/>
          <w:rFonts w:ascii="Times New Roman" w:hAnsi="Times New Roman" w:eastAsia="Times New Roman" w:cs="Times New Roman"/>
          <w:sz w:val="24"/>
          <w:szCs w:val="24"/>
          <w:lang w:eastAsia="nl-NL"/>
        </w:rPr>
        <w:t>bevat</w:t>
      </w:r>
      <w:r w:rsidRPr="00084B40" w:rsidR="00084B40">
        <w:rPr>
          <w:rStyle w:val="normaltextrun"/>
          <w:rFonts w:ascii="Times New Roman" w:hAnsi="Times New Roman" w:eastAsia="Times New Roman" w:cs="Times New Roman"/>
          <w:sz w:val="24"/>
          <w:szCs w:val="24"/>
          <w:lang w:eastAsia="nl-NL"/>
        </w:rPr>
        <w:t>ten</w:t>
      </w:r>
      <w:r w:rsidRPr="00084B40">
        <w:rPr>
          <w:rStyle w:val="normaltextrun"/>
          <w:rFonts w:ascii="Times New Roman" w:hAnsi="Times New Roman" w:eastAsia="Times New Roman" w:cs="Times New Roman"/>
          <w:sz w:val="24"/>
          <w:szCs w:val="24"/>
          <w:lang w:eastAsia="nl-NL"/>
        </w:rPr>
        <w:t>. De genoemde aanpassing had dan ook niet in de Verzamelwet opgenomen mogen worden.</w:t>
      </w:r>
      <w:r w:rsidRPr="00084B40" w:rsidR="00383D5F">
        <w:rPr>
          <w:rStyle w:val="Voetnootmarkering"/>
          <w:rFonts w:ascii="Times New Roman" w:hAnsi="Times New Roman" w:eastAsia="Times New Roman" w:cs="Times New Roman"/>
          <w:sz w:val="24"/>
          <w:szCs w:val="24"/>
          <w:lang w:eastAsia="nl-NL"/>
        </w:rPr>
        <w:footnoteReference w:id="3"/>
      </w:r>
      <w:r w:rsidRPr="00084B40">
        <w:rPr>
          <w:rStyle w:val="normaltextrun"/>
          <w:rFonts w:ascii="Times New Roman" w:hAnsi="Times New Roman" w:eastAsia="Times New Roman" w:cs="Times New Roman"/>
          <w:sz w:val="24"/>
          <w:szCs w:val="24"/>
          <w:lang w:eastAsia="nl-NL"/>
        </w:rPr>
        <w:t xml:space="preserve"> De</w:t>
      </w:r>
      <w:r w:rsidRPr="00084B40" w:rsidR="00084B40">
        <w:rPr>
          <w:rStyle w:val="normaltextrun"/>
          <w:rFonts w:ascii="Times New Roman" w:hAnsi="Times New Roman" w:eastAsia="Times New Roman" w:cs="Times New Roman"/>
          <w:sz w:val="24"/>
          <w:szCs w:val="24"/>
          <w:lang w:eastAsia="nl-NL"/>
        </w:rPr>
        <w:t>ze</w:t>
      </w:r>
      <w:r w:rsidRPr="00084B40">
        <w:rPr>
          <w:rStyle w:val="normaltextrun"/>
          <w:rFonts w:ascii="Times New Roman" w:hAnsi="Times New Roman" w:eastAsia="Times New Roman" w:cs="Times New Roman"/>
          <w:sz w:val="24"/>
          <w:szCs w:val="24"/>
          <w:lang w:eastAsia="nl-NL"/>
        </w:rPr>
        <w:t xml:space="preserve"> leden vragen </w:t>
      </w:r>
      <w:r w:rsidRPr="00084B40" w:rsidR="00084B40">
        <w:rPr>
          <w:rStyle w:val="normaltextrun"/>
          <w:rFonts w:ascii="Times New Roman" w:hAnsi="Times New Roman" w:eastAsia="Times New Roman" w:cs="Times New Roman"/>
          <w:sz w:val="24"/>
          <w:szCs w:val="24"/>
          <w:lang w:eastAsia="nl-NL"/>
        </w:rPr>
        <w:t>om</w:t>
      </w:r>
      <w:r w:rsidRPr="00084B40">
        <w:rPr>
          <w:rStyle w:val="normaltextrun"/>
          <w:rFonts w:ascii="Times New Roman" w:hAnsi="Times New Roman" w:eastAsia="Times New Roman" w:cs="Times New Roman"/>
          <w:sz w:val="24"/>
          <w:szCs w:val="24"/>
          <w:lang w:eastAsia="nl-NL"/>
        </w:rPr>
        <w:t xml:space="preserve"> een nadere toelichting hoe het standpunt van de huidige regering zich verhoudt tot het standpunt van </w:t>
      </w:r>
      <w:r w:rsidRPr="00084B40" w:rsidR="00084B40">
        <w:rPr>
          <w:rStyle w:val="normaltextrun"/>
          <w:rFonts w:ascii="Times New Roman" w:hAnsi="Times New Roman" w:eastAsia="Times New Roman" w:cs="Times New Roman"/>
          <w:sz w:val="24"/>
          <w:szCs w:val="24"/>
          <w:lang w:eastAsia="nl-NL"/>
        </w:rPr>
        <w:t>de vorige regering.</w:t>
      </w:r>
      <w:r w:rsidRPr="00084B40">
        <w:rPr>
          <w:rStyle w:val="normaltextrun"/>
          <w:rFonts w:ascii="Times New Roman" w:hAnsi="Times New Roman" w:eastAsia="Times New Roman" w:cs="Times New Roman"/>
          <w:sz w:val="24"/>
          <w:szCs w:val="24"/>
          <w:lang w:eastAsia="nl-NL"/>
        </w:rPr>
        <w:t xml:space="preserve">  </w:t>
      </w:r>
    </w:p>
    <w:p w:rsidRPr="00D5613C" w:rsidR="0076331A" w:rsidP="00084B40" w:rsidRDefault="00A658FD" w14:paraId="44DE08D8" w14:textId="1E73691D">
      <w:pPr>
        <w:rPr>
          <w:rStyle w:val="normaltextrun"/>
          <w:rFonts w:ascii="Times New Roman" w:hAnsi="Times New Roman" w:eastAsia="Times New Roman" w:cs="Times New Roman"/>
          <w:color w:val="FF0000"/>
          <w:sz w:val="24"/>
          <w:szCs w:val="24"/>
          <w:lang w:eastAsia="nl-NL"/>
        </w:rPr>
      </w:pPr>
      <w:r w:rsidRPr="00084B40">
        <w:rPr>
          <w:rStyle w:val="normaltextrun"/>
          <w:rFonts w:ascii="Times New Roman" w:hAnsi="Times New Roman" w:eastAsia="Times New Roman" w:cs="Times New Roman"/>
          <w:sz w:val="24"/>
          <w:szCs w:val="24"/>
          <w:lang w:eastAsia="nl-NL"/>
        </w:rPr>
        <w:t xml:space="preserve">Los van de vraag welke concrete problemen voor mensen en de rechtspraktijk worden opgelost met </w:t>
      </w:r>
      <w:r w:rsidR="00994665">
        <w:rPr>
          <w:rStyle w:val="normaltextrun"/>
          <w:rFonts w:ascii="Times New Roman" w:hAnsi="Times New Roman" w:eastAsia="Times New Roman" w:cs="Times New Roman"/>
          <w:sz w:val="24"/>
          <w:szCs w:val="24"/>
          <w:lang w:eastAsia="nl-NL"/>
        </w:rPr>
        <w:t xml:space="preserve">deze </w:t>
      </w:r>
      <w:r w:rsidRPr="00084B40">
        <w:rPr>
          <w:rStyle w:val="normaltextrun"/>
          <w:rFonts w:ascii="Times New Roman" w:hAnsi="Times New Roman" w:eastAsia="Times New Roman" w:cs="Times New Roman"/>
          <w:sz w:val="24"/>
          <w:szCs w:val="24"/>
          <w:lang w:eastAsia="nl-NL"/>
        </w:rPr>
        <w:t>wetswijziging, achten de leden</w:t>
      </w:r>
      <w:r w:rsidRPr="00084B40" w:rsidR="00084B40">
        <w:rPr>
          <w:rStyle w:val="normaltextrun"/>
          <w:rFonts w:ascii="Times New Roman" w:hAnsi="Times New Roman" w:eastAsia="Times New Roman" w:cs="Times New Roman"/>
          <w:sz w:val="24"/>
          <w:szCs w:val="24"/>
          <w:lang w:eastAsia="nl-NL"/>
        </w:rPr>
        <w:t xml:space="preserve"> van de VVD-fractie</w:t>
      </w:r>
      <w:r w:rsidRPr="00084B40">
        <w:rPr>
          <w:rStyle w:val="normaltextrun"/>
          <w:rFonts w:ascii="Times New Roman" w:hAnsi="Times New Roman" w:eastAsia="Times New Roman" w:cs="Times New Roman"/>
          <w:sz w:val="24"/>
          <w:szCs w:val="24"/>
          <w:lang w:eastAsia="nl-NL"/>
        </w:rPr>
        <w:t xml:space="preserve"> het ook van belang dat de regering motiveert waarom de ene genderneutrale wijziging technisch en beleidsneutraal is, en de andere genderneutrale wijziging in de </w:t>
      </w:r>
      <w:r w:rsidRPr="00084B40" w:rsidR="00084B40">
        <w:rPr>
          <w:rStyle w:val="normaltextrun"/>
          <w:rFonts w:ascii="Times New Roman" w:hAnsi="Times New Roman" w:eastAsia="Times New Roman" w:cs="Times New Roman"/>
          <w:sz w:val="24"/>
          <w:szCs w:val="24"/>
          <w:lang w:eastAsia="nl-NL"/>
        </w:rPr>
        <w:t>Basisregistratie Personen (</w:t>
      </w:r>
      <w:r w:rsidRPr="00084B40">
        <w:rPr>
          <w:rStyle w:val="normaltextrun"/>
          <w:rFonts w:ascii="Times New Roman" w:hAnsi="Times New Roman" w:eastAsia="Times New Roman" w:cs="Times New Roman"/>
          <w:sz w:val="24"/>
          <w:szCs w:val="24"/>
          <w:lang w:eastAsia="nl-NL"/>
        </w:rPr>
        <w:t>BRP</w:t>
      </w:r>
      <w:r w:rsidRPr="00084B40" w:rsidR="00084B40">
        <w:rPr>
          <w:rStyle w:val="normaltextrun"/>
          <w:rFonts w:ascii="Times New Roman" w:hAnsi="Times New Roman" w:eastAsia="Times New Roman" w:cs="Times New Roman"/>
          <w:sz w:val="24"/>
          <w:szCs w:val="24"/>
          <w:lang w:eastAsia="nl-NL"/>
        </w:rPr>
        <w:t>)</w:t>
      </w:r>
      <w:r w:rsidRPr="00084B40">
        <w:rPr>
          <w:rStyle w:val="normaltextrun"/>
          <w:rFonts w:ascii="Times New Roman" w:hAnsi="Times New Roman" w:eastAsia="Times New Roman" w:cs="Times New Roman"/>
          <w:sz w:val="24"/>
          <w:szCs w:val="24"/>
          <w:lang w:eastAsia="nl-NL"/>
        </w:rPr>
        <w:t xml:space="preserve"> dat niet is. Graag ontvangen de</w:t>
      </w:r>
      <w:r w:rsidRPr="00084B40" w:rsidR="00084B40">
        <w:rPr>
          <w:rStyle w:val="normaltextrun"/>
          <w:rFonts w:ascii="Times New Roman" w:hAnsi="Times New Roman" w:eastAsia="Times New Roman" w:cs="Times New Roman"/>
          <w:sz w:val="24"/>
          <w:szCs w:val="24"/>
          <w:lang w:eastAsia="nl-NL"/>
        </w:rPr>
        <w:t>ze</w:t>
      </w:r>
      <w:r w:rsidRPr="00084B40">
        <w:rPr>
          <w:rStyle w:val="normaltextrun"/>
          <w:rFonts w:ascii="Times New Roman" w:hAnsi="Times New Roman" w:eastAsia="Times New Roman" w:cs="Times New Roman"/>
          <w:sz w:val="24"/>
          <w:szCs w:val="24"/>
          <w:lang w:eastAsia="nl-NL"/>
        </w:rPr>
        <w:t xml:space="preserve"> leden een reactie van de regering</w:t>
      </w:r>
      <w:r w:rsidRPr="00084B40" w:rsidR="00084B40">
        <w:rPr>
          <w:rStyle w:val="normaltextrun"/>
          <w:rFonts w:ascii="Times New Roman" w:hAnsi="Times New Roman" w:eastAsia="Times New Roman" w:cs="Times New Roman"/>
          <w:sz w:val="24"/>
          <w:szCs w:val="24"/>
          <w:lang w:eastAsia="nl-NL"/>
        </w:rPr>
        <w:t>.</w:t>
      </w:r>
      <w:r w:rsidR="00D5613C">
        <w:rPr>
          <w:rStyle w:val="normaltextrun"/>
          <w:rFonts w:ascii="Times New Roman" w:hAnsi="Times New Roman" w:eastAsia="Times New Roman" w:cs="Times New Roman"/>
          <w:color w:val="FF0000"/>
          <w:sz w:val="24"/>
          <w:szCs w:val="24"/>
          <w:lang w:eastAsia="nl-NL"/>
        </w:rPr>
        <w:br/>
      </w:r>
    </w:p>
    <w:p w:rsidRPr="0076331A" w:rsidR="0076331A" w:rsidP="0076331A" w:rsidRDefault="0076331A" w14:paraId="1506227C" w14:textId="77777777">
      <w:pPr>
        <w:rPr>
          <w:rStyle w:val="normaltextrun"/>
          <w:rFonts w:ascii="Times New Roman" w:hAnsi="Times New Roman" w:eastAsia="Times New Roman" w:cs="Times New Roman"/>
          <w:b/>
          <w:bCs/>
          <w:sz w:val="24"/>
          <w:szCs w:val="24"/>
          <w:lang w:eastAsia="nl-NL"/>
        </w:rPr>
      </w:pPr>
      <w:r w:rsidRPr="0076331A">
        <w:rPr>
          <w:rStyle w:val="normaltextrun"/>
          <w:rFonts w:ascii="Times New Roman" w:hAnsi="Times New Roman" w:eastAsia="Times New Roman" w:cs="Times New Roman"/>
          <w:b/>
          <w:bCs/>
          <w:sz w:val="24"/>
          <w:szCs w:val="24"/>
          <w:lang w:eastAsia="nl-NL"/>
        </w:rPr>
        <w:t xml:space="preserve">II ARTIKELSGEWIJZE TOELICHTING </w:t>
      </w:r>
    </w:p>
    <w:p w:rsidRPr="00142A11" w:rsidR="00142A11" w:rsidP="0076331A" w:rsidRDefault="0014246D" w14:paraId="717D3141" w14:textId="2DE0D01C">
      <w:pPr>
        <w:rPr>
          <w:rStyle w:val="normaltextrun"/>
          <w:rFonts w:ascii="Times New Roman" w:hAnsi="Times New Roman" w:eastAsia="Times New Roman" w:cs="Times New Roman"/>
          <w:sz w:val="24"/>
          <w:szCs w:val="24"/>
          <w:lang w:eastAsia="nl-NL"/>
        </w:rPr>
      </w:pPr>
      <w:r>
        <w:rPr>
          <w:rStyle w:val="normaltextrun"/>
          <w:rFonts w:ascii="Times New Roman" w:hAnsi="Times New Roman" w:eastAsia="Times New Roman" w:cs="Times New Roman"/>
          <w:sz w:val="24"/>
          <w:szCs w:val="24"/>
          <w:lang w:eastAsia="nl-NL"/>
        </w:rPr>
        <w:t>De leden van de BBB-fractie lezen dat i</w:t>
      </w:r>
      <w:r w:rsidRPr="0014246D">
        <w:rPr>
          <w:rStyle w:val="normaltextrun"/>
          <w:rFonts w:ascii="Times New Roman" w:hAnsi="Times New Roman" w:eastAsia="Times New Roman" w:cs="Times New Roman"/>
          <w:sz w:val="24"/>
          <w:szCs w:val="24"/>
          <w:lang w:eastAsia="nl-NL"/>
        </w:rPr>
        <w:t xml:space="preserve">n de verzamelwet wordt voorgesteld om een aantal termen genderneutraal van aard te maken. Zo vraagt artikel IX om een voorgestelde wijziging die ertoe strekt de term </w:t>
      </w:r>
      <w:r w:rsidR="00994665">
        <w:rPr>
          <w:rStyle w:val="normaltextrun"/>
          <w:rFonts w:ascii="Times New Roman" w:hAnsi="Times New Roman" w:eastAsia="Times New Roman" w:cs="Times New Roman"/>
          <w:sz w:val="24"/>
          <w:szCs w:val="24"/>
          <w:lang w:eastAsia="nl-NL"/>
        </w:rPr>
        <w:t xml:space="preserve"> ’</w:t>
      </w:r>
      <w:r w:rsidRPr="0014246D">
        <w:rPr>
          <w:rStyle w:val="normaltextrun"/>
          <w:rFonts w:ascii="Times New Roman" w:hAnsi="Times New Roman" w:eastAsia="Times New Roman" w:cs="Times New Roman"/>
          <w:sz w:val="24"/>
          <w:szCs w:val="24"/>
          <w:lang w:eastAsia="nl-NL"/>
        </w:rPr>
        <w:t>goed huisvader</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 xml:space="preserve">, met een onmiskenbare, maar onnodige, mannelijke connotatie te vervangen door een meer genderneutraal geformuleerd alternatief, te weten de term </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zorgvuldig en redelijk handelend persoon</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 xml:space="preserve">. Ook in artikel XLV onder onderdeel D wordt de term </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scheidsmannen</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 xml:space="preserve">, met een onmiskenbare, maar onnodige, mannelijke connotatie vervangen door een meer genderneutraal geformuleerd alternatief, te weten de term </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arbiters</w:t>
      </w:r>
      <w:r w:rsidR="00994665">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 De</w:t>
      </w:r>
      <w:r>
        <w:rPr>
          <w:rStyle w:val="normaltextrun"/>
          <w:rFonts w:ascii="Times New Roman" w:hAnsi="Times New Roman" w:eastAsia="Times New Roman" w:cs="Times New Roman"/>
          <w:sz w:val="24"/>
          <w:szCs w:val="24"/>
          <w:lang w:eastAsia="nl-NL"/>
        </w:rPr>
        <w:t>ze</w:t>
      </w:r>
      <w:r w:rsidRPr="0014246D">
        <w:rPr>
          <w:rStyle w:val="normaltextrun"/>
          <w:rFonts w:ascii="Times New Roman" w:hAnsi="Times New Roman" w:eastAsia="Times New Roman" w:cs="Times New Roman"/>
          <w:sz w:val="24"/>
          <w:szCs w:val="24"/>
          <w:lang w:eastAsia="nl-NL"/>
        </w:rPr>
        <w:t xml:space="preserve"> leden horen graag van de regering wat hier de reden en het nut van is</w:t>
      </w:r>
      <w:r>
        <w:rPr>
          <w:rStyle w:val="normaltextrun"/>
          <w:rFonts w:ascii="Times New Roman" w:hAnsi="Times New Roman" w:eastAsia="Times New Roman" w:cs="Times New Roman"/>
          <w:sz w:val="24"/>
          <w:szCs w:val="24"/>
          <w:lang w:eastAsia="nl-NL"/>
        </w:rPr>
        <w:t>.</w:t>
      </w:r>
      <w:r w:rsidRPr="0014246D">
        <w:rPr>
          <w:rStyle w:val="normaltextrun"/>
          <w:rFonts w:ascii="Times New Roman" w:hAnsi="Times New Roman" w:eastAsia="Times New Roman" w:cs="Times New Roman"/>
          <w:sz w:val="24"/>
          <w:szCs w:val="24"/>
          <w:lang w:eastAsia="nl-NL"/>
        </w:rPr>
        <w:t xml:space="preserve"> Is de regering bereid om te stoppen met het streven naar genderneutrale termen in wet- en </w:t>
      </w:r>
      <w:r w:rsidRPr="0014246D">
        <w:rPr>
          <w:rStyle w:val="normaltextrun"/>
          <w:rFonts w:ascii="Times New Roman" w:hAnsi="Times New Roman" w:eastAsia="Times New Roman" w:cs="Times New Roman"/>
          <w:sz w:val="24"/>
          <w:szCs w:val="24"/>
          <w:lang w:eastAsia="nl-NL"/>
        </w:rPr>
        <w:lastRenderedPageBreak/>
        <w:t>regelgeving?</w:t>
      </w:r>
      <w:r w:rsidR="00142A11">
        <w:rPr>
          <w:rStyle w:val="normaltextrun"/>
          <w:rFonts w:ascii="Times New Roman" w:hAnsi="Times New Roman" w:eastAsia="Times New Roman" w:cs="Times New Roman"/>
          <w:sz w:val="24"/>
          <w:szCs w:val="24"/>
          <w:lang w:eastAsia="nl-NL"/>
        </w:rPr>
        <w:br/>
      </w:r>
    </w:p>
    <w:p w:rsidRPr="0076331A" w:rsidR="0076331A" w:rsidP="0076331A" w:rsidRDefault="0076331A" w14:paraId="7D1786B8" w14:textId="77777777">
      <w:pPr>
        <w:rPr>
          <w:rStyle w:val="normaltextrun"/>
          <w:rFonts w:ascii="Times New Roman" w:hAnsi="Times New Roman" w:eastAsia="Times New Roman" w:cs="Times New Roman"/>
          <w:b/>
          <w:bCs/>
          <w:sz w:val="24"/>
          <w:szCs w:val="24"/>
          <w:lang w:eastAsia="nl-NL"/>
        </w:rPr>
      </w:pPr>
      <w:r w:rsidRPr="0076331A">
        <w:rPr>
          <w:rStyle w:val="normaltextrun"/>
          <w:rFonts w:ascii="Times New Roman" w:hAnsi="Times New Roman" w:eastAsia="Times New Roman" w:cs="Times New Roman"/>
          <w:b/>
          <w:bCs/>
          <w:sz w:val="24"/>
          <w:szCs w:val="24"/>
          <w:lang w:eastAsia="nl-NL"/>
        </w:rPr>
        <w:t>ARTIKEL XXII (wijziging van de Vreemdelingenwet 2000)</w:t>
      </w:r>
    </w:p>
    <w:p w:rsidRPr="00142A11" w:rsidR="0076331A" w:rsidP="0076331A" w:rsidRDefault="0057686D" w14:paraId="03A78604" w14:textId="6A672A4C">
      <w:pPr>
        <w:rPr>
          <w:rStyle w:val="normaltextrun"/>
          <w:rFonts w:ascii="Times New Roman" w:hAnsi="Times New Roman" w:eastAsia="Times New Roman" w:cs="Times New Roman"/>
          <w:sz w:val="24"/>
          <w:szCs w:val="24"/>
          <w:lang w:eastAsia="nl-NL"/>
        </w:rPr>
      </w:pPr>
      <w:r w:rsidRPr="0057686D">
        <w:rPr>
          <w:rStyle w:val="normaltextrun"/>
          <w:rFonts w:ascii="Times New Roman" w:hAnsi="Times New Roman" w:eastAsia="Times New Roman" w:cs="Times New Roman"/>
          <w:sz w:val="24"/>
          <w:szCs w:val="24"/>
          <w:lang w:eastAsia="nl-NL"/>
        </w:rPr>
        <w:t>De leden van de BBB-fractie lezen dat de maximale duur van verblijf van vreemdelingen in de vrije termijn wordt verhoogd van ten hoogste 180 dagen naar ten hoogste 360 dagen. Reden hiervoor is implementatie van Europese richtlijnen. De</w:t>
      </w:r>
      <w:r>
        <w:rPr>
          <w:rStyle w:val="normaltextrun"/>
          <w:rFonts w:ascii="Times New Roman" w:hAnsi="Times New Roman" w:eastAsia="Times New Roman" w:cs="Times New Roman"/>
          <w:sz w:val="24"/>
          <w:szCs w:val="24"/>
          <w:lang w:eastAsia="nl-NL"/>
        </w:rPr>
        <w:t>ze</w:t>
      </w:r>
      <w:r w:rsidRPr="0057686D">
        <w:rPr>
          <w:rStyle w:val="normaltextrun"/>
          <w:rFonts w:ascii="Times New Roman" w:hAnsi="Times New Roman" w:eastAsia="Times New Roman" w:cs="Times New Roman"/>
          <w:sz w:val="24"/>
          <w:szCs w:val="24"/>
          <w:lang w:eastAsia="nl-NL"/>
        </w:rPr>
        <w:t xml:space="preserve"> leden vragen of de regering hier enkel Europese richtlijnen aan het implementeren is of dat de regering het ook echt eens is met deze wijziging</w:t>
      </w:r>
      <w:r>
        <w:rPr>
          <w:rStyle w:val="normaltextrun"/>
          <w:rFonts w:ascii="Times New Roman" w:hAnsi="Times New Roman" w:eastAsia="Times New Roman" w:cs="Times New Roman"/>
          <w:sz w:val="24"/>
          <w:szCs w:val="24"/>
          <w:lang w:eastAsia="nl-NL"/>
        </w:rPr>
        <w:t>.</w:t>
      </w:r>
      <w:r w:rsidRPr="0057686D">
        <w:rPr>
          <w:rStyle w:val="normaltextrun"/>
          <w:rFonts w:ascii="Times New Roman" w:hAnsi="Times New Roman" w:eastAsia="Times New Roman" w:cs="Times New Roman"/>
          <w:sz w:val="24"/>
          <w:szCs w:val="24"/>
          <w:lang w:eastAsia="nl-NL"/>
        </w:rPr>
        <w:t xml:space="preserve"> </w:t>
      </w:r>
      <w:r>
        <w:rPr>
          <w:rStyle w:val="normaltextrun"/>
          <w:rFonts w:ascii="Times New Roman" w:hAnsi="Times New Roman" w:eastAsia="Times New Roman" w:cs="Times New Roman"/>
          <w:sz w:val="24"/>
          <w:szCs w:val="24"/>
          <w:lang w:eastAsia="nl-NL"/>
        </w:rPr>
        <w:t>In dit laatste geval, kan de regering dit toelichten?</w:t>
      </w:r>
      <w:r w:rsidR="00142A11">
        <w:rPr>
          <w:rStyle w:val="normaltextrun"/>
          <w:rFonts w:ascii="Times New Roman" w:hAnsi="Times New Roman" w:eastAsia="Times New Roman" w:cs="Times New Roman"/>
          <w:sz w:val="24"/>
          <w:szCs w:val="24"/>
          <w:lang w:eastAsia="nl-NL"/>
        </w:rPr>
        <w:br/>
      </w:r>
    </w:p>
    <w:p w:rsidRPr="0076331A" w:rsidR="0076331A" w:rsidP="0076331A" w:rsidRDefault="0076331A" w14:paraId="4CCD03B2" w14:textId="77777777">
      <w:pPr>
        <w:rPr>
          <w:rStyle w:val="normaltextrun"/>
          <w:rFonts w:ascii="Times New Roman" w:hAnsi="Times New Roman" w:eastAsia="Times New Roman" w:cs="Times New Roman"/>
          <w:b/>
          <w:bCs/>
          <w:sz w:val="24"/>
          <w:szCs w:val="24"/>
          <w:lang w:eastAsia="nl-NL"/>
        </w:rPr>
      </w:pPr>
      <w:r w:rsidRPr="0076331A">
        <w:rPr>
          <w:rStyle w:val="normaltextrun"/>
          <w:rFonts w:ascii="Times New Roman" w:hAnsi="Times New Roman" w:eastAsia="Times New Roman" w:cs="Times New Roman"/>
          <w:b/>
          <w:bCs/>
          <w:sz w:val="24"/>
          <w:szCs w:val="24"/>
          <w:lang w:eastAsia="nl-NL"/>
        </w:rPr>
        <w:t>ARTIKEL XXVII (wijziging van de Wet forensische zorg)</w:t>
      </w:r>
    </w:p>
    <w:p w:rsidRPr="00B26B17" w:rsidR="00084B40" w:rsidP="00084B40" w:rsidRDefault="00084B40" w14:paraId="66FBBA73" w14:textId="0007EB9B">
      <w:pPr>
        <w:rPr>
          <w:rStyle w:val="normaltextrun"/>
          <w:rFonts w:ascii="Times New Roman" w:hAnsi="Times New Roman" w:eastAsia="Times New Roman" w:cs="Times New Roman"/>
          <w:sz w:val="24"/>
          <w:szCs w:val="24"/>
          <w:lang w:eastAsia="nl-NL"/>
        </w:rPr>
      </w:pPr>
      <w:r w:rsidRPr="00B26B17">
        <w:rPr>
          <w:rStyle w:val="normaltextrun"/>
          <w:rFonts w:ascii="Times New Roman" w:hAnsi="Times New Roman" w:eastAsia="Times New Roman" w:cs="Times New Roman"/>
          <w:sz w:val="24"/>
          <w:szCs w:val="24"/>
          <w:lang w:eastAsia="nl-NL"/>
        </w:rPr>
        <w:t>De leden van de VVD-fractie hebben met instemming kennisgenomen van de wijziging van de Wet forensische zorg (</w:t>
      </w:r>
      <w:proofErr w:type="spellStart"/>
      <w:r w:rsidRPr="00B26B17">
        <w:rPr>
          <w:rStyle w:val="normaltextrun"/>
          <w:rFonts w:ascii="Times New Roman" w:hAnsi="Times New Roman" w:eastAsia="Times New Roman" w:cs="Times New Roman"/>
          <w:sz w:val="24"/>
          <w:szCs w:val="24"/>
          <w:lang w:eastAsia="nl-NL"/>
        </w:rPr>
        <w:t>Wfz</w:t>
      </w:r>
      <w:proofErr w:type="spellEnd"/>
      <w:r w:rsidRPr="00B26B17">
        <w:rPr>
          <w:rStyle w:val="normaltextrun"/>
          <w:rFonts w:ascii="Times New Roman" w:hAnsi="Times New Roman" w:eastAsia="Times New Roman" w:cs="Times New Roman"/>
          <w:sz w:val="24"/>
          <w:szCs w:val="24"/>
          <w:lang w:eastAsia="nl-NL"/>
        </w:rPr>
        <w:t xml:space="preserve">) die ertoe strekt te voorzien in een specifiekere grondslag voor het verwerken van bijzondere persoonsgegevens over gezondheid of persoonsgegevens van strafrechtelijke aard, ten behoeve van het treffen van voorbereidingen voor aansluitende zorg. Deze leden stellen echter dat ook in andere wetten inmiddels is voorzien in een wettelijke grondslag, maar vanuit de praktijk is gebleken dat eveneens de behoefte is te voorzien in een specifiekere grondslag voor het verwerken van persoonsgegevens van strafrechtelijke aard. Het enkel regelen van de specifieke grondslag in de </w:t>
      </w:r>
      <w:proofErr w:type="spellStart"/>
      <w:r w:rsidRPr="00B26B17">
        <w:rPr>
          <w:rStyle w:val="normaltextrun"/>
          <w:rFonts w:ascii="Times New Roman" w:hAnsi="Times New Roman" w:eastAsia="Times New Roman" w:cs="Times New Roman"/>
          <w:sz w:val="24"/>
          <w:szCs w:val="24"/>
          <w:lang w:eastAsia="nl-NL"/>
        </w:rPr>
        <w:t>Wfz</w:t>
      </w:r>
      <w:proofErr w:type="spellEnd"/>
      <w:r w:rsidRPr="00B26B17">
        <w:rPr>
          <w:rStyle w:val="normaltextrun"/>
          <w:rFonts w:ascii="Times New Roman" w:hAnsi="Times New Roman" w:eastAsia="Times New Roman" w:cs="Times New Roman"/>
          <w:sz w:val="24"/>
          <w:szCs w:val="24"/>
          <w:lang w:eastAsia="nl-NL"/>
        </w:rPr>
        <w:t xml:space="preserve"> is dan ook een gemiste kans. Kan de regering toelichten of er bereidheid is om ook andere knelpunten in de gegevensdeling mee te nemen in de verzamelwet? Deze leden denken dan bijvoorbeeld aan de uitvoering van de motie </w:t>
      </w:r>
      <w:r w:rsidRPr="00994665" w:rsidR="00994665">
        <w:rPr>
          <w:rStyle w:val="normaltextrun"/>
          <w:rFonts w:ascii="Times New Roman" w:hAnsi="Times New Roman" w:eastAsia="Times New Roman" w:cs="Times New Roman"/>
          <w:sz w:val="24"/>
          <w:szCs w:val="24"/>
          <w:lang w:eastAsia="nl-NL"/>
        </w:rPr>
        <w:t>van de leden Michon-</w:t>
      </w:r>
      <w:proofErr w:type="spellStart"/>
      <w:r w:rsidRPr="00994665" w:rsidR="00994665">
        <w:rPr>
          <w:rStyle w:val="normaltextrun"/>
          <w:rFonts w:ascii="Times New Roman" w:hAnsi="Times New Roman" w:eastAsia="Times New Roman" w:cs="Times New Roman"/>
          <w:sz w:val="24"/>
          <w:szCs w:val="24"/>
          <w:lang w:eastAsia="nl-NL"/>
        </w:rPr>
        <w:t>Derkzen</w:t>
      </w:r>
      <w:proofErr w:type="spellEnd"/>
      <w:r w:rsidRPr="00994665" w:rsidR="00994665">
        <w:rPr>
          <w:rStyle w:val="normaltextrun"/>
          <w:rFonts w:ascii="Times New Roman" w:hAnsi="Times New Roman" w:eastAsia="Times New Roman" w:cs="Times New Roman"/>
          <w:sz w:val="24"/>
          <w:szCs w:val="24"/>
          <w:lang w:eastAsia="nl-NL"/>
        </w:rPr>
        <w:t xml:space="preserve"> en Peter de Groot over een specifieke wettelijke grondslag voor woningcorporaties voor het verwerken van persoonsgegevens van strafrechtelijke aard</w:t>
      </w:r>
      <w:r w:rsidR="00994665">
        <w:rPr>
          <w:rStyle w:val="normaltextrun"/>
          <w:rFonts w:ascii="Times New Roman" w:hAnsi="Times New Roman" w:eastAsia="Times New Roman" w:cs="Times New Roman"/>
          <w:sz w:val="24"/>
          <w:szCs w:val="24"/>
          <w:lang w:eastAsia="nl-NL"/>
        </w:rPr>
        <w:t xml:space="preserve"> (</w:t>
      </w:r>
      <w:r w:rsidRPr="00B26B17">
        <w:rPr>
          <w:rStyle w:val="normaltextrun"/>
          <w:rFonts w:ascii="Times New Roman" w:hAnsi="Times New Roman" w:eastAsia="Times New Roman" w:cs="Times New Roman"/>
          <w:sz w:val="24"/>
          <w:szCs w:val="24"/>
          <w:lang w:eastAsia="nl-NL"/>
        </w:rPr>
        <w:t>Kamerstuk 29911, nr. 450</w:t>
      </w:r>
      <w:r w:rsidR="00994665">
        <w:rPr>
          <w:rStyle w:val="normaltextrun"/>
          <w:rFonts w:ascii="Times New Roman" w:hAnsi="Times New Roman" w:eastAsia="Times New Roman" w:cs="Times New Roman"/>
          <w:sz w:val="24"/>
          <w:szCs w:val="24"/>
          <w:lang w:eastAsia="nl-NL"/>
        </w:rPr>
        <w:t>)</w:t>
      </w:r>
    </w:p>
    <w:p w:rsidR="0076331A" w:rsidP="00084B40" w:rsidRDefault="00084B40" w14:paraId="70139F00" w14:textId="50E8A05C">
      <w:pPr>
        <w:rPr>
          <w:rStyle w:val="normaltextrun"/>
          <w:rFonts w:ascii="Times New Roman" w:hAnsi="Times New Roman" w:eastAsia="Times New Roman" w:cs="Times New Roman"/>
          <w:sz w:val="24"/>
          <w:szCs w:val="24"/>
          <w:lang w:eastAsia="nl-NL"/>
        </w:rPr>
      </w:pPr>
      <w:r w:rsidRPr="00B26B17">
        <w:rPr>
          <w:rStyle w:val="normaltextrun"/>
          <w:rFonts w:ascii="Times New Roman" w:hAnsi="Times New Roman" w:eastAsia="Times New Roman" w:cs="Times New Roman"/>
          <w:sz w:val="24"/>
          <w:szCs w:val="24"/>
          <w:lang w:eastAsia="nl-NL"/>
        </w:rPr>
        <w:t>De leden van de VVD-fractie stellen voorts dat er in het algemeen ook een grote behoefte is aan betere uitwisseling van relevante persoonsgegevens tussen de opsporing, het gevangeniswezen en</w:t>
      </w:r>
      <w:r w:rsidRPr="00B26B17" w:rsidR="00B26B17">
        <w:rPr>
          <w:rStyle w:val="normaltextrun"/>
          <w:rFonts w:ascii="Times New Roman" w:hAnsi="Times New Roman" w:eastAsia="Times New Roman" w:cs="Times New Roman"/>
          <w:sz w:val="24"/>
          <w:szCs w:val="24"/>
          <w:lang w:eastAsia="nl-NL"/>
        </w:rPr>
        <w:t xml:space="preserve"> terbeschikkingstelling</w:t>
      </w:r>
      <w:r w:rsidRPr="00B26B17">
        <w:rPr>
          <w:rStyle w:val="normaltextrun"/>
          <w:rFonts w:ascii="Times New Roman" w:hAnsi="Times New Roman" w:eastAsia="Times New Roman" w:cs="Times New Roman"/>
          <w:sz w:val="24"/>
          <w:szCs w:val="24"/>
          <w:lang w:eastAsia="nl-NL"/>
        </w:rPr>
        <w:t xml:space="preserve"> </w:t>
      </w:r>
      <w:r w:rsidRPr="00B26B17" w:rsidR="00B26B17">
        <w:rPr>
          <w:rStyle w:val="normaltextrun"/>
          <w:rFonts w:ascii="Times New Roman" w:hAnsi="Times New Roman" w:eastAsia="Times New Roman" w:cs="Times New Roman"/>
          <w:sz w:val="24"/>
          <w:szCs w:val="24"/>
          <w:lang w:eastAsia="nl-NL"/>
        </w:rPr>
        <w:t>(</w:t>
      </w:r>
      <w:r w:rsidRPr="00B26B17">
        <w:rPr>
          <w:rStyle w:val="normaltextrun"/>
          <w:rFonts w:ascii="Times New Roman" w:hAnsi="Times New Roman" w:eastAsia="Times New Roman" w:cs="Times New Roman"/>
          <w:sz w:val="24"/>
          <w:szCs w:val="24"/>
          <w:lang w:eastAsia="nl-NL"/>
        </w:rPr>
        <w:t>tbs</w:t>
      </w:r>
      <w:r w:rsidRPr="00B26B17" w:rsidR="00B26B17">
        <w:rPr>
          <w:rStyle w:val="normaltextrun"/>
          <w:rFonts w:ascii="Times New Roman" w:hAnsi="Times New Roman" w:eastAsia="Times New Roman" w:cs="Times New Roman"/>
          <w:sz w:val="24"/>
          <w:szCs w:val="24"/>
          <w:lang w:eastAsia="nl-NL"/>
        </w:rPr>
        <w:t>)</w:t>
      </w:r>
      <w:r w:rsidRPr="00B26B17">
        <w:rPr>
          <w:rStyle w:val="normaltextrun"/>
          <w:rFonts w:ascii="Times New Roman" w:hAnsi="Times New Roman" w:eastAsia="Times New Roman" w:cs="Times New Roman"/>
          <w:sz w:val="24"/>
          <w:szCs w:val="24"/>
          <w:lang w:eastAsia="nl-NL"/>
        </w:rPr>
        <w:t>. Welke maatregelen is de regering voornemens op dit gebied te treffen en op welke termijn wordt de Kamer hierover nader geïnformeerd?</w:t>
      </w:r>
    </w:p>
    <w:p w:rsidRPr="00FC0195" w:rsidR="007055F3" w:rsidP="007055F3" w:rsidRDefault="007055F3" w14:paraId="681C495F" w14:textId="0B109F2B">
      <w:pPr>
        <w:rPr>
          <w:rStyle w:val="normaltextrun"/>
          <w:rFonts w:ascii="Times New Roman" w:hAnsi="Times New Roman" w:eastAsia="Times New Roman" w:cs="Times New Roman"/>
          <w:sz w:val="24"/>
          <w:szCs w:val="24"/>
          <w:lang w:eastAsia="nl-NL"/>
        </w:rPr>
      </w:pPr>
      <w:r w:rsidRPr="00FC0195">
        <w:rPr>
          <w:rStyle w:val="normaltextrun"/>
          <w:rFonts w:ascii="Times New Roman" w:hAnsi="Times New Roman" w:eastAsia="Times New Roman" w:cs="Times New Roman"/>
          <w:sz w:val="24"/>
          <w:szCs w:val="24"/>
          <w:lang w:eastAsia="nl-NL"/>
        </w:rPr>
        <w:t xml:space="preserve">De leden van de NSC-fractie constateren dat in het wetsvoorstel de </w:t>
      </w:r>
      <w:proofErr w:type="spellStart"/>
      <w:r w:rsidRPr="00FC0195">
        <w:rPr>
          <w:rStyle w:val="normaltextrun"/>
          <w:rFonts w:ascii="Times New Roman" w:hAnsi="Times New Roman" w:eastAsia="Times New Roman" w:cs="Times New Roman"/>
          <w:sz w:val="24"/>
          <w:szCs w:val="24"/>
          <w:lang w:eastAsia="nl-NL"/>
        </w:rPr>
        <w:t>Wfz</w:t>
      </w:r>
      <w:proofErr w:type="spellEnd"/>
      <w:r w:rsidRPr="00FC0195">
        <w:rPr>
          <w:rStyle w:val="normaltextrun"/>
          <w:rFonts w:ascii="Times New Roman" w:hAnsi="Times New Roman" w:eastAsia="Times New Roman" w:cs="Times New Roman"/>
          <w:sz w:val="24"/>
          <w:szCs w:val="24"/>
          <w:lang w:eastAsia="nl-NL"/>
        </w:rPr>
        <w:t xml:space="preserve"> wordt aangepast waardoor het mogelijk wordt dat de zorgaanbieder persoonsgegevens verwerkt, met inbegrip van persoonsgegevens over gezondheid of persoonsgegevens van strafrechtelijke aard, ten behoeve van het treffen van voorbereidingen voor aansluitende zorg. De </w:t>
      </w:r>
      <w:proofErr w:type="spellStart"/>
      <w:r w:rsidRPr="00FC0195">
        <w:rPr>
          <w:rStyle w:val="normaltextrun"/>
          <w:rFonts w:ascii="Times New Roman" w:hAnsi="Times New Roman" w:eastAsia="Times New Roman" w:cs="Times New Roman"/>
          <w:sz w:val="24"/>
          <w:szCs w:val="24"/>
          <w:lang w:eastAsia="nl-NL"/>
        </w:rPr>
        <w:t>Wfz</w:t>
      </w:r>
      <w:proofErr w:type="spellEnd"/>
      <w:r w:rsidRPr="00FC0195">
        <w:rPr>
          <w:rStyle w:val="normaltextrun"/>
          <w:rFonts w:ascii="Times New Roman" w:hAnsi="Times New Roman" w:eastAsia="Times New Roman" w:cs="Times New Roman"/>
          <w:sz w:val="24"/>
          <w:szCs w:val="24"/>
          <w:lang w:eastAsia="nl-NL"/>
        </w:rPr>
        <w:t xml:space="preserve"> verplicht de zorgaanbieder zes weken voor afloop van een justitiële titel voorbereidingen te treffen voor aansluitende zorg, als de zorgverlener of behandelaar van oordeel is dat na afloop van de strafrechtelijke titel verdere zorg nodig is. Als de vervolgzorg vrijwillig is, zal de forensisch patiënt doorgaans zijn toestemming geven voor het verwerken van de hem betreffende persoonsgegevens. Deze toestemming is voor de zorgaanbieder een grondslag voor het verwerken van de persoonsgegevens. Als de vervolgzorg echter verplicht is, zal doorgaans geen sprake zijn van de toestemming van de forensisch patiënt. Het voorgestelde artikel regelt dat de zorgaanbieder persoonsgegevens verwerkt, met inbegrip van (bijzondere) persoonsgegevens over gezondheid of persoonsgegevens van strafrechtelijke aard, ten behoeve van het treffen van voorbereidingen voor aansluitende zorg.</w:t>
      </w:r>
    </w:p>
    <w:p w:rsidRPr="00142A11" w:rsidR="0076331A" w:rsidP="0076331A" w:rsidRDefault="007055F3" w14:paraId="7642BA1E" w14:textId="77824C3C">
      <w:pPr>
        <w:rPr>
          <w:rStyle w:val="normaltextrun"/>
          <w:rFonts w:ascii="Times New Roman" w:hAnsi="Times New Roman" w:eastAsia="Times New Roman" w:cs="Times New Roman"/>
          <w:sz w:val="24"/>
          <w:szCs w:val="24"/>
          <w:lang w:eastAsia="nl-NL"/>
        </w:rPr>
      </w:pPr>
      <w:r w:rsidRPr="00FC0195">
        <w:rPr>
          <w:rStyle w:val="normaltextrun"/>
          <w:rFonts w:ascii="Times New Roman" w:hAnsi="Times New Roman" w:eastAsia="Times New Roman" w:cs="Times New Roman"/>
          <w:sz w:val="24"/>
          <w:szCs w:val="24"/>
          <w:lang w:eastAsia="nl-NL"/>
        </w:rPr>
        <w:lastRenderedPageBreak/>
        <w:t>De leden</w:t>
      </w:r>
      <w:r w:rsidRPr="00FC0195" w:rsidR="00F25C1F">
        <w:rPr>
          <w:rStyle w:val="normaltextrun"/>
          <w:rFonts w:ascii="Times New Roman" w:hAnsi="Times New Roman" w:eastAsia="Times New Roman" w:cs="Times New Roman"/>
          <w:sz w:val="24"/>
          <w:szCs w:val="24"/>
          <w:lang w:eastAsia="nl-NL"/>
        </w:rPr>
        <w:t xml:space="preserve"> van de NSC-fractie</w:t>
      </w:r>
      <w:r w:rsidRPr="00FC0195">
        <w:rPr>
          <w:rStyle w:val="normaltextrun"/>
          <w:rFonts w:ascii="Times New Roman" w:hAnsi="Times New Roman" w:eastAsia="Times New Roman" w:cs="Times New Roman"/>
          <w:sz w:val="24"/>
          <w:szCs w:val="24"/>
          <w:lang w:eastAsia="nl-NL"/>
        </w:rPr>
        <w:t xml:space="preserve"> merken op dat de wijziging de verwerking van persoonsgegevens raakt en dat de Afdeling heeft geadviseerd dit onderwerp niet te regelen in het voorliggende wetsvoorstel, omdat het een verdergaande, meer dan </w:t>
      </w:r>
      <w:r w:rsidR="00140693">
        <w:rPr>
          <w:rStyle w:val="normaltextrun"/>
          <w:rFonts w:ascii="Times New Roman" w:hAnsi="Times New Roman" w:eastAsia="Times New Roman" w:cs="Times New Roman"/>
          <w:sz w:val="24"/>
          <w:szCs w:val="24"/>
          <w:lang w:eastAsia="nl-NL"/>
        </w:rPr>
        <w:t>‘</w:t>
      </w:r>
      <w:r w:rsidRPr="00FC0195">
        <w:rPr>
          <w:rStyle w:val="normaltextrun"/>
          <w:rFonts w:ascii="Times New Roman" w:hAnsi="Times New Roman" w:eastAsia="Times New Roman" w:cs="Times New Roman"/>
          <w:sz w:val="24"/>
          <w:szCs w:val="24"/>
          <w:lang w:eastAsia="nl-NL"/>
        </w:rPr>
        <w:t>beperkte</w:t>
      </w:r>
      <w:r w:rsidR="00140693">
        <w:rPr>
          <w:rStyle w:val="normaltextrun"/>
          <w:rFonts w:ascii="Times New Roman" w:hAnsi="Times New Roman" w:eastAsia="Times New Roman" w:cs="Times New Roman"/>
          <w:sz w:val="24"/>
          <w:szCs w:val="24"/>
          <w:lang w:eastAsia="nl-NL"/>
        </w:rPr>
        <w:t>’</w:t>
      </w:r>
      <w:r w:rsidRPr="00FC0195">
        <w:rPr>
          <w:rStyle w:val="normaltextrun"/>
          <w:rFonts w:ascii="Times New Roman" w:hAnsi="Times New Roman" w:eastAsia="Times New Roman" w:cs="Times New Roman"/>
          <w:sz w:val="24"/>
          <w:szCs w:val="24"/>
          <w:lang w:eastAsia="nl-NL"/>
        </w:rPr>
        <w:t xml:space="preserve"> inhoudelijke afweging van de wetgever vereist en daarom niet past bij het karakter van een verzamelwet. </w:t>
      </w:r>
      <w:r w:rsidRPr="00FC0195" w:rsidR="00FC0195">
        <w:rPr>
          <w:rStyle w:val="normaltextrun"/>
          <w:rFonts w:ascii="Times New Roman" w:hAnsi="Times New Roman" w:eastAsia="Times New Roman" w:cs="Times New Roman"/>
          <w:sz w:val="24"/>
          <w:szCs w:val="24"/>
          <w:lang w:eastAsia="nl-NL"/>
        </w:rPr>
        <w:t>De Afdeling</w:t>
      </w:r>
      <w:r w:rsidRPr="00FC0195">
        <w:rPr>
          <w:rStyle w:val="normaltextrun"/>
          <w:rFonts w:ascii="Times New Roman" w:hAnsi="Times New Roman" w:eastAsia="Times New Roman" w:cs="Times New Roman"/>
          <w:sz w:val="24"/>
          <w:szCs w:val="24"/>
          <w:lang w:eastAsia="nl-NL"/>
        </w:rPr>
        <w:t xml:space="preserve"> geeft aan dat de verwerking van (bijzondere) persoonsgegevens een inmenging is op de persoonlijke levenssfeer (artikel 10 Grondwet) en dat zo’n inmenging een dragende motivering en een nadere afweging vereis</w:t>
      </w:r>
      <w:r w:rsidRPr="00FC0195" w:rsidR="00FC0195">
        <w:rPr>
          <w:rStyle w:val="normaltextrun"/>
          <w:rFonts w:ascii="Times New Roman" w:hAnsi="Times New Roman" w:eastAsia="Times New Roman" w:cs="Times New Roman"/>
          <w:sz w:val="24"/>
          <w:szCs w:val="24"/>
          <w:lang w:eastAsia="nl-NL"/>
        </w:rPr>
        <w:t>t</w:t>
      </w:r>
      <w:r w:rsidRPr="00FC0195">
        <w:rPr>
          <w:rStyle w:val="normaltextrun"/>
          <w:rFonts w:ascii="Times New Roman" w:hAnsi="Times New Roman" w:eastAsia="Times New Roman" w:cs="Times New Roman"/>
          <w:sz w:val="24"/>
          <w:szCs w:val="24"/>
          <w:lang w:eastAsia="nl-NL"/>
        </w:rPr>
        <w:t xml:space="preserve"> die zich niet verhoud</w:t>
      </w:r>
      <w:r w:rsidRPr="00FC0195" w:rsidR="00FC0195">
        <w:rPr>
          <w:rStyle w:val="normaltextrun"/>
          <w:rFonts w:ascii="Times New Roman" w:hAnsi="Times New Roman" w:eastAsia="Times New Roman" w:cs="Times New Roman"/>
          <w:sz w:val="24"/>
          <w:szCs w:val="24"/>
          <w:lang w:eastAsia="nl-NL"/>
        </w:rPr>
        <w:t>t</w:t>
      </w:r>
      <w:r w:rsidRPr="00FC0195">
        <w:rPr>
          <w:rStyle w:val="normaltextrun"/>
          <w:rFonts w:ascii="Times New Roman" w:hAnsi="Times New Roman" w:eastAsia="Times New Roman" w:cs="Times New Roman"/>
          <w:sz w:val="24"/>
          <w:szCs w:val="24"/>
          <w:lang w:eastAsia="nl-NL"/>
        </w:rPr>
        <w:t xml:space="preserve"> tot het karakter van een verzamelwet. Omdat verwerking van persoonsgegevens betreffende gezondheid of van strafrechtelijke aard in beginsel verboden is (tenzij wettelijke uitzondering), moet volgens de </w:t>
      </w:r>
      <w:r w:rsidRPr="00FC0195" w:rsidR="00FC0195">
        <w:rPr>
          <w:rStyle w:val="normaltextrun"/>
          <w:rFonts w:ascii="Times New Roman" w:hAnsi="Times New Roman" w:eastAsia="Times New Roman" w:cs="Times New Roman"/>
          <w:sz w:val="24"/>
          <w:szCs w:val="24"/>
          <w:lang w:eastAsia="nl-NL"/>
        </w:rPr>
        <w:t>Afdeling</w:t>
      </w:r>
      <w:r w:rsidRPr="00FC0195">
        <w:rPr>
          <w:rStyle w:val="normaltextrun"/>
          <w:rFonts w:ascii="Times New Roman" w:hAnsi="Times New Roman" w:eastAsia="Times New Roman" w:cs="Times New Roman"/>
          <w:sz w:val="24"/>
          <w:szCs w:val="24"/>
          <w:lang w:eastAsia="nl-NL"/>
        </w:rPr>
        <w:t xml:space="preserve"> duidelijk worden gemaakt wat de precieze grondslag is voor de verwerking van de persoonsgegevens en om welke wettelijke uitzonderingen het gaat, zodat duidelijk is welke rechtvaardiging er is voor de verwerking. Ook moet duidelijk worden gemaakt welke waarborgen er </w:t>
      </w:r>
      <w:r w:rsidRPr="00FC0195" w:rsidR="00FC0195">
        <w:rPr>
          <w:rStyle w:val="normaltextrun"/>
          <w:rFonts w:ascii="Times New Roman" w:hAnsi="Times New Roman" w:eastAsia="Times New Roman" w:cs="Times New Roman"/>
          <w:sz w:val="24"/>
          <w:szCs w:val="24"/>
          <w:lang w:eastAsia="nl-NL"/>
        </w:rPr>
        <w:t>zijn</w:t>
      </w:r>
      <w:r w:rsidRPr="00FC0195">
        <w:rPr>
          <w:rStyle w:val="normaltextrun"/>
          <w:rFonts w:ascii="Times New Roman" w:hAnsi="Times New Roman" w:eastAsia="Times New Roman" w:cs="Times New Roman"/>
          <w:sz w:val="24"/>
          <w:szCs w:val="24"/>
          <w:lang w:eastAsia="nl-NL"/>
        </w:rPr>
        <w:t xml:space="preserve"> bij strafrechtelijke gegevens en bij bijzondere persoonsgegevens om de positie van betrokkenen te beschermen. Deze leden lezen dat de regering in het </w:t>
      </w:r>
      <w:r w:rsidRPr="00FC0195" w:rsidR="00FC0195">
        <w:rPr>
          <w:rStyle w:val="normaltextrun"/>
          <w:rFonts w:ascii="Times New Roman" w:hAnsi="Times New Roman" w:eastAsia="Times New Roman" w:cs="Times New Roman"/>
          <w:sz w:val="24"/>
          <w:szCs w:val="24"/>
          <w:lang w:eastAsia="nl-NL"/>
        </w:rPr>
        <w:t>n</w:t>
      </w:r>
      <w:r w:rsidRPr="00FC0195">
        <w:rPr>
          <w:rStyle w:val="normaltextrun"/>
          <w:rFonts w:ascii="Times New Roman" w:hAnsi="Times New Roman" w:eastAsia="Times New Roman" w:cs="Times New Roman"/>
          <w:sz w:val="24"/>
          <w:szCs w:val="24"/>
          <w:lang w:eastAsia="nl-NL"/>
        </w:rPr>
        <w:t xml:space="preserve">ader </w:t>
      </w:r>
      <w:r w:rsidRPr="00FC0195" w:rsidR="00FC0195">
        <w:rPr>
          <w:rStyle w:val="normaltextrun"/>
          <w:rFonts w:ascii="Times New Roman" w:hAnsi="Times New Roman" w:eastAsia="Times New Roman" w:cs="Times New Roman"/>
          <w:sz w:val="24"/>
          <w:szCs w:val="24"/>
          <w:lang w:eastAsia="nl-NL"/>
        </w:rPr>
        <w:t>r</w:t>
      </w:r>
      <w:r w:rsidRPr="00FC0195">
        <w:rPr>
          <w:rStyle w:val="normaltextrun"/>
          <w:rFonts w:ascii="Times New Roman" w:hAnsi="Times New Roman" w:eastAsia="Times New Roman" w:cs="Times New Roman"/>
          <w:sz w:val="24"/>
          <w:szCs w:val="24"/>
          <w:lang w:eastAsia="nl-NL"/>
        </w:rPr>
        <w:t>apport heeft aangegeven dat het voorgestelde artikel strekt tot het expliciteren van een reeds bestaande grondslag (art</w:t>
      </w:r>
      <w:r w:rsidRPr="00FC0195" w:rsidR="00FC0195">
        <w:rPr>
          <w:rStyle w:val="normaltextrun"/>
          <w:rFonts w:ascii="Times New Roman" w:hAnsi="Times New Roman" w:eastAsia="Times New Roman" w:cs="Times New Roman"/>
          <w:sz w:val="24"/>
          <w:szCs w:val="24"/>
          <w:lang w:eastAsia="nl-NL"/>
        </w:rPr>
        <w:t>ikel</w:t>
      </w:r>
      <w:r w:rsidRPr="00FC0195">
        <w:rPr>
          <w:rStyle w:val="normaltextrun"/>
          <w:rFonts w:ascii="Times New Roman" w:hAnsi="Times New Roman" w:eastAsia="Times New Roman" w:cs="Times New Roman"/>
          <w:sz w:val="24"/>
          <w:szCs w:val="24"/>
          <w:lang w:eastAsia="nl-NL"/>
        </w:rPr>
        <w:t xml:space="preserve"> 2.6 </w:t>
      </w:r>
      <w:proofErr w:type="spellStart"/>
      <w:r w:rsidRPr="00FC0195">
        <w:rPr>
          <w:rStyle w:val="normaltextrun"/>
          <w:rFonts w:ascii="Times New Roman" w:hAnsi="Times New Roman" w:eastAsia="Times New Roman" w:cs="Times New Roman"/>
          <w:sz w:val="24"/>
          <w:szCs w:val="24"/>
          <w:lang w:eastAsia="nl-NL"/>
        </w:rPr>
        <w:t>Wfz</w:t>
      </w:r>
      <w:proofErr w:type="spellEnd"/>
      <w:r w:rsidRPr="00FC0195">
        <w:rPr>
          <w:rStyle w:val="normaltextrun"/>
          <w:rFonts w:ascii="Times New Roman" w:hAnsi="Times New Roman" w:eastAsia="Times New Roman" w:cs="Times New Roman"/>
          <w:sz w:val="24"/>
          <w:szCs w:val="24"/>
          <w:lang w:eastAsia="nl-NL"/>
        </w:rPr>
        <w:t>) voor de verwerking van (bijzondere) persoonsgegevens en dat de wijziging daarom past binnen het karakter van een verzamelwet. Valt de situatie waarvoor de wijziging wordt voorgesteld, namelijk de situatie waarin voorbereidingen moeten worden getroffen voor aansluitende zorg, onder die bestaande grondslag? Indien dat het geval is</w:t>
      </w:r>
      <w:r w:rsidRPr="00FC0195" w:rsidR="00FC0195">
        <w:rPr>
          <w:rStyle w:val="normaltextrun"/>
          <w:rFonts w:ascii="Times New Roman" w:hAnsi="Times New Roman" w:eastAsia="Times New Roman" w:cs="Times New Roman"/>
          <w:sz w:val="24"/>
          <w:szCs w:val="24"/>
          <w:lang w:eastAsia="nl-NL"/>
        </w:rPr>
        <w:t>,</w:t>
      </w:r>
      <w:r w:rsidRPr="00FC0195">
        <w:rPr>
          <w:rStyle w:val="normaltextrun"/>
          <w:rFonts w:ascii="Times New Roman" w:hAnsi="Times New Roman" w:eastAsia="Times New Roman" w:cs="Times New Roman"/>
          <w:sz w:val="24"/>
          <w:szCs w:val="24"/>
          <w:lang w:eastAsia="nl-NL"/>
        </w:rPr>
        <w:t xml:space="preserve"> kan de regering toelichten of met de bestaande grondslag in combinatie met de voorgestelde explicitering is voldaan aan de voorwaarden die de </w:t>
      </w:r>
      <w:r w:rsidRPr="00FC0195" w:rsidR="00FC0195">
        <w:rPr>
          <w:rStyle w:val="normaltextrun"/>
          <w:rFonts w:ascii="Times New Roman" w:hAnsi="Times New Roman" w:eastAsia="Times New Roman" w:cs="Times New Roman"/>
          <w:sz w:val="24"/>
          <w:szCs w:val="24"/>
          <w:lang w:eastAsia="nl-NL"/>
        </w:rPr>
        <w:t>Afdeling</w:t>
      </w:r>
      <w:r w:rsidRPr="00FC0195">
        <w:rPr>
          <w:rStyle w:val="normaltextrun"/>
          <w:rFonts w:ascii="Times New Roman" w:hAnsi="Times New Roman" w:eastAsia="Times New Roman" w:cs="Times New Roman"/>
          <w:sz w:val="24"/>
          <w:szCs w:val="24"/>
          <w:lang w:eastAsia="nl-NL"/>
        </w:rPr>
        <w:t xml:space="preserve"> in het advies noemt, namelijk een dragende motivering en een nadere afweging, een duidelijk onderbouwde rechtvaardiging en duidelijk gemaakte waarborgen? Kan de regering dat onderbouwen?</w:t>
      </w:r>
      <w:r w:rsidRPr="00FC0195" w:rsidR="00FC0195">
        <w:rPr>
          <w:rStyle w:val="normaltextrun"/>
          <w:rFonts w:ascii="Times New Roman" w:hAnsi="Times New Roman" w:eastAsia="Times New Roman" w:cs="Times New Roman"/>
          <w:sz w:val="24"/>
          <w:szCs w:val="24"/>
          <w:lang w:eastAsia="nl-NL"/>
        </w:rPr>
        <w:br/>
      </w:r>
    </w:p>
    <w:p w:rsidRPr="0076331A" w:rsidR="0076331A" w:rsidP="0076331A" w:rsidRDefault="0076331A" w14:paraId="78EB1AEA" w14:textId="4627EEB0">
      <w:pPr>
        <w:rPr>
          <w:rStyle w:val="normaltextrun"/>
          <w:rFonts w:ascii="Times New Roman" w:hAnsi="Times New Roman" w:eastAsia="Times New Roman" w:cs="Times New Roman"/>
          <w:b/>
          <w:bCs/>
          <w:sz w:val="24"/>
          <w:szCs w:val="24"/>
          <w:lang w:eastAsia="nl-NL"/>
        </w:rPr>
      </w:pPr>
      <w:r w:rsidRPr="0076331A">
        <w:rPr>
          <w:rStyle w:val="normaltextrun"/>
          <w:rFonts w:ascii="Times New Roman" w:hAnsi="Times New Roman" w:eastAsia="Times New Roman" w:cs="Times New Roman"/>
          <w:b/>
          <w:bCs/>
          <w:sz w:val="24"/>
          <w:szCs w:val="24"/>
          <w:lang w:eastAsia="nl-NL"/>
        </w:rPr>
        <w:t>ARTIKEL XXIX (wijziging van de Wet griffierechten burgerlijke zaken</w:t>
      </w:r>
      <w:r w:rsidR="00DF0CB6">
        <w:rPr>
          <w:rStyle w:val="normaltextrun"/>
          <w:rFonts w:ascii="Times New Roman" w:hAnsi="Times New Roman" w:eastAsia="Times New Roman" w:cs="Times New Roman"/>
          <w:b/>
          <w:bCs/>
          <w:sz w:val="24"/>
          <w:szCs w:val="24"/>
          <w:lang w:eastAsia="nl-NL"/>
        </w:rPr>
        <w:t xml:space="preserve"> (</w:t>
      </w:r>
      <w:proofErr w:type="spellStart"/>
      <w:r w:rsidR="00DF0CB6">
        <w:rPr>
          <w:rStyle w:val="normaltextrun"/>
          <w:rFonts w:ascii="Times New Roman" w:hAnsi="Times New Roman" w:eastAsia="Times New Roman" w:cs="Times New Roman"/>
          <w:b/>
          <w:bCs/>
          <w:sz w:val="24"/>
          <w:szCs w:val="24"/>
          <w:lang w:eastAsia="nl-NL"/>
        </w:rPr>
        <w:t>Wgbz</w:t>
      </w:r>
      <w:proofErr w:type="spellEnd"/>
      <w:r w:rsidR="00DF0CB6">
        <w:rPr>
          <w:rStyle w:val="normaltextrun"/>
          <w:rFonts w:ascii="Times New Roman" w:hAnsi="Times New Roman" w:eastAsia="Times New Roman" w:cs="Times New Roman"/>
          <w:b/>
          <w:bCs/>
          <w:sz w:val="24"/>
          <w:szCs w:val="24"/>
          <w:lang w:eastAsia="nl-NL"/>
        </w:rPr>
        <w:t>)</w:t>
      </w:r>
      <w:r w:rsidRPr="0076331A">
        <w:rPr>
          <w:rStyle w:val="normaltextrun"/>
          <w:rFonts w:ascii="Times New Roman" w:hAnsi="Times New Roman" w:eastAsia="Times New Roman" w:cs="Times New Roman"/>
          <w:b/>
          <w:bCs/>
          <w:sz w:val="24"/>
          <w:szCs w:val="24"/>
          <w:lang w:eastAsia="nl-NL"/>
        </w:rPr>
        <w:t>)</w:t>
      </w:r>
    </w:p>
    <w:p w:rsidR="0076331A" w:rsidP="0076331A" w:rsidRDefault="00B26B17" w14:paraId="6E747353" w14:textId="32D2C2A0">
      <w:pPr>
        <w:rPr>
          <w:rStyle w:val="normaltextrun"/>
          <w:rFonts w:ascii="Times New Roman" w:hAnsi="Times New Roman" w:eastAsia="Times New Roman" w:cs="Times New Roman"/>
          <w:sz w:val="24"/>
          <w:szCs w:val="24"/>
          <w:lang w:eastAsia="nl-NL"/>
        </w:rPr>
      </w:pPr>
      <w:r w:rsidRPr="007055F3">
        <w:rPr>
          <w:rStyle w:val="normaltextrun"/>
          <w:rFonts w:ascii="Times New Roman" w:hAnsi="Times New Roman" w:eastAsia="Times New Roman" w:cs="Times New Roman"/>
          <w:sz w:val="24"/>
          <w:szCs w:val="24"/>
          <w:lang w:eastAsia="nl-NL"/>
        </w:rPr>
        <w:t>De leden van de VVD-fractie lezen dat voor verzoeken tot afwijzing van een homologatieverzoek op dit moment de hoogte van het griffierecht wordt bepaald aan de hand van de waarde van de vordering of het aandelenbelang van de schuldeiser of aandeelhouder die zich tegen de homologatie van het akkoord verzet. Op basis van welke wettelijke grondslag gebeurt dat op dit moment? En om hoeveel verzoeken gaat het per jaar sinds de inwerkingtreding van de</w:t>
      </w:r>
      <w:r w:rsidRPr="007055F3">
        <w:t xml:space="preserve"> </w:t>
      </w:r>
      <w:r w:rsidRPr="007055F3">
        <w:rPr>
          <w:rStyle w:val="normaltextrun"/>
          <w:rFonts w:ascii="Times New Roman" w:hAnsi="Times New Roman" w:eastAsia="Times New Roman" w:cs="Times New Roman"/>
          <w:sz w:val="24"/>
          <w:szCs w:val="24"/>
          <w:lang w:eastAsia="nl-NL"/>
        </w:rPr>
        <w:t>Wet homologatie onderhands akkoord (</w:t>
      </w:r>
      <w:proofErr w:type="spellStart"/>
      <w:r w:rsidRPr="007055F3">
        <w:rPr>
          <w:rStyle w:val="normaltextrun"/>
          <w:rFonts w:ascii="Times New Roman" w:hAnsi="Times New Roman" w:eastAsia="Times New Roman" w:cs="Times New Roman"/>
          <w:sz w:val="24"/>
          <w:szCs w:val="24"/>
          <w:lang w:eastAsia="nl-NL"/>
        </w:rPr>
        <w:t>Whoa</w:t>
      </w:r>
      <w:proofErr w:type="spellEnd"/>
      <w:r w:rsidRPr="007055F3">
        <w:rPr>
          <w:rStyle w:val="normaltextrun"/>
          <w:rFonts w:ascii="Times New Roman" w:hAnsi="Times New Roman" w:eastAsia="Times New Roman" w:cs="Times New Roman"/>
          <w:sz w:val="24"/>
          <w:szCs w:val="24"/>
          <w:lang w:eastAsia="nl-NL"/>
        </w:rPr>
        <w:t xml:space="preserve">)? </w:t>
      </w:r>
    </w:p>
    <w:p w:rsidRPr="00DF0CB6" w:rsidR="00666DE3" w:rsidP="00666DE3" w:rsidRDefault="00666DE3" w14:paraId="731ECA32" w14:textId="278ED653">
      <w:pPr>
        <w:rPr>
          <w:rStyle w:val="normaltextrun"/>
          <w:rFonts w:ascii="Times New Roman" w:hAnsi="Times New Roman" w:eastAsia="Times New Roman" w:cs="Times New Roman"/>
          <w:sz w:val="24"/>
          <w:szCs w:val="24"/>
          <w:lang w:eastAsia="nl-NL"/>
        </w:rPr>
      </w:pPr>
      <w:r w:rsidRPr="00DF0CB6">
        <w:rPr>
          <w:rStyle w:val="normaltextrun"/>
          <w:rFonts w:ascii="Times New Roman" w:hAnsi="Times New Roman" w:eastAsia="Times New Roman" w:cs="Times New Roman"/>
          <w:sz w:val="24"/>
          <w:szCs w:val="24"/>
          <w:lang w:eastAsia="nl-NL"/>
        </w:rPr>
        <w:t xml:space="preserve">De leden van de SP-fractie zien dat op onderdeel D, de regering ervoor kiest de </w:t>
      </w:r>
      <w:r w:rsidRPr="00DF0CB6" w:rsidR="00436E45">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 xml:space="preserve">riffierechten te verlagen in zaken buiten faillissement </w:t>
      </w:r>
      <w:r w:rsidRPr="00DF0CB6" w:rsidR="00436E45">
        <w:rPr>
          <w:rStyle w:val="normaltextrun"/>
          <w:rFonts w:ascii="Times New Roman" w:hAnsi="Times New Roman" w:eastAsia="Times New Roman" w:cs="Times New Roman"/>
          <w:sz w:val="24"/>
          <w:szCs w:val="24"/>
          <w:lang w:eastAsia="nl-NL"/>
        </w:rPr>
        <w:t>zoals bedoeld in de</w:t>
      </w:r>
      <w:r w:rsidRPr="00DF0CB6">
        <w:rPr>
          <w:rStyle w:val="normaltextrun"/>
          <w:rFonts w:ascii="Times New Roman" w:hAnsi="Times New Roman" w:eastAsia="Times New Roman" w:cs="Times New Roman"/>
          <w:sz w:val="24"/>
          <w:szCs w:val="24"/>
          <w:lang w:eastAsia="nl-NL"/>
        </w:rPr>
        <w:t xml:space="preserve"> </w:t>
      </w:r>
      <w:r w:rsidRPr="00DF0CB6" w:rsidR="00436E45">
        <w:rPr>
          <w:rStyle w:val="normaltextrun"/>
          <w:rFonts w:ascii="Times New Roman" w:hAnsi="Times New Roman" w:eastAsia="Times New Roman" w:cs="Times New Roman"/>
          <w:sz w:val="24"/>
          <w:szCs w:val="24"/>
          <w:lang w:eastAsia="nl-NL"/>
        </w:rPr>
        <w:t>F</w:t>
      </w:r>
      <w:r w:rsidRPr="00DF0CB6">
        <w:rPr>
          <w:rStyle w:val="normaltextrun"/>
          <w:rFonts w:ascii="Times New Roman" w:hAnsi="Times New Roman" w:eastAsia="Times New Roman" w:cs="Times New Roman"/>
          <w:sz w:val="24"/>
          <w:szCs w:val="24"/>
          <w:lang w:eastAsia="nl-NL"/>
        </w:rPr>
        <w:t>aillissementswet</w:t>
      </w:r>
      <w:r w:rsidR="00CA6423">
        <w:rPr>
          <w:rStyle w:val="normaltextrun"/>
          <w:rFonts w:ascii="Times New Roman" w:hAnsi="Times New Roman" w:eastAsia="Times New Roman" w:cs="Times New Roman"/>
          <w:sz w:val="24"/>
          <w:szCs w:val="24"/>
          <w:lang w:eastAsia="nl-NL"/>
        </w:rPr>
        <w:t xml:space="preserve"> m</w:t>
      </w:r>
      <w:r w:rsidRPr="00DF0CB6">
        <w:rPr>
          <w:rStyle w:val="normaltextrun"/>
          <w:rFonts w:ascii="Times New Roman" w:hAnsi="Times New Roman" w:eastAsia="Times New Roman" w:cs="Times New Roman"/>
          <w:sz w:val="24"/>
          <w:szCs w:val="24"/>
          <w:lang w:eastAsia="nl-NL"/>
        </w:rPr>
        <w:t xml:space="preserve">et als reden dat te hoge </w:t>
      </w:r>
      <w:r w:rsidRPr="00DF0CB6" w:rsidR="00DF0CB6">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riffierechten belemmerend werken voor bedrijven en schuldeisers als zij een procedureverzoek bij de rechtbank doen. De</w:t>
      </w:r>
      <w:r w:rsidRPr="00DF0CB6" w:rsidR="00DF0CB6">
        <w:rPr>
          <w:rStyle w:val="normaltextrun"/>
          <w:rFonts w:ascii="Times New Roman" w:hAnsi="Times New Roman" w:eastAsia="Times New Roman" w:cs="Times New Roman"/>
          <w:sz w:val="24"/>
          <w:szCs w:val="24"/>
          <w:lang w:eastAsia="nl-NL"/>
        </w:rPr>
        <w:t>ze</w:t>
      </w:r>
      <w:r w:rsidRPr="00DF0CB6">
        <w:rPr>
          <w:rStyle w:val="normaltextrun"/>
          <w:rFonts w:ascii="Times New Roman" w:hAnsi="Times New Roman" w:eastAsia="Times New Roman" w:cs="Times New Roman"/>
          <w:sz w:val="24"/>
          <w:szCs w:val="24"/>
          <w:lang w:eastAsia="nl-NL"/>
        </w:rPr>
        <w:t xml:space="preserve"> leden begrijpen deze redenering maar zien tegelijkertijd dat deze werkelijkheid des te meer geldt voor burgers die procedures starten. Dat laat de</w:t>
      </w:r>
      <w:r w:rsidRPr="00DF0CB6" w:rsidR="00DF0CB6">
        <w:rPr>
          <w:rStyle w:val="normaltextrun"/>
          <w:rFonts w:ascii="Times New Roman" w:hAnsi="Times New Roman" w:eastAsia="Times New Roman" w:cs="Times New Roman"/>
          <w:sz w:val="24"/>
          <w:szCs w:val="24"/>
          <w:lang w:eastAsia="nl-NL"/>
        </w:rPr>
        <w:t>ze</w:t>
      </w:r>
      <w:r w:rsidRPr="00DF0CB6">
        <w:rPr>
          <w:rStyle w:val="normaltextrun"/>
          <w:rFonts w:ascii="Times New Roman" w:hAnsi="Times New Roman" w:eastAsia="Times New Roman" w:cs="Times New Roman"/>
          <w:sz w:val="24"/>
          <w:szCs w:val="24"/>
          <w:lang w:eastAsia="nl-NL"/>
        </w:rPr>
        <w:t xml:space="preserve"> leden achter met de vraag waarom dit nu enkel op dit terrein gebeurt. </w:t>
      </w:r>
      <w:r w:rsidR="00CA6423">
        <w:rPr>
          <w:rStyle w:val="normaltextrun"/>
          <w:rFonts w:ascii="Times New Roman" w:hAnsi="Times New Roman" w:eastAsia="Times New Roman" w:cs="Times New Roman"/>
          <w:sz w:val="24"/>
          <w:szCs w:val="24"/>
          <w:lang w:eastAsia="nl-NL"/>
        </w:rPr>
        <w:t>Deelt</w:t>
      </w:r>
      <w:r w:rsidRPr="00DF0CB6">
        <w:rPr>
          <w:rStyle w:val="normaltextrun"/>
          <w:rFonts w:ascii="Times New Roman" w:hAnsi="Times New Roman" w:eastAsia="Times New Roman" w:cs="Times New Roman"/>
          <w:sz w:val="24"/>
          <w:szCs w:val="24"/>
          <w:lang w:eastAsia="nl-NL"/>
        </w:rPr>
        <w:t xml:space="preserve"> de </w:t>
      </w:r>
      <w:r w:rsidRPr="00DF0CB6" w:rsidR="00DF0CB6">
        <w:rPr>
          <w:rStyle w:val="normaltextrun"/>
          <w:rFonts w:ascii="Times New Roman" w:hAnsi="Times New Roman" w:eastAsia="Times New Roman" w:cs="Times New Roman"/>
          <w:sz w:val="24"/>
          <w:szCs w:val="24"/>
          <w:lang w:eastAsia="nl-NL"/>
        </w:rPr>
        <w:t xml:space="preserve">regering </w:t>
      </w:r>
      <w:r w:rsidR="00CA6423">
        <w:rPr>
          <w:rStyle w:val="normaltextrun"/>
          <w:rFonts w:ascii="Times New Roman" w:hAnsi="Times New Roman" w:eastAsia="Times New Roman" w:cs="Times New Roman"/>
          <w:sz w:val="24"/>
          <w:szCs w:val="24"/>
          <w:lang w:eastAsia="nl-NL"/>
        </w:rPr>
        <w:t>de mening</w:t>
      </w:r>
      <w:r w:rsidRPr="00DF0CB6">
        <w:rPr>
          <w:rStyle w:val="normaltextrun"/>
          <w:rFonts w:ascii="Times New Roman" w:hAnsi="Times New Roman" w:eastAsia="Times New Roman" w:cs="Times New Roman"/>
          <w:sz w:val="24"/>
          <w:szCs w:val="24"/>
          <w:lang w:eastAsia="nl-NL"/>
        </w:rPr>
        <w:t xml:space="preserve"> dat te hoge </w:t>
      </w:r>
      <w:r w:rsidRPr="00DF0CB6" w:rsidR="00DF0CB6">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riffierechten voor eenieder een belemmerende werking he</w:t>
      </w:r>
      <w:r w:rsidRPr="00DF0CB6" w:rsidR="00DF0CB6">
        <w:rPr>
          <w:rStyle w:val="normaltextrun"/>
          <w:rFonts w:ascii="Times New Roman" w:hAnsi="Times New Roman" w:eastAsia="Times New Roman" w:cs="Times New Roman"/>
          <w:sz w:val="24"/>
          <w:szCs w:val="24"/>
          <w:lang w:eastAsia="nl-NL"/>
        </w:rPr>
        <w:t>bben en w</w:t>
      </w:r>
      <w:r w:rsidRPr="00DF0CB6">
        <w:rPr>
          <w:rStyle w:val="normaltextrun"/>
          <w:rFonts w:ascii="Times New Roman" w:hAnsi="Times New Roman" w:eastAsia="Times New Roman" w:cs="Times New Roman"/>
          <w:sz w:val="24"/>
          <w:szCs w:val="24"/>
          <w:lang w:eastAsia="nl-NL"/>
        </w:rPr>
        <w:t xml:space="preserve">ellicht nog meer bij burgers die in algemene zin minder vermogend zijn dan schuldeisers en bedrijven? Komt er op termijn nog een wetsvoorstel naar de Kamer voor de verlaging van de </w:t>
      </w:r>
      <w:r w:rsidRPr="00DF0CB6" w:rsidR="00DF0CB6">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riffierechten op verschillende rechtsgebieden?</w:t>
      </w:r>
    </w:p>
    <w:p w:rsidRPr="00142A11" w:rsidR="0076331A" w:rsidP="0076331A" w:rsidRDefault="00666DE3" w14:paraId="3651C8B0" w14:textId="56452A2E">
      <w:pPr>
        <w:rPr>
          <w:rStyle w:val="normaltextrun"/>
          <w:rFonts w:ascii="Times New Roman" w:hAnsi="Times New Roman" w:eastAsia="Times New Roman" w:cs="Times New Roman"/>
          <w:sz w:val="24"/>
          <w:szCs w:val="24"/>
          <w:lang w:eastAsia="nl-NL"/>
        </w:rPr>
      </w:pPr>
      <w:r w:rsidRPr="00DF0CB6">
        <w:rPr>
          <w:rStyle w:val="normaltextrun"/>
          <w:rFonts w:ascii="Times New Roman" w:hAnsi="Times New Roman" w:eastAsia="Times New Roman" w:cs="Times New Roman"/>
          <w:sz w:val="24"/>
          <w:szCs w:val="24"/>
          <w:lang w:eastAsia="nl-NL"/>
        </w:rPr>
        <w:t xml:space="preserve">De leden van de SP-fractie constateren voorts dat de Raad voor de </w:t>
      </w:r>
      <w:r w:rsidR="00CA6423">
        <w:rPr>
          <w:rStyle w:val="normaltextrun"/>
          <w:rFonts w:ascii="Times New Roman" w:hAnsi="Times New Roman" w:eastAsia="Times New Roman" w:cs="Times New Roman"/>
          <w:sz w:val="24"/>
          <w:szCs w:val="24"/>
          <w:lang w:eastAsia="nl-NL"/>
        </w:rPr>
        <w:t>r</w:t>
      </w:r>
      <w:r w:rsidRPr="00DF0CB6">
        <w:rPr>
          <w:rStyle w:val="normaltextrun"/>
          <w:rFonts w:ascii="Times New Roman" w:hAnsi="Times New Roman" w:eastAsia="Times New Roman" w:cs="Times New Roman"/>
          <w:sz w:val="24"/>
          <w:szCs w:val="24"/>
          <w:lang w:eastAsia="nl-NL"/>
        </w:rPr>
        <w:t xml:space="preserve">echtspraak </w:t>
      </w:r>
      <w:r w:rsidRPr="00DF0CB6" w:rsidR="00DF0CB6">
        <w:rPr>
          <w:rStyle w:val="normaltextrun"/>
          <w:rFonts w:ascii="Times New Roman" w:hAnsi="Times New Roman" w:eastAsia="Times New Roman" w:cs="Times New Roman"/>
          <w:sz w:val="24"/>
          <w:szCs w:val="24"/>
          <w:lang w:eastAsia="nl-NL"/>
        </w:rPr>
        <w:t>(</w:t>
      </w:r>
      <w:proofErr w:type="spellStart"/>
      <w:r w:rsidRPr="00DF0CB6" w:rsidR="00DF0CB6">
        <w:rPr>
          <w:rStyle w:val="normaltextrun"/>
          <w:rFonts w:ascii="Times New Roman" w:hAnsi="Times New Roman" w:eastAsia="Times New Roman" w:cs="Times New Roman"/>
          <w:sz w:val="24"/>
          <w:szCs w:val="24"/>
          <w:lang w:eastAsia="nl-NL"/>
        </w:rPr>
        <w:t>Rvdr</w:t>
      </w:r>
      <w:proofErr w:type="spellEnd"/>
      <w:r w:rsidRPr="00DF0CB6" w:rsidR="00DF0CB6">
        <w:rPr>
          <w:rStyle w:val="normaltextrun"/>
          <w:rFonts w:ascii="Times New Roman" w:hAnsi="Times New Roman" w:eastAsia="Times New Roman" w:cs="Times New Roman"/>
          <w:sz w:val="24"/>
          <w:szCs w:val="24"/>
          <w:lang w:eastAsia="nl-NL"/>
        </w:rPr>
        <w:t xml:space="preserve">) </w:t>
      </w:r>
      <w:r w:rsidRPr="00DF0CB6">
        <w:rPr>
          <w:rStyle w:val="normaltextrun"/>
          <w:rFonts w:ascii="Times New Roman" w:hAnsi="Times New Roman" w:eastAsia="Times New Roman" w:cs="Times New Roman"/>
          <w:sz w:val="24"/>
          <w:szCs w:val="24"/>
          <w:lang w:eastAsia="nl-NL"/>
        </w:rPr>
        <w:t xml:space="preserve">aangeeft dat de verlaging van de </w:t>
      </w:r>
      <w:r w:rsidRPr="00DF0CB6" w:rsidR="00DF0CB6">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 xml:space="preserve">riffierechten nu voorzien bij de </w:t>
      </w:r>
      <w:r w:rsidRPr="00DF0CB6" w:rsidR="00DF0CB6">
        <w:rPr>
          <w:rStyle w:val="normaltextrun"/>
          <w:rFonts w:ascii="Times New Roman" w:hAnsi="Times New Roman" w:eastAsia="Times New Roman" w:cs="Times New Roman"/>
          <w:sz w:val="24"/>
          <w:szCs w:val="24"/>
          <w:lang w:eastAsia="nl-NL"/>
        </w:rPr>
        <w:t>Algemene wet bestuursrecht (</w:t>
      </w:r>
      <w:proofErr w:type="spellStart"/>
      <w:r w:rsidRPr="00DF0CB6">
        <w:rPr>
          <w:rStyle w:val="normaltextrun"/>
          <w:rFonts w:ascii="Times New Roman" w:hAnsi="Times New Roman" w:eastAsia="Times New Roman" w:cs="Times New Roman"/>
          <w:sz w:val="24"/>
          <w:szCs w:val="24"/>
          <w:lang w:eastAsia="nl-NL"/>
        </w:rPr>
        <w:t>Awb</w:t>
      </w:r>
      <w:proofErr w:type="spellEnd"/>
      <w:r w:rsidRPr="00DF0CB6" w:rsidR="00DF0CB6">
        <w:rPr>
          <w:rStyle w:val="normaltextrun"/>
          <w:rFonts w:ascii="Times New Roman" w:hAnsi="Times New Roman" w:eastAsia="Times New Roman" w:cs="Times New Roman"/>
          <w:sz w:val="24"/>
          <w:szCs w:val="24"/>
          <w:lang w:eastAsia="nl-NL"/>
        </w:rPr>
        <w:t>)</w:t>
      </w:r>
      <w:r w:rsidRPr="00DF0CB6">
        <w:rPr>
          <w:rStyle w:val="normaltextrun"/>
          <w:rFonts w:ascii="Times New Roman" w:hAnsi="Times New Roman" w:eastAsia="Times New Roman" w:cs="Times New Roman"/>
          <w:sz w:val="24"/>
          <w:szCs w:val="24"/>
          <w:lang w:eastAsia="nl-NL"/>
        </w:rPr>
        <w:t xml:space="preserve"> ook zouden moeten worden toegepast in de </w:t>
      </w:r>
      <w:proofErr w:type="spellStart"/>
      <w:r w:rsidRPr="00DF0CB6">
        <w:rPr>
          <w:rStyle w:val="normaltextrun"/>
          <w:rFonts w:ascii="Times New Roman" w:hAnsi="Times New Roman" w:eastAsia="Times New Roman" w:cs="Times New Roman"/>
          <w:sz w:val="24"/>
          <w:szCs w:val="24"/>
          <w:lang w:eastAsia="nl-NL"/>
        </w:rPr>
        <w:t>Wgbz</w:t>
      </w:r>
      <w:proofErr w:type="spellEnd"/>
      <w:r w:rsidRPr="00DF0CB6" w:rsidR="00DF0CB6">
        <w:rPr>
          <w:rStyle w:val="normaltextrun"/>
          <w:rFonts w:ascii="Times New Roman" w:hAnsi="Times New Roman" w:eastAsia="Times New Roman" w:cs="Times New Roman"/>
          <w:sz w:val="24"/>
          <w:szCs w:val="24"/>
          <w:lang w:eastAsia="nl-NL"/>
        </w:rPr>
        <w:t>,</w:t>
      </w:r>
      <w:r w:rsidRPr="00DF0CB6">
        <w:rPr>
          <w:rStyle w:val="normaltextrun"/>
          <w:rFonts w:ascii="Times New Roman" w:hAnsi="Times New Roman" w:eastAsia="Times New Roman" w:cs="Times New Roman"/>
          <w:sz w:val="24"/>
          <w:szCs w:val="24"/>
          <w:lang w:eastAsia="nl-NL"/>
        </w:rPr>
        <w:t xml:space="preserve"> omdat deze overlap hebben voor </w:t>
      </w:r>
      <w:r w:rsidRPr="00DF0CB6">
        <w:rPr>
          <w:rStyle w:val="normaltextrun"/>
          <w:rFonts w:ascii="Times New Roman" w:hAnsi="Times New Roman" w:eastAsia="Times New Roman" w:cs="Times New Roman"/>
          <w:sz w:val="24"/>
          <w:szCs w:val="24"/>
          <w:lang w:eastAsia="nl-NL"/>
        </w:rPr>
        <w:lastRenderedPageBreak/>
        <w:t xml:space="preserve">wat betreft het bestuursrecht. De </w:t>
      </w:r>
      <w:r w:rsidRPr="00DF0CB6" w:rsidR="00DF0CB6">
        <w:rPr>
          <w:rStyle w:val="normaltextrun"/>
          <w:rFonts w:ascii="Times New Roman" w:hAnsi="Times New Roman" w:eastAsia="Times New Roman" w:cs="Times New Roman"/>
          <w:sz w:val="24"/>
          <w:szCs w:val="24"/>
          <w:lang w:eastAsia="nl-NL"/>
        </w:rPr>
        <w:t>regering</w:t>
      </w:r>
      <w:r w:rsidRPr="00DF0CB6">
        <w:rPr>
          <w:rStyle w:val="normaltextrun"/>
          <w:rFonts w:ascii="Times New Roman" w:hAnsi="Times New Roman" w:eastAsia="Times New Roman" w:cs="Times New Roman"/>
          <w:sz w:val="24"/>
          <w:szCs w:val="24"/>
          <w:lang w:eastAsia="nl-NL"/>
        </w:rPr>
        <w:t xml:space="preserve"> geeft aan dit nog nader te moeten onderzoeken. Waarom is dit niet tegelijkertijd onderzocht? Waarom zou deze wijziging zogezegd de doelstelling van dit verzamelwetsvoorstel te boven gaan</w:t>
      </w:r>
      <w:r w:rsidRPr="00DF0CB6" w:rsidR="00DF0CB6">
        <w:rPr>
          <w:rStyle w:val="normaltextrun"/>
          <w:rFonts w:ascii="Times New Roman" w:hAnsi="Times New Roman" w:eastAsia="Times New Roman" w:cs="Times New Roman"/>
          <w:sz w:val="24"/>
          <w:szCs w:val="24"/>
          <w:lang w:eastAsia="nl-NL"/>
        </w:rPr>
        <w:t>,</w:t>
      </w:r>
      <w:r w:rsidRPr="00DF0CB6">
        <w:rPr>
          <w:rStyle w:val="normaltextrun"/>
          <w:rFonts w:ascii="Times New Roman" w:hAnsi="Times New Roman" w:eastAsia="Times New Roman" w:cs="Times New Roman"/>
          <w:sz w:val="24"/>
          <w:szCs w:val="24"/>
          <w:lang w:eastAsia="nl-NL"/>
        </w:rPr>
        <w:t xml:space="preserve"> aangezien de </w:t>
      </w:r>
      <w:r w:rsidRPr="00DF0CB6" w:rsidR="00DF0CB6">
        <w:rPr>
          <w:rStyle w:val="normaltextrun"/>
          <w:rFonts w:ascii="Times New Roman" w:hAnsi="Times New Roman" w:eastAsia="Times New Roman" w:cs="Times New Roman"/>
          <w:sz w:val="24"/>
          <w:szCs w:val="24"/>
          <w:lang w:eastAsia="nl-NL"/>
        </w:rPr>
        <w:t xml:space="preserve">regering </w:t>
      </w:r>
      <w:r w:rsidRPr="00DF0CB6">
        <w:rPr>
          <w:rStyle w:val="normaltextrun"/>
          <w:rFonts w:ascii="Times New Roman" w:hAnsi="Times New Roman" w:eastAsia="Times New Roman" w:cs="Times New Roman"/>
          <w:sz w:val="24"/>
          <w:szCs w:val="24"/>
          <w:lang w:eastAsia="nl-NL"/>
        </w:rPr>
        <w:t xml:space="preserve">er ook in dit wetvoorstel voor kiest de </w:t>
      </w:r>
      <w:r w:rsidRPr="00DF0CB6" w:rsidR="00DF0CB6">
        <w:rPr>
          <w:rStyle w:val="normaltextrun"/>
          <w:rFonts w:ascii="Times New Roman" w:hAnsi="Times New Roman" w:eastAsia="Times New Roman" w:cs="Times New Roman"/>
          <w:sz w:val="24"/>
          <w:szCs w:val="24"/>
          <w:lang w:eastAsia="nl-NL"/>
        </w:rPr>
        <w:t>g</w:t>
      </w:r>
      <w:r w:rsidRPr="00DF0CB6">
        <w:rPr>
          <w:rStyle w:val="normaltextrun"/>
          <w:rFonts w:ascii="Times New Roman" w:hAnsi="Times New Roman" w:eastAsia="Times New Roman" w:cs="Times New Roman"/>
          <w:sz w:val="24"/>
          <w:szCs w:val="24"/>
          <w:lang w:eastAsia="nl-NL"/>
        </w:rPr>
        <w:t xml:space="preserve">riffierechten specifiek bij de </w:t>
      </w:r>
      <w:proofErr w:type="spellStart"/>
      <w:r w:rsidRPr="00DF0CB6">
        <w:rPr>
          <w:rStyle w:val="normaltextrun"/>
          <w:rFonts w:ascii="Times New Roman" w:hAnsi="Times New Roman" w:eastAsia="Times New Roman" w:cs="Times New Roman"/>
          <w:sz w:val="24"/>
          <w:szCs w:val="24"/>
          <w:lang w:eastAsia="nl-NL"/>
        </w:rPr>
        <w:t>Awb</w:t>
      </w:r>
      <w:proofErr w:type="spellEnd"/>
      <w:r w:rsidRPr="00DF0CB6">
        <w:rPr>
          <w:rStyle w:val="normaltextrun"/>
          <w:rFonts w:ascii="Times New Roman" w:hAnsi="Times New Roman" w:eastAsia="Times New Roman" w:cs="Times New Roman"/>
          <w:sz w:val="24"/>
          <w:szCs w:val="24"/>
          <w:lang w:eastAsia="nl-NL"/>
        </w:rPr>
        <w:t xml:space="preserve"> te verlagen?</w:t>
      </w:r>
    </w:p>
    <w:p w:rsidRPr="00441E02" w:rsidR="0076331A" w:rsidP="0076331A" w:rsidRDefault="0076331A" w14:paraId="4ABABB49" w14:textId="77777777">
      <w:pPr>
        <w:rPr>
          <w:rFonts w:ascii="Times New Roman" w:hAnsi="Times New Roman" w:cs="Times New Roman"/>
          <w:sz w:val="24"/>
          <w:szCs w:val="24"/>
        </w:rPr>
      </w:pPr>
    </w:p>
    <w:p w:rsidR="0076331A" w:rsidP="0076331A" w:rsidRDefault="0076331A" w14:paraId="0A273BEC" w14:textId="6A708B66">
      <w:pPr>
        <w:rPr>
          <w:rFonts w:ascii="Times New Roman" w:hAnsi="Times New Roman" w:cs="Times New Roman"/>
          <w:iCs/>
          <w:sz w:val="24"/>
          <w:szCs w:val="24"/>
        </w:rPr>
      </w:pPr>
      <w:r>
        <w:rPr>
          <w:rFonts w:ascii="Times New Roman" w:hAnsi="Times New Roman" w:cs="Times New Roman"/>
          <w:iCs/>
          <w:sz w:val="24"/>
          <w:szCs w:val="24"/>
        </w:rPr>
        <w:t>De voorzitter van de commissie,</w:t>
      </w:r>
      <w:r w:rsidR="008A641B">
        <w:rPr>
          <w:rFonts w:ascii="Times New Roman" w:hAnsi="Times New Roman" w:cs="Times New Roman"/>
          <w:iCs/>
          <w:sz w:val="24"/>
          <w:szCs w:val="24"/>
        </w:rPr>
        <w:br/>
      </w:r>
      <w:r>
        <w:rPr>
          <w:rFonts w:ascii="Times New Roman" w:hAnsi="Times New Roman" w:cs="Times New Roman"/>
          <w:iCs/>
          <w:sz w:val="24"/>
          <w:szCs w:val="24"/>
        </w:rPr>
        <w:t>Pool</w:t>
      </w:r>
    </w:p>
    <w:p w:rsidR="0076331A" w:rsidP="0076331A" w:rsidRDefault="0076331A" w14:paraId="1E328934" w14:textId="77777777">
      <w:pPr>
        <w:rPr>
          <w:rFonts w:ascii="Times New Roman" w:hAnsi="Times New Roman" w:cs="Times New Roman"/>
          <w:iCs/>
          <w:sz w:val="24"/>
          <w:szCs w:val="24"/>
        </w:rPr>
      </w:pPr>
    </w:p>
    <w:p w:rsidRPr="00F06BF2" w:rsidR="0076331A" w:rsidP="0076331A" w:rsidRDefault="008A641B" w14:paraId="3B6EB827" w14:textId="33D4C1DC">
      <w:pPr>
        <w:rPr>
          <w:rFonts w:ascii="Times New Roman" w:hAnsi="Times New Roman" w:cs="Times New Roman"/>
          <w:iCs/>
          <w:sz w:val="24"/>
          <w:szCs w:val="24"/>
        </w:rPr>
      </w:pPr>
      <w:r>
        <w:rPr>
          <w:rFonts w:ascii="Times New Roman" w:hAnsi="Times New Roman" w:cs="Times New Roman"/>
          <w:iCs/>
          <w:sz w:val="24"/>
          <w:szCs w:val="24"/>
        </w:rPr>
        <w:t>A</w:t>
      </w:r>
      <w:r w:rsidR="0076331A">
        <w:rPr>
          <w:rFonts w:ascii="Times New Roman" w:hAnsi="Times New Roman" w:cs="Times New Roman"/>
          <w:iCs/>
          <w:sz w:val="24"/>
          <w:szCs w:val="24"/>
        </w:rPr>
        <w:t>djunct-griffier van de commissie,</w:t>
      </w:r>
      <w:r>
        <w:rPr>
          <w:rFonts w:ascii="Times New Roman" w:hAnsi="Times New Roman" w:cs="Times New Roman"/>
          <w:iCs/>
          <w:sz w:val="24"/>
          <w:szCs w:val="24"/>
        </w:rPr>
        <w:br/>
      </w:r>
      <w:r w:rsidR="0076331A">
        <w:rPr>
          <w:rFonts w:ascii="Times New Roman" w:hAnsi="Times New Roman" w:cs="Times New Roman"/>
          <w:iCs/>
          <w:sz w:val="24"/>
          <w:szCs w:val="24"/>
        </w:rPr>
        <w:t>Meijer</w:t>
      </w:r>
    </w:p>
    <w:p w:rsidR="0076331A" w:rsidP="0076331A" w:rsidRDefault="0076331A" w14:paraId="219B84FD" w14:textId="77777777"/>
    <w:p w:rsidR="0076331A" w:rsidP="0076331A" w:rsidRDefault="0076331A" w14:paraId="6649A910" w14:textId="77777777"/>
    <w:p w:rsidR="00164D12" w:rsidRDefault="00164D12" w14:paraId="79104F08" w14:textId="77777777"/>
    <w:sectPr w:rsidR="00164D12" w:rsidSect="0076331A">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A7DA" w14:textId="77777777" w:rsidR="004724C1" w:rsidRDefault="004724C1">
      <w:pPr>
        <w:spacing w:after="0" w:line="240" w:lineRule="auto"/>
      </w:pPr>
      <w:r>
        <w:separator/>
      </w:r>
    </w:p>
  </w:endnote>
  <w:endnote w:type="continuationSeparator" w:id="0">
    <w:p w14:paraId="49C85BC6" w14:textId="77777777" w:rsidR="004724C1" w:rsidRDefault="004724C1">
      <w:pPr>
        <w:spacing w:after="0" w:line="240" w:lineRule="auto"/>
      </w:pPr>
      <w:r>
        <w:continuationSeparator/>
      </w:r>
    </w:p>
  </w:endnote>
  <w:endnote w:type="continuationNotice" w:id="1">
    <w:p w14:paraId="783F7865" w14:textId="77777777" w:rsidR="00592A1A" w:rsidRDefault="00592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93736"/>
      <w:docPartObj>
        <w:docPartGallery w:val="Page Numbers (Bottom of Page)"/>
        <w:docPartUnique/>
      </w:docPartObj>
    </w:sdtPr>
    <w:sdtEndPr/>
    <w:sdtContent>
      <w:p w14:paraId="32E7ABC5" w14:textId="77777777" w:rsidR="00351B4B" w:rsidRDefault="00351B4B">
        <w:pPr>
          <w:pStyle w:val="Voettekst"/>
          <w:jc w:val="right"/>
        </w:pPr>
        <w:r>
          <w:fldChar w:fldCharType="begin"/>
        </w:r>
        <w:r>
          <w:instrText>PAGE   \* MERGEFORMAT</w:instrText>
        </w:r>
        <w:r>
          <w:fldChar w:fldCharType="separate"/>
        </w:r>
        <w:r>
          <w:rPr>
            <w:noProof/>
          </w:rPr>
          <w:t>1</w:t>
        </w:r>
        <w:r>
          <w:fldChar w:fldCharType="end"/>
        </w:r>
      </w:p>
    </w:sdtContent>
  </w:sdt>
  <w:p w14:paraId="7CB5800D" w14:textId="77777777" w:rsidR="00351B4B" w:rsidRDefault="00351B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2A05" w14:textId="77777777" w:rsidR="004724C1" w:rsidRDefault="004724C1">
      <w:pPr>
        <w:spacing w:after="0" w:line="240" w:lineRule="auto"/>
      </w:pPr>
      <w:r>
        <w:separator/>
      </w:r>
    </w:p>
  </w:footnote>
  <w:footnote w:type="continuationSeparator" w:id="0">
    <w:p w14:paraId="680A0B0F" w14:textId="77777777" w:rsidR="004724C1" w:rsidRDefault="004724C1">
      <w:pPr>
        <w:spacing w:after="0" w:line="240" w:lineRule="auto"/>
      </w:pPr>
      <w:r>
        <w:continuationSeparator/>
      </w:r>
    </w:p>
  </w:footnote>
  <w:footnote w:type="continuationNotice" w:id="1">
    <w:p w14:paraId="538BB7AB" w14:textId="77777777" w:rsidR="00592A1A" w:rsidRDefault="00592A1A">
      <w:pPr>
        <w:spacing w:after="0" w:line="240" w:lineRule="auto"/>
      </w:pPr>
    </w:p>
  </w:footnote>
  <w:footnote w:id="2">
    <w:p w14:paraId="158BA39C" w14:textId="77777777" w:rsidR="00383D5F" w:rsidRDefault="00A658FD" w:rsidP="00383D5F">
      <w:pPr>
        <w:pStyle w:val="Voetnoottekst"/>
      </w:pPr>
      <w:r>
        <w:rPr>
          <w:rStyle w:val="Voetnootmarkering"/>
        </w:rPr>
        <w:footnoteRef/>
      </w:r>
      <w:r>
        <w:t xml:space="preserve"> </w:t>
      </w:r>
      <w:r w:rsidR="00383D5F">
        <w:t>De leden van de VVD-fractie verwijzen hier naar het overzicht zoals dat is gepubliceerd bij de Verzamelwet J&amp;V 2022 (Kamerstukken II 2021-22, 36 003, nr. 8, p. 4.</w:t>
      </w:r>
    </w:p>
    <w:p w14:paraId="14DBB40E" w14:textId="291041A2" w:rsidR="00A658FD" w:rsidRDefault="00A658FD">
      <w:pPr>
        <w:pStyle w:val="Voetnoottekst"/>
      </w:pPr>
    </w:p>
  </w:footnote>
  <w:footnote w:id="3">
    <w:p w14:paraId="04471200" w14:textId="36701528" w:rsidR="00383D5F" w:rsidRDefault="00383D5F">
      <w:pPr>
        <w:pStyle w:val="Voetnoottekst"/>
      </w:pPr>
      <w:r>
        <w:rPr>
          <w:rStyle w:val="Voetnootmarkering"/>
        </w:rPr>
        <w:footnoteRef/>
      </w:r>
      <w:r>
        <w:t xml:space="preserve"> Kamerstuk II 36 481, nr.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A"/>
    <w:rsid w:val="00084B40"/>
    <w:rsid w:val="000E30CD"/>
    <w:rsid w:val="00115A94"/>
    <w:rsid w:val="00140693"/>
    <w:rsid w:val="0014246D"/>
    <w:rsid w:val="00142A11"/>
    <w:rsid w:val="001629E8"/>
    <w:rsid w:val="00164D12"/>
    <w:rsid w:val="00167474"/>
    <w:rsid w:val="00170897"/>
    <w:rsid w:val="001D1893"/>
    <w:rsid w:val="003404E7"/>
    <w:rsid w:val="00351B4B"/>
    <w:rsid w:val="003823E7"/>
    <w:rsid w:val="00383D5F"/>
    <w:rsid w:val="003C5641"/>
    <w:rsid w:val="00436E45"/>
    <w:rsid w:val="004724C1"/>
    <w:rsid w:val="00482145"/>
    <w:rsid w:val="0051689D"/>
    <w:rsid w:val="00572434"/>
    <w:rsid w:val="0057686D"/>
    <w:rsid w:val="00583EDA"/>
    <w:rsid w:val="00592A1A"/>
    <w:rsid w:val="00666DE3"/>
    <w:rsid w:val="006B1EFC"/>
    <w:rsid w:val="007055F3"/>
    <w:rsid w:val="0076331A"/>
    <w:rsid w:val="008A641B"/>
    <w:rsid w:val="00994665"/>
    <w:rsid w:val="009C7D72"/>
    <w:rsid w:val="009D7A50"/>
    <w:rsid w:val="00A658FD"/>
    <w:rsid w:val="00AC06CD"/>
    <w:rsid w:val="00AD076F"/>
    <w:rsid w:val="00B26B17"/>
    <w:rsid w:val="00C20A5A"/>
    <w:rsid w:val="00CA6423"/>
    <w:rsid w:val="00CD3DCB"/>
    <w:rsid w:val="00D37192"/>
    <w:rsid w:val="00D5613C"/>
    <w:rsid w:val="00DA0763"/>
    <w:rsid w:val="00DF0CB6"/>
    <w:rsid w:val="00F17CFB"/>
    <w:rsid w:val="00F25C1F"/>
    <w:rsid w:val="00F80534"/>
    <w:rsid w:val="00FC0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FFEA6"/>
  <w15:chartTrackingRefBased/>
  <w15:docId w15:val="{9731AD1C-C591-436A-AB7E-B11BD01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331A"/>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6331A"/>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character" w:customStyle="1" w:styleId="normaltextrun">
    <w:name w:val="normaltextrun"/>
    <w:basedOn w:val="Standaardalinea-lettertype"/>
    <w:rsid w:val="0076331A"/>
  </w:style>
  <w:style w:type="paragraph" w:styleId="Voettekst">
    <w:name w:val="footer"/>
    <w:basedOn w:val="Standaard"/>
    <w:link w:val="VoettekstChar"/>
    <w:uiPriority w:val="99"/>
    <w:unhideWhenUsed/>
    <w:rsid w:val="007633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6331A"/>
    <w:rPr>
      <w:kern w:val="0"/>
      <w14:ligatures w14:val="none"/>
    </w:rPr>
  </w:style>
  <w:style w:type="paragraph" w:styleId="Voetnoottekst">
    <w:name w:val="footnote text"/>
    <w:basedOn w:val="Standaard"/>
    <w:link w:val="VoetnoottekstChar"/>
    <w:uiPriority w:val="99"/>
    <w:semiHidden/>
    <w:unhideWhenUsed/>
    <w:rsid w:val="00A658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658FD"/>
    <w:rPr>
      <w:kern w:val="0"/>
      <w:sz w:val="20"/>
      <w:szCs w:val="20"/>
      <w14:ligatures w14:val="none"/>
    </w:rPr>
  </w:style>
  <w:style w:type="character" w:styleId="Voetnootmarkering">
    <w:name w:val="footnote reference"/>
    <w:basedOn w:val="Standaardalinea-lettertype"/>
    <w:uiPriority w:val="99"/>
    <w:semiHidden/>
    <w:unhideWhenUsed/>
    <w:rsid w:val="00A658FD"/>
    <w:rPr>
      <w:vertAlign w:val="superscript"/>
    </w:rPr>
  </w:style>
  <w:style w:type="paragraph" w:styleId="Koptekst">
    <w:name w:val="header"/>
    <w:basedOn w:val="Standaard"/>
    <w:link w:val="KoptekstChar"/>
    <w:uiPriority w:val="99"/>
    <w:semiHidden/>
    <w:unhideWhenUsed/>
    <w:rsid w:val="00592A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92A1A"/>
    <w:rPr>
      <w:kern w:val="0"/>
      <w14:ligatures w14:val="none"/>
    </w:rPr>
  </w:style>
  <w:style w:type="paragraph" w:styleId="Revisie">
    <w:name w:val="Revision"/>
    <w:hidden/>
    <w:uiPriority w:val="99"/>
    <w:semiHidden/>
    <w:rsid w:val="00592A1A"/>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592A1A"/>
    <w:rPr>
      <w:sz w:val="16"/>
      <w:szCs w:val="16"/>
    </w:rPr>
  </w:style>
  <w:style w:type="paragraph" w:styleId="Tekstopmerking">
    <w:name w:val="annotation text"/>
    <w:basedOn w:val="Standaard"/>
    <w:link w:val="TekstopmerkingChar"/>
    <w:uiPriority w:val="99"/>
    <w:unhideWhenUsed/>
    <w:rsid w:val="00592A1A"/>
    <w:pPr>
      <w:spacing w:line="240" w:lineRule="auto"/>
    </w:pPr>
    <w:rPr>
      <w:sz w:val="20"/>
      <w:szCs w:val="20"/>
    </w:rPr>
  </w:style>
  <w:style w:type="character" w:customStyle="1" w:styleId="TekstopmerkingChar">
    <w:name w:val="Tekst opmerking Char"/>
    <w:basedOn w:val="Standaardalinea-lettertype"/>
    <w:link w:val="Tekstopmerking"/>
    <w:uiPriority w:val="99"/>
    <w:rsid w:val="00592A1A"/>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92A1A"/>
    <w:rPr>
      <w:b/>
      <w:bCs/>
    </w:rPr>
  </w:style>
  <w:style w:type="character" w:customStyle="1" w:styleId="OnderwerpvanopmerkingChar">
    <w:name w:val="Onderwerp van opmerking Char"/>
    <w:basedOn w:val="TekstopmerkingChar"/>
    <w:link w:val="Onderwerpvanopmerking"/>
    <w:uiPriority w:val="99"/>
    <w:semiHidden/>
    <w:rsid w:val="00592A1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465167">
      <w:bodyDiv w:val="1"/>
      <w:marLeft w:val="0"/>
      <w:marRight w:val="0"/>
      <w:marTop w:val="0"/>
      <w:marBottom w:val="0"/>
      <w:divBdr>
        <w:top w:val="none" w:sz="0" w:space="0" w:color="auto"/>
        <w:left w:val="none" w:sz="0" w:space="0" w:color="auto"/>
        <w:bottom w:val="none" w:sz="0" w:space="0" w:color="auto"/>
        <w:right w:val="none" w:sz="0" w:space="0" w:color="auto"/>
      </w:divBdr>
    </w:div>
    <w:div w:id="1900285505">
      <w:bodyDiv w:val="1"/>
      <w:marLeft w:val="0"/>
      <w:marRight w:val="0"/>
      <w:marTop w:val="0"/>
      <w:marBottom w:val="0"/>
      <w:divBdr>
        <w:top w:val="none" w:sz="0" w:space="0" w:color="auto"/>
        <w:left w:val="none" w:sz="0" w:space="0" w:color="auto"/>
        <w:bottom w:val="none" w:sz="0" w:space="0" w:color="auto"/>
        <w:right w:val="none" w:sz="0" w:space="0" w:color="auto"/>
      </w:divBdr>
      <w:divsChild>
        <w:div w:id="1650328328">
          <w:marLeft w:val="0"/>
          <w:marRight w:val="0"/>
          <w:marTop w:val="0"/>
          <w:marBottom w:val="0"/>
          <w:divBdr>
            <w:top w:val="none" w:sz="0" w:space="0" w:color="auto"/>
            <w:left w:val="none" w:sz="0" w:space="0" w:color="auto"/>
            <w:bottom w:val="none" w:sz="0" w:space="0" w:color="auto"/>
            <w:right w:val="none" w:sz="0" w:space="0" w:color="auto"/>
          </w:divBdr>
          <w:divsChild>
            <w:div w:id="1210730600">
              <w:marLeft w:val="0"/>
              <w:marRight w:val="0"/>
              <w:marTop w:val="0"/>
              <w:marBottom w:val="0"/>
              <w:divBdr>
                <w:top w:val="none" w:sz="0" w:space="0" w:color="auto"/>
                <w:left w:val="none" w:sz="0" w:space="0" w:color="auto"/>
                <w:bottom w:val="none" w:sz="0" w:space="0" w:color="auto"/>
                <w:right w:val="none" w:sz="0" w:space="0" w:color="auto"/>
              </w:divBdr>
              <w:divsChild>
                <w:div w:id="999427335">
                  <w:marLeft w:val="0"/>
                  <w:marRight w:val="0"/>
                  <w:marTop w:val="0"/>
                  <w:marBottom w:val="0"/>
                  <w:divBdr>
                    <w:top w:val="none" w:sz="0" w:space="0" w:color="auto"/>
                    <w:left w:val="none" w:sz="0" w:space="0" w:color="auto"/>
                    <w:bottom w:val="none" w:sz="0" w:space="0" w:color="auto"/>
                    <w:right w:val="none" w:sz="0" w:space="0" w:color="auto"/>
                  </w:divBdr>
                  <w:divsChild>
                    <w:div w:id="62337269">
                      <w:marLeft w:val="0"/>
                      <w:marRight w:val="0"/>
                      <w:marTop w:val="0"/>
                      <w:marBottom w:val="0"/>
                      <w:divBdr>
                        <w:top w:val="none" w:sz="0" w:space="0" w:color="auto"/>
                        <w:left w:val="none" w:sz="0" w:space="0" w:color="auto"/>
                        <w:bottom w:val="none" w:sz="0" w:space="0" w:color="auto"/>
                        <w:right w:val="none" w:sz="0" w:space="0" w:color="auto"/>
                      </w:divBdr>
                      <w:divsChild>
                        <w:div w:id="1074426831">
                          <w:marLeft w:val="0"/>
                          <w:marRight w:val="0"/>
                          <w:marTop w:val="0"/>
                          <w:marBottom w:val="0"/>
                          <w:divBdr>
                            <w:top w:val="none" w:sz="0" w:space="0" w:color="auto"/>
                            <w:left w:val="none" w:sz="0" w:space="0" w:color="auto"/>
                            <w:bottom w:val="none" w:sz="0" w:space="0" w:color="auto"/>
                            <w:right w:val="none" w:sz="0" w:space="0" w:color="auto"/>
                          </w:divBdr>
                          <w:divsChild>
                            <w:div w:id="17490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1870</ap:Words>
  <ap:Characters>10287</ap:Characters>
  <ap:DocSecurity>4</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2024-11-28T15:06:00.0000000Z</dcterms:created>
  <dcterms:modified xsi:type="dcterms:W3CDTF">2024-11-28T15:06:00.0000000Z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89038588-d6a3-425c-909a-497c088f4e5c</vt:lpwstr>
  </property>
</Properties>
</file>