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2CA8" w:rsidP="00AE2CA8" w:rsidRDefault="00AE2CA8" w14:paraId="6E9E8B47" w14:textId="5A78B3A5">
      <w:pPr>
        <w:rPr>
          <w:b/>
          <w:bCs/>
        </w:rPr>
      </w:pPr>
      <w:r>
        <w:rPr>
          <w:b/>
          <w:bCs/>
        </w:rPr>
        <w:t>AH 359</w:t>
      </w:r>
    </w:p>
    <w:p w:rsidR="00AE2CA8" w:rsidP="00AE2CA8" w:rsidRDefault="00AE2CA8" w14:paraId="415D307D" w14:textId="3A35CC98">
      <w:pPr>
        <w:rPr>
          <w:b/>
          <w:bCs/>
        </w:rPr>
      </w:pPr>
      <w:r>
        <w:rPr>
          <w:b/>
          <w:bCs/>
        </w:rPr>
        <w:t>2024Z14403</w:t>
      </w:r>
    </w:p>
    <w:p w:rsidRPr="00AE2CA8" w:rsidR="00AE2CA8" w:rsidP="00AE2CA8" w:rsidRDefault="00AE2CA8" w14:paraId="5E83B3DB" w14:textId="0633E034">
      <w:pPr>
        <w:rPr>
          <w:sz w:val="24"/>
          <w:szCs w:val="24"/>
        </w:rPr>
      </w:pPr>
      <w:r w:rsidRPr="00AE2CA8">
        <w:rPr>
          <w:sz w:val="24"/>
          <w:szCs w:val="24"/>
        </w:rPr>
        <w:t xml:space="preserve">Antwoord van minister Brekelmans (Defensie), mede namens de </w:t>
      </w:r>
      <w:r w:rsidRPr="00AE2CA8">
        <w:rPr>
          <w:rFonts w:ascii="Times New Roman" w:hAnsi="Times New Roman"/>
          <w:sz w:val="24"/>
        </w:rPr>
        <w:t>minister</w:t>
      </w:r>
      <w:r>
        <w:rPr>
          <w:rFonts w:ascii="Times New Roman" w:hAnsi="Times New Roman"/>
          <w:sz w:val="24"/>
        </w:rPr>
        <w:t>s</w:t>
      </w:r>
      <w:r w:rsidRPr="00AE2CA8">
        <w:rPr>
          <w:rFonts w:ascii="Times New Roman" w:hAnsi="Times New Roman"/>
          <w:sz w:val="24"/>
        </w:rPr>
        <w:t xml:space="preserve"> van Infrastructuur en Waterstaat</w:t>
      </w:r>
      <w:r>
        <w:rPr>
          <w:rFonts w:ascii="Times New Roman" w:hAnsi="Times New Roman"/>
          <w:sz w:val="24"/>
        </w:rPr>
        <w:t xml:space="preserve">, </w:t>
      </w:r>
      <w:r w:rsidRPr="00AE2CA8">
        <w:rPr>
          <w:rFonts w:ascii="Times New Roman" w:hAnsi="Times New Roman"/>
          <w:sz w:val="24"/>
          <w:szCs w:val="24"/>
        </w:rPr>
        <w:t>van Buitenlandse Zaken</w:t>
      </w:r>
      <w:r>
        <w:rPr>
          <w:rFonts w:ascii="Times New Roman" w:hAnsi="Times New Roman"/>
          <w:sz w:val="24"/>
          <w:szCs w:val="24"/>
        </w:rPr>
        <w:t xml:space="preserve">, </w:t>
      </w:r>
      <w:r w:rsidRPr="00AE2CA8">
        <w:rPr>
          <w:rFonts w:ascii="Times New Roman" w:hAnsi="Times New Roman"/>
          <w:sz w:val="24"/>
        </w:rPr>
        <w:t>van Justitie en Veiligheid</w:t>
      </w:r>
      <w:r>
        <w:rPr>
          <w:rFonts w:ascii="Times New Roman" w:hAnsi="Times New Roman"/>
          <w:sz w:val="24"/>
        </w:rPr>
        <w:t xml:space="preserve">, </w:t>
      </w:r>
      <w:r w:rsidRPr="00AE2CA8">
        <w:rPr>
          <w:sz w:val="24"/>
          <w:szCs w:val="24"/>
        </w:rPr>
        <w:t xml:space="preserve">van Klimaat en Groene Groei </w:t>
      </w:r>
      <w:r>
        <w:rPr>
          <w:sz w:val="24"/>
          <w:szCs w:val="24"/>
        </w:rPr>
        <w:t xml:space="preserve">en </w:t>
      </w:r>
      <w:r w:rsidRPr="00AE2CA8">
        <w:rPr>
          <w:sz w:val="24"/>
          <w:szCs w:val="24"/>
        </w:rPr>
        <w:t>van Economische Zaken</w:t>
      </w:r>
      <w:r>
        <w:rPr>
          <w:sz w:val="24"/>
          <w:szCs w:val="24"/>
        </w:rPr>
        <w:t xml:space="preserve"> </w:t>
      </w:r>
      <w:r w:rsidRPr="00AE2CA8">
        <w:rPr>
          <w:sz w:val="24"/>
          <w:szCs w:val="24"/>
        </w:rPr>
        <w:t xml:space="preserve"> (ontvangen 23 oktober 2024)</w:t>
      </w:r>
    </w:p>
    <w:p w:rsidRPr="00D16EA7" w:rsidR="00AE2CA8" w:rsidP="00AE2CA8" w:rsidRDefault="00AE2CA8" w14:paraId="53521894" w14:textId="77777777">
      <w:pPr>
        <w:rPr>
          <w:b/>
          <w:bCs/>
        </w:rPr>
      </w:pPr>
      <w:r w:rsidRPr="37943A36">
        <w:rPr>
          <w:b/>
          <w:bCs/>
        </w:rPr>
        <w:t>Vraag 1</w:t>
      </w:r>
      <w:r>
        <w:br/>
        <w:t>Bent u op de hoogte van het persbericht d.d. 24 september 2024 ‘Rusland bespioneert systematisch onze wateren’ van Pointer?</w:t>
      </w:r>
    </w:p>
    <w:p w:rsidRPr="00D16EA7" w:rsidR="00AE2CA8" w:rsidP="00AE2CA8" w:rsidRDefault="00AE2CA8" w14:paraId="0F85D44A" w14:textId="77777777">
      <w:pPr>
        <w:rPr>
          <w:b/>
          <w:bCs/>
        </w:rPr>
      </w:pPr>
      <w:r w:rsidRPr="37943A36">
        <w:rPr>
          <w:b/>
          <w:bCs/>
        </w:rPr>
        <w:t>Antwoord</w:t>
      </w:r>
      <w:r>
        <w:br/>
        <w:t>Ja.</w:t>
      </w:r>
      <w:r w:rsidRPr="37943A36">
        <w:rPr>
          <w:b/>
          <w:bCs/>
        </w:rPr>
        <w:t xml:space="preserve">  </w:t>
      </w:r>
    </w:p>
    <w:p w:rsidR="00AE2CA8" w:rsidP="00AE2CA8" w:rsidRDefault="00AE2CA8" w14:paraId="1C2DCB4A" w14:textId="77777777">
      <w:r w:rsidRPr="37943A36">
        <w:rPr>
          <w:b/>
          <w:bCs/>
        </w:rPr>
        <w:t>Vraag 2</w:t>
      </w:r>
      <w:r>
        <w:br/>
        <w:t xml:space="preserve">Heeft u een actueel en scherp beeld van hetgeen er op de Noordzee gebeurt? </w:t>
      </w:r>
    </w:p>
    <w:p w:rsidR="00AE2CA8" w:rsidP="00AE2CA8" w:rsidRDefault="00AE2CA8" w14:paraId="23DC9666" w14:textId="77777777">
      <w:r w:rsidRPr="37943A36">
        <w:rPr>
          <w:b/>
          <w:bCs/>
        </w:rPr>
        <w:t>Antwoord</w:t>
      </w:r>
      <w:r>
        <w:br/>
        <w:t>Het Nederlandse deel van de Noordzee is ongeveer anderhalf</w:t>
      </w:r>
      <w:r w:rsidRPr="002F7214">
        <w:t xml:space="preserve"> keer zo groot als Nederland zelf</w:t>
      </w:r>
      <w:r>
        <w:t xml:space="preserve"> en tevens</w:t>
      </w:r>
      <w:r w:rsidRPr="00AA3B84">
        <w:t xml:space="preserve"> een van de drukst bevaren gebieden </w:t>
      </w:r>
      <w:r>
        <w:t xml:space="preserve">ter wereld.  Een actueel beeld opbouwen van al hetgeen wat er op een dusdanig groot gebied als de Noordzee gebeurd vraagt een enorme inspanning. Met het oog op het efficiënt en gericht inzetten van middelen, wordt daarom aan de hand van een informatie gestuurde aanpak doorlopend een actueel beeld van de dreiging op de Noordzee opgebouwd. Met dit doel houden verschillende organisaties vanuit verschillende taakstellingen de Noordzee in de gaten. De inlichtingen- en veiligheidsdiensten analyseren en duiden activiteiten van statelijke actoren die een mogelijk risico vormen voor de nationale veiligheid, zo ook op de Noordzee. De Koninklijke Marine voert dagelijks operaties uit op de Noordzee en ondersteunt de Kustwacht bij het maken van een actueel beeld van de dreiging en risico’s. De Kustwacht kijkt hier met extra aandacht naar. In het kader van handhavingstaken voert de Kustwacht patrouilles uit met varende en vliegende eenheden, zowel binnen de territoriale wateren als in de Exclusieve Economische Zone (EEZ). Ook wordt er actief informatie uitgewisseld met andere Noordzeelanden. </w:t>
      </w:r>
    </w:p>
    <w:p w:rsidR="00AE2CA8" w:rsidP="00AE2CA8" w:rsidRDefault="00AE2CA8" w14:paraId="60828997" w14:textId="77777777">
      <w:r>
        <w:t>Om de beeldopbouw te verstevigen treft het kabinet verschillende maatregelen. Zo investeert Defensie in additionele waarnemingscapaciteit op de Noordzee, zoals sensoren.</w:t>
      </w:r>
      <w:r>
        <w:rPr>
          <w:rStyle w:val="Voetnootmarkering"/>
        </w:rPr>
        <w:footnoteReference w:id="1"/>
      </w:r>
      <w:r>
        <w:t xml:space="preserve"> Ook wordt, in het kader van het interdepartementale Programma Bescherming Noordzee Infrastructuur, extra geïnvesteerd in beeldopbouw op de Noordzee.</w:t>
      </w:r>
      <w:r>
        <w:rPr>
          <w:rStyle w:val="Voetnootmarkering"/>
        </w:rPr>
        <w:footnoteReference w:id="2"/>
      </w:r>
      <w:r>
        <w:t xml:space="preserve"> </w:t>
      </w:r>
    </w:p>
    <w:p w:rsidR="00AE2CA8" w:rsidP="00AE2CA8" w:rsidRDefault="00AE2CA8" w14:paraId="0AE54B16" w14:textId="77777777">
      <w:r w:rsidRPr="37943A36">
        <w:rPr>
          <w:b/>
          <w:bCs/>
        </w:rPr>
        <w:t>Vraag 3</w:t>
      </w:r>
      <w:r>
        <w:br/>
        <w:t xml:space="preserve">Kunt u toelichten of er op dit moment adequaat en proportioneel gereageerd wordt op de Russische schepen? </w:t>
      </w:r>
    </w:p>
    <w:p w:rsidR="00AE2CA8" w:rsidP="00AE2CA8" w:rsidRDefault="00AE2CA8" w14:paraId="197E4DAE" w14:textId="77777777">
      <w:r w:rsidRPr="37943A36">
        <w:rPr>
          <w:b/>
          <w:bCs/>
        </w:rPr>
        <w:t>Antwoord</w:t>
      </w:r>
      <w:r>
        <w:br/>
        <w:t xml:space="preserve">Zoals toegelicht in de jaarverslagen van de MIVD, onderneemt Rusland heimelijke activiteiten die mogelijk een dreiging vormen voor onze vitale infrastructuur op zee. Wanneer nodig, neemt  de Nederlandse overheid maatregelen om de heimelijkheid van deze activiteiten te verstoren en daarmee </w:t>
      </w:r>
      <w:r>
        <w:lastRenderedPageBreak/>
        <w:t xml:space="preserve">de activiteiten te ontmoedigen. Zo begeleidt onze Koninklijke Marine geregeld Russische schepen door de Nederlandse Exclusieve Economische Zone (EEZ) van de Noordzee. Dit gebeurt in nauwe coördinatie met de ons omringende landen wier wateren aan de onze grenzen. Hiermee laten Defensie en haar partners zien dat Russische schepen niet ongezien hun gang kunnen gaan op de Noordzee. </w:t>
      </w:r>
    </w:p>
    <w:p w:rsidR="00AE2CA8" w:rsidP="00AE2CA8" w:rsidRDefault="00AE2CA8" w14:paraId="1D76D904" w14:textId="77777777">
      <w:pPr>
        <w:rPr>
          <w:b/>
          <w:bCs/>
        </w:rPr>
      </w:pPr>
      <w:r>
        <w:t xml:space="preserve">Het kabinet beschikt over verschillende manieren om op </w:t>
      </w:r>
      <w:r w:rsidRPr="00394303">
        <w:t>mogelijke dreigingen te reageren, waar het handelingsrepertoire van Defensie deel van uitmaakt. Het kabinet doet publiekelijk op voorhand geen uitspraken over hoe de Nederlandse overheid handelt bij specifieke voorvallen, om te voorkomen dat kwaadwillende partijen in hun handelen kunnen anticiperen op Nederlandse handelswijzen.</w:t>
      </w:r>
      <w:r w:rsidRPr="00394303">
        <w:rPr>
          <w:b/>
          <w:bCs/>
        </w:rPr>
        <w:t xml:space="preserve"> </w:t>
      </w:r>
    </w:p>
    <w:p w:rsidRPr="00411652" w:rsidR="00AE2CA8" w:rsidP="00AE2CA8" w:rsidRDefault="00AE2CA8" w14:paraId="737028E5" w14:textId="77777777">
      <w:r w:rsidRPr="37943A36">
        <w:rPr>
          <w:b/>
          <w:bCs/>
        </w:rPr>
        <w:t>Vraag 4</w:t>
      </w:r>
      <w:r>
        <w:br/>
        <w:t xml:space="preserve">Kunt u aangeven welke gezamenlijke maatregelen met NAVO-partners worden genomen om systematische spionage op de Noordzee tegen te gaan?  </w:t>
      </w:r>
    </w:p>
    <w:p w:rsidRPr="00D16EA7" w:rsidR="00AE2CA8" w:rsidP="00AE2CA8" w:rsidRDefault="00AE2CA8" w14:paraId="30DDCD1B" w14:textId="77777777">
      <w:pPr>
        <w:rPr>
          <w:b/>
          <w:bCs/>
        </w:rPr>
      </w:pPr>
      <w:r w:rsidRPr="37943A36">
        <w:rPr>
          <w:b/>
          <w:bCs/>
        </w:rPr>
        <w:t>Antwoord</w:t>
      </w:r>
      <w:r>
        <w:br/>
        <w:t xml:space="preserve">Nederland werkt nauw samen met andere Noordzeelanden. Onze marine wisselt bijvoorbeeld informatie uit met marines van buurlanden en stemt het escorteren van Russische schepen met hen af. Ook in NAVO-verband wordt de samenwerking versterkt. Nederland is aangesloten bij de in 2023 opgerichte </w:t>
      </w:r>
      <w:r w:rsidRPr="37943A36">
        <w:rPr>
          <w:i/>
          <w:iCs/>
        </w:rPr>
        <w:t xml:space="preserve">Critical Undersea </w:t>
      </w:r>
      <w:proofErr w:type="spellStart"/>
      <w:r w:rsidRPr="37943A36">
        <w:rPr>
          <w:i/>
          <w:iCs/>
        </w:rPr>
        <w:t>Infrastructure</w:t>
      </w:r>
      <w:proofErr w:type="spellEnd"/>
      <w:r w:rsidRPr="37943A36">
        <w:rPr>
          <w:i/>
          <w:iCs/>
        </w:rPr>
        <w:t xml:space="preserve"> </w:t>
      </w:r>
      <w:proofErr w:type="spellStart"/>
      <w:r w:rsidRPr="37943A36">
        <w:rPr>
          <w:i/>
          <w:iCs/>
        </w:rPr>
        <w:t>Coordination</w:t>
      </w:r>
      <w:proofErr w:type="spellEnd"/>
      <w:r w:rsidRPr="37943A36">
        <w:rPr>
          <w:i/>
          <w:iCs/>
        </w:rPr>
        <w:t xml:space="preserve"> </w:t>
      </w:r>
      <w:proofErr w:type="spellStart"/>
      <w:r w:rsidRPr="37943A36">
        <w:rPr>
          <w:i/>
          <w:iCs/>
        </w:rPr>
        <w:t>Cell</w:t>
      </w:r>
      <w:proofErr w:type="spellEnd"/>
      <w:r>
        <w:t xml:space="preserve"> van de NAVO, die onder andere advies levert over het beschermen van onderzeese infrastructuur. Recent is bij het NAVO Maritieme Hoofdkwartier het </w:t>
      </w:r>
      <w:proofErr w:type="spellStart"/>
      <w:r w:rsidRPr="37943A36">
        <w:rPr>
          <w:i/>
          <w:iCs/>
        </w:rPr>
        <w:t>Maritime</w:t>
      </w:r>
      <w:proofErr w:type="spellEnd"/>
      <w:r w:rsidRPr="37943A36">
        <w:rPr>
          <w:i/>
          <w:iCs/>
        </w:rPr>
        <w:t xml:space="preserve"> Centre </w:t>
      </w:r>
      <w:proofErr w:type="spellStart"/>
      <w:r w:rsidRPr="37943A36">
        <w:rPr>
          <w:i/>
          <w:iCs/>
        </w:rPr>
        <w:t>for</w:t>
      </w:r>
      <w:proofErr w:type="spellEnd"/>
      <w:r w:rsidRPr="37943A36">
        <w:rPr>
          <w:i/>
          <w:iCs/>
        </w:rPr>
        <w:t xml:space="preserve"> </w:t>
      </w:r>
      <w:proofErr w:type="spellStart"/>
      <w:r w:rsidRPr="37943A36">
        <w:rPr>
          <w:i/>
          <w:iCs/>
        </w:rPr>
        <w:t>the</w:t>
      </w:r>
      <w:proofErr w:type="spellEnd"/>
      <w:r w:rsidRPr="37943A36">
        <w:rPr>
          <w:i/>
          <w:iCs/>
        </w:rPr>
        <w:t xml:space="preserve"> Security of Critical Undersea </w:t>
      </w:r>
      <w:proofErr w:type="spellStart"/>
      <w:r w:rsidRPr="37943A36">
        <w:rPr>
          <w:i/>
          <w:iCs/>
        </w:rPr>
        <w:t>Infrastructure</w:t>
      </w:r>
      <w:proofErr w:type="spellEnd"/>
      <w:r w:rsidRPr="37943A36">
        <w:rPr>
          <w:i/>
          <w:iCs/>
        </w:rPr>
        <w:t xml:space="preserve"> </w:t>
      </w:r>
      <w:r>
        <w:t xml:space="preserve">opgericht. Hier wordt een gedeeld beeld gemaakt van mogelijke dreigingen op en onder zee, waaronder de Noordzee. Dit beeld wordt gedeeld met bondgenoten. Ook kan het </w:t>
      </w:r>
      <w:proofErr w:type="spellStart"/>
      <w:r>
        <w:t>centre</w:t>
      </w:r>
      <w:proofErr w:type="spellEnd"/>
      <w:r>
        <w:t xml:space="preserve"> een rol spelen in het coördineren van acties. </w:t>
      </w:r>
    </w:p>
    <w:p w:rsidRPr="00D16EA7" w:rsidR="00AE2CA8" w:rsidP="00AE2CA8" w:rsidRDefault="00AE2CA8" w14:paraId="48125EA6" w14:textId="77777777">
      <w:r w:rsidRPr="37943A36">
        <w:rPr>
          <w:b/>
          <w:bCs/>
        </w:rPr>
        <w:t>Vraag 5</w:t>
      </w:r>
      <w:r>
        <w:br/>
        <w:t>Kunt u aangeven of de maatregelen geïntensiveerd worden met het oog op de toename van Russische dreigingen tegen de NAVO landen?</w:t>
      </w:r>
    </w:p>
    <w:p w:rsidRPr="008E454C" w:rsidR="00AE2CA8" w:rsidP="00AE2CA8" w:rsidRDefault="00AE2CA8" w14:paraId="03C5D7FB" w14:textId="77777777">
      <w:pPr>
        <w:rPr>
          <w:iCs/>
        </w:rPr>
      </w:pPr>
      <w:r w:rsidRPr="5CB4EB32">
        <w:rPr>
          <w:b/>
          <w:bCs/>
        </w:rPr>
        <w:t>Antwoord</w:t>
      </w:r>
      <w:r>
        <w:br/>
        <w:t xml:space="preserve">Ja, vanuit het interdepartementale Programma Bescherming Noordzee Infrastructuur worden extra maatregelen genomen om de weerbaarheid van de vitale infrastructuur op de Noordzee te verhogen. Het </w:t>
      </w:r>
      <w:r w:rsidRPr="00F67291">
        <w:t xml:space="preserve">vorige kabinet </w:t>
      </w:r>
      <w:r>
        <w:t xml:space="preserve">heeft geïnvesteerd in het interdepartementale Actieplan strategie ter bescherming Noordzee infrastructuur </w:t>
      </w:r>
      <w:r w:rsidRPr="00F67291">
        <w:t>voor de jaren 2024 en 2025</w:t>
      </w:r>
      <w:r>
        <w:t>. Ook het huidige kabinet is voornemens om extra te investeren in de bescherming van de Noordzee infrastructuur</w:t>
      </w:r>
      <w:r w:rsidRPr="00F67291">
        <w:t>.</w:t>
      </w:r>
      <w:r>
        <w:rPr>
          <w:rStyle w:val="Voetnootmarkering"/>
        </w:rPr>
        <w:footnoteReference w:id="3"/>
      </w:r>
      <w:r w:rsidRPr="00F67291">
        <w:t xml:space="preserve"> Door middel van het Actieplan wordt onder andere de detectie en duiding van dreigingen op de Noordzee verbeterd, wat leidt tot een snellere reactie als zich verdachte situaties voordoen. </w:t>
      </w:r>
      <w:r>
        <w:t xml:space="preserve">Op korte termijn worden belangrijke stappen gezet, waaronder het inkopen van satellietbeelden en de inhuur van patrouillecapaciteit. Daarnaast wordt er onderzoek gedaan naar de meest kwetsbare infrastructuurpunten en het uitrollen van additionele sensoren op de Noordzee. Ook wordt er gewerkt aan de realisatie van een Alliantie tussen publieke en private partijen om informatie-uitwisseling te versterken voor een verbeterde bescherming van de infrastructuur op de Noordzee. </w:t>
      </w:r>
      <w:r w:rsidRPr="00F67291">
        <w:t>Over dit Actieplan en de investeringen in de jaren 2024 en 2025 is uw Kamer per brief geïnformeerd.</w:t>
      </w:r>
      <w:r>
        <w:rPr>
          <w:rStyle w:val="Voetnootmarkering"/>
        </w:rPr>
        <w:footnoteReference w:id="4"/>
      </w:r>
      <w:r>
        <w:t xml:space="preserve"> Eind dit jaar wordt de K</w:t>
      </w:r>
      <w:r w:rsidRPr="00F67291">
        <w:t>amer geïnformeerd over de voortgang hiervan.</w:t>
      </w:r>
    </w:p>
    <w:p w:rsidRPr="004110C3" w:rsidR="00AE2CA8" w:rsidP="00AE2CA8" w:rsidRDefault="00AE2CA8" w14:paraId="57FB6B35" w14:textId="77777777">
      <w:r>
        <w:lastRenderedPageBreak/>
        <w:t>Daarnaast neemt Defensie maatregelen om gereed te zijn voor haar oorlogstaak ter afschrikking van militaire dreigingen. Defensie neemt ook maatregelen om in vredestijd civiele autoriteiten te ondersteunen in het tegengaan van hybride dreigingen. Ten eerste investeert Defensie in additionele waarnemingscapaciteit op zee, in de vorm van sensoren en commerciële satellietcapaciteit.</w:t>
      </w:r>
      <w:r>
        <w:rPr>
          <w:rStyle w:val="Voetnootmarkering"/>
        </w:rPr>
        <w:footnoteReference w:id="5"/>
      </w:r>
      <w:r>
        <w:t xml:space="preserve"> Ten tweede verwerft Defensie vaartuigen met kleine bemanning en onderwatercapaciteiten, die kunnen worden ingezet om dreigingen op zee op te sporen en nader te onderzoeken.</w:t>
      </w:r>
      <w:r>
        <w:rPr>
          <w:rStyle w:val="Voetnootmarkering"/>
        </w:rPr>
        <w:footnoteReference w:id="6"/>
      </w:r>
      <w:r>
        <w:t xml:space="preserve"> Ten derde investeert Defensie in de ontwikkeling van nieuwe technologieën met de oprichting van het </w:t>
      </w:r>
      <w:proofErr w:type="spellStart"/>
      <w:r w:rsidRPr="37943A36">
        <w:rPr>
          <w:i/>
          <w:iCs/>
        </w:rPr>
        <w:t>Seabed</w:t>
      </w:r>
      <w:proofErr w:type="spellEnd"/>
      <w:r w:rsidRPr="37943A36">
        <w:rPr>
          <w:i/>
          <w:iCs/>
        </w:rPr>
        <w:t xml:space="preserve"> Security </w:t>
      </w:r>
      <w:proofErr w:type="spellStart"/>
      <w:r w:rsidRPr="37943A36">
        <w:rPr>
          <w:i/>
          <w:iCs/>
        </w:rPr>
        <w:t>Experimentation</w:t>
      </w:r>
      <w:proofErr w:type="spellEnd"/>
      <w:r w:rsidRPr="37943A36">
        <w:rPr>
          <w:i/>
          <w:iCs/>
        </w:rPr>
        <w:t xml:space="preserve"> Centre (</w:t>
      </w:r>
      <w:proofErr w:type="spellStart"/>
      <w:r w:rsidRPr="37943A36">
        <w:rPr>
          <w:i/>
          <w:iCs/>
        </w:rPr>
        <w:t>SeaSEC</w:t>
      </w:r>
      <w:proofErr w:type="spellEnd"/>
      <w:r w:rsidRPr="37943A36">
        <w:rPr>
          <w:i/>
          <w:iCs/>
        </w:rPr>
        <w:t>)</w:t>
      </w:r>
      <w:r>
        <w:t>. Tot slot verwerft Defensie in de komende jaren verschillende hoogwaardige capaciteiten, zoals mijnenbestrijdingsvaartuigen, hulpvaartuigen voor hydrografische taken, ASW-fregatten en NH90-helikopters. Deze capaciteiten hebben een bredere taakstelling, maar zijn ook geschikt voor de bescherming van de infrastructuur op de zeebodem en kunnen ook als zodanig worden ingezet.</w:t>
      </w:r>
    </w:p>
    <w:p w:rsidRPr="00D16EA7" w:rsidR="00AE2CA8" w:rsidP="00AE2CA8" w:rsidRDefault="00AE2CA8" w14:paraId="634CC4D7" w14:textId="77777777">
      <w:r w:rsidRPr="37943A36">
        <w:rPr>
          <w:b/>
          <w:bCs/>
        </w:rPr>
        <w:t xml:space="preserve">Vraag 6 </w:t>
      </w:r>
      <w:r>
        <w:br/>
        <w:t xml:space="preserve">Ziet u de noodzaak om de maatregelen tegen Russische spionage te verscherpen in het Nederlandse kustgebied en de Nederlandse havens? </w:t>
      </w:r>
    </w:p>
    <w:p w:rsidRPr="006F4A9C" w:rsidR="00AE2CA8" w:rsidP="00AE2CA8" w:rsidRDefault="00AE2CA8" w14:paraId="13285E39" w14:textId="77777777">
      <w:r w:rsidRPr="37943A36">
        <w:rPr>
          <w:b/>
          <w:bCs/>
        </w:rPr>
        <w:t>Antwoord</w:t>
      </w:r>
      <w:r>
        <w:br/>
        <w:t xml:space="preserve">Ja. Op de Noordzee geldt vrijheid van scheepvaart en spionage is onder het internationaal recht in de Exclusieve Economische Zone (EEZ) niet expliciet verboden. Ondanks de beperkte rechtsmacht van Nederland in de EEZ, zijn er wel mogelijkheden voor Nederland om te handelen, bijvoorbeeld door verdachte schepen te monitoren en escorteren. Daarnaast is het noodzakelijk om de verschillende weerbaarheid verhogende maatregelen vanuit het Actieplan Strategie ter bescherming Noordzee Infrastructuur uit te voeren. Denk aan het investeren in middelen om het beeld op de Noordzee te verbeteren, maar ook het verbeteren van de beveiliging en de bescherming van de vitale infrastructuur in samenwerking met de energie- en datasector. </w:t>
      </w:r>
    </w:p>
    <w:p w:rsidR="00AE2CA8" w:rsidP="00AE2CA8" w:rsidRDefault="00AE2CA8" w14:paraId="0EB37CB0" w14:textId="77777777">
      <w:pPr>
        <w:rPr>
          <w:rFonts w:eastAsia="Times New Roman" w:cs="Times New Roman"/>
        </w:rPr>
      </w:pPr>
      <w:r w:rsidRPr="006F4A9C">
        <w:rPr>
          <w:rFonts w:eastAsia="Times New Roman" w:cs="Times New Roman"/>
        </w:rPr>
        <w:t>Met de introductie van de aanpak statelijke dreigingen in 2019 is bovendien een werkwijze ontstaan waarbij alle relevante partijen op een blijvende en continue basis bijdragen aan de weerbaarheid tegen statelijke actoren.</w:t>
      </w:r>
      <w:r w:rsidRPr="006F4A9C">
        <w:rPr>
          <w:rStyle w:val="Voetnootmarkering"/>
          <w:rFonts w:eastAsia="Times New Roman" w:cs="Times New Roman"/>
        </w:rPr>
        <w:footnoteReference w:id="7"/>
      </w:r>
      <w:r w:rsidRPr="006F4A9C">
        <w:rPr>
          <w:rFonts w:eastAsia="Times New Roman" w:cs="Times New Roman"/>
        </w:rPr>
        <w:t xml:space="preserve"> De </w:t>
      </w:r>
      <w:proofErr w:type="spellStart"/>
      <w:r w:rsidRPr="006F4A9C">
        <w:rPr>
          <w:rFonts w:eastAsia="Times New Roman" w:cs="Times New Roman"/>
        </w:rPr>
        <w:t>landenneutrale</w:t>
      </w:r>
      <w:proofErr w:type="spellEnd"/>
      <w:r w:rsidRPr="006F4A9C">
        <w:rPr>
          <w:rFonts w:eastAsia="Times New Roman" w:cs="Times New Roman"/>
        </w:rPr>
        <w:t xml:space="preserve"> aanpak richt zich op de gehele maatschappij en werkt volgens een vaste systematiek van belangen-dreiging-weerbaarheid: welke veiligheidsbelangen moeten worden beschermd, wat is de dreiging vanuit statelijke actoren en hoe kan de weerbaarheid worden vergroot? Voor de dreiging van spionage door statelijke actoren is tot op heden vooral ingezet op het verhogen van de weerbaarheid.</w:t>
      </w:r>
    </w:p>
    <w:p w:rsidRPr="007D7A5F" w:rsidR="00AE2CA8" w:rsidP="00AE2CA8" w:rsidRDefault="00AE2CA8" w14:paraId="16C32676" w14:textId="77777777">
      <w:r>
        <w:t>Op dit moment ligt een wetsvoorstel voor de uitbreiding van de strafbaarstelling van spionageactiviteiten voor in de Eerste Kamer. Dit wetsvoorstel moet ervoor zorgen dat, naast het delen van geheime informatie dat op dit moment al strafbaar is, ook het delen van niet geheime maar wel gevoelige informatie met een buitenlandse mogendheid of het verrichten van andere spionageactiviteiten strafbaar wordt. Dit wetsvoorstel strekt zich niet uit tot de EEZ, maar biedt wel meer mogelijkheden om strafrechtelijk op te treden bij spionageactiviteiten op Nederlands grondgebied.</w:t>
      </w:r>
    </w:p>
    <w:p w:rsidRPr="00D16EA7" w:rsidR="00AE2CA8" w:rsidP="00AE2CA8" w:rsidRDefault="00AE2CA8" w14:paraId="57A72B06" w14:textId="77777777">
      <w:r w:rsidRPr="37943A36">
        <w:rPr>
          <w:b/>
          <w:bCs/>
        </w:rPr>
        <w:lastRenderedPageBreak/>
        <w:t>Vraag 7</w:t>
      </w:r>
      <w:r>
        <w:br/>
        <w:t xml:space="preserve">Kunt u deze vragen een voor een onderbouwd beantwoorden binnen een termijn van drie weken? </w:t>
      </w:r>
    </w:p>
    <w:p w:rsidR="00AE2CA8" w:rsidP="00AE2CA8" w:rsidRDefault="00AE2CA8" w14:paraId="432A5AD3" w14:textId="77777777">
      <w:r w:rsidRPr="37943A36">
        <w:rPr>
          <w:b/>
          <w:bCs/>
        </w:rPr>
        <w:t>Antwoord</w:t>
      </w:r>
      <w:r>
        <w:br/>
        <w:t xml:space="preserve">Ja. </w:t>
      </w:r>
    </w:p>
    <w:p w:rsidR="00197EC7" w:rsidRDefault="00197EC7" w14:paraId="4AEB1BBB" w14:textId="77777777"/>
    <w:sectPr w:rsidR="00197EC7" w:rsidSect="00AE2CA8">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CF20" w14:textId="77777777" w:rsidR="00AE2CA8" w:rsidRDefault="00AE2CA8" w:rsidP="00AE2CA8">
      <w:pPr>
        <w:spacing w:after="0" w:line="240" w:lineRule="auto"/>
      </w:pPr>
      <w:r>
        <w:separator/>
      </w:r>
    </w:p>
  </w:endnote>
  <w:endnote w:type="continuationSeparator" w:id="0">
    <w:p w14:paraId="40862E5D" w14:textId="77777777" w:rsidR="00AE2CA8" w:rsidRDefault="00AE2CA8" w:rsidP="00AE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7B7C" w14:textId="77777777" w:rsidR="00AE2CA8" w:rsidRPr="00AE2CA8" w:rsidRDefault="00AE2CA8" w:rsidP="00AE2C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8674" w14:textId="77777777" w:rsidR="00AE2CA8" w:rsidRPr="00AE2CA8" w:rsidRDefault="00AE2CA8" w:rsidP="00AE2C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E099" w14:textId="77777777" w:rsidR="00AE2CA8" w:rsidRPr="00AE2CA8" w:rsidRDefault="00AE2CA8" w:rsidP="00AE2C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E401" w14:textId="77777777" w:rsidR="00AE2CA8" w:rsidRDefault="00AE2CA8" w:rsidP="00AE2CA8">
      <w:pPr>
        <w:spacing w:after="0" w:line="240" w:lineRule="auto"/>
      </w:pPr>
      <w:r>
        <w:separator/>
      </w:r>
    </w:p>
  </w:footnote>
  <w:footnote w:type="continuationSeparator" w:id="0">
    <w:p w14:paraId="11172A57" w14:textId="77777777" w:rsidR="00AE2CA8" w:rsidRDefault="00AE2CA8" w:rsidP="00AE2CA8">
      <w:pPr>
        <w:spacing w:after="0" w:line="240" w:lineRule="auto"/>
      </w:pPr>
      <w:r>
        <w:continuationSeparator/>
      </w:r>
    </w:p>
  </w:footnote>
  <w:footnote w:id="1">
    <w:p w14:paraId="314D35A6" w14:textId="77777777" w:rsidR="00AE2CA8" w:rsidRDefault="00AE2CA8" w:rsidP="00AE2CA8">
      <w:pPr>
        <w:pStyle w:val="Voetnoottekst"/>
      </w:pPr>
      <w:r>
        <w:rPr>
          <w:rStyle w:val="Voetnootmarkering"/>
        </w:rPr>
        <w:footnoteRef/>
      </w:r>
      <w:r>
        <w:t xml:space="preserve"> Kamerstuk 36 124, nr. 39. </w:t>
      </w:r>
    </w:p>
  </w:footnote>
  <w:footnote w:id="2">
    <w:p w14:paraId="7A0FE3FD" w14:textId="77777777" w:rsidR="00AE2CA8" w:rsidRDefault="00AE2CA8" w:rsidP="00AE2CA8">
      <w:pPr>
        <w:pStyle w:val="Voetnoottekst"/>
      </w:pPr>
      <w:r>
        <w:rPr>
          <w:rStyle w:val="Voetnootmarkering"/>
        </w:rPr>
        <w:footnoteRef/>
      </w:r>
      <w:r>
        <w:t xml:space="preserve"> Kamerstuk 33 450, nr. 128.</w:t>
      </w:r>
    </w:p>
  </w:footnote>
  <w:footnote w:id="3">
    <w:p w14:paraId="4EAA5413" w14:textId="77777777" w:rsidR="00AE2CA8" w:rsidRDefault="00AE2CA8" w:rsidP="00AE2CA8">
      <w:pPr>
        <w:pStyle w:val="Voetnoottekst"/>
      </w:pPr>
      <w:r>
        <w:rPr>
          <w:rStyle w:val="Voetnootmarkering"/>
        </w:rPr>
        <w:footnoteRef/>
      </w:r>
      <w:r>
        <w:t xml:space="preserve"> Regeerprogramma; uitwerking van het hoofdlijnenakkoord door het kabinet 13-09-2024</w:t>
      </w:r>
    </w:p>
  </w:footnote>
  <w:footnote w:id="4">
    <w:p w14:paraId="77683DC8" w14:textId="77777777" w:rsidR="00AE2CA8" w:rsidRDefault="00AE2CA8" w:rsidP="00AE2CA8">
      <w:pPr>
        <w:pStyle w:val="Voetnoottekst"/>
      </w:pPr>
      <w:r>
        <w:rPr>
          <w:rStyle w:val="Voetnootmarkering"/>
        </w:rPr>
        <w:footnoteRef/>
      </w:r>
      <w:r>
        <w:t xml:space="preserve"> </w:t>
      </w:r>
      <w:r w:rsidRPr="00F67291">
        <w:t>Kamerstuk 33 450</w:t>
      </w:r>
      <w:r>
        <w:t>,</w:t>
      </w:r>
      <w:r w:rsidRPr="00F67291">
        <w:t xml:space="preserve"> nr. 128</w:t>
      </w:r>
      <w:r>
        <w:t>.</w:t>
      </w:r>
    </w:p>
  </w:footnote>
  <w:footnote w:id="5">
    <w:p w14:paraId="75171C89" w14:textId="77777777" w:rsidR="00AE2CA8" w:rsidRDefault="00AE2CA8" w:rsidP="00AE2CA8">
      <w:pPr>
        <w:pStyle w:val="Voetnoottekst"/>
      </w:pPr>
      <w:r>
        <w:rPr>
          <w:rStyle w:val="Voetnootmarkering"/>
        </w:rPr>
        <w:footnoteRef/>
      </w:r>
      <w:r>
        <w:t xml:space="preserve"> </w:t>
      </w:r>
      <w:r w:rsidRPr="006B1D5C">
        <w:t>Kamerstuk 36 124, nr. 39</w:t>
      </w:r>
      <w:r>
        <w:t>.</w:t>
      </w:r>
    </w:p>
  </w:footnote>
  <w:footnote w:id="6">
    <w:p w14:paraId="12AEAFC7" w14:textId="77777777" w:rsidR="00AE2CA8" w:rsidRDefault="00AE2CA8" w:rsidP="00AE2CA8">
      <w:pPr>
        <w:pStyle w:val="Voetnoottekst"/>
      </w:pPr>
      <w:r>
        <w:rPr>
          <w:rStyle w:val="Voetnootmarkering"/>
        </w:rPr>
        <w:footnoteRef/>
      </w:r>
      <w:r>
        <w:t xml:space="preserve"> Kamerstuk </w:t>
      </w:r>
      <w:r w:rsidRPr="006B1D5C">
        <w:t>27</w:t>
      </w:r>
      <w:r>
        <w:t xml:space="preserve"> 830, nr. </w:t>
      </w:r>
      <w:r w:rsidRPr="006B1D5C">
        <w:t>446</w:t>
      </w:r>
    </w:p>
  </w:footnote>
  <w:footnote w:id="7">
    <w:p w14:paraId="529A3072" w14:textId="77777777" w:rsidR="00AE2CA8" w:rsidRDefault="00AE2CA8" w:rsidP="00AE2CA8">
      <w:pPr>
        <w:pStyle w:val="Voetnoottekst"/>
      </w:pPr>
      <w:r w:rsidRPr="003165C8">
        <w:rPr>
          <w:rStyle w:val="Voetnootmarkering"/>
        </w:rPr>
        <w:footnoteRef/>
      </w:r>
      <w:r w:rsidRPr="003165C8">
        <w:t xml:space="preserve"> </w:t>
      </w:r>
      <w:r w:rsidRPr="003165C8">
        <w:rPr>
          <w:rFonts w:eastAsia="Times New Roman" w:cs="Times New Roman"/>
        </w:rPr>
        <w:t>Kamerstukken II 2018/19, 30821, nr. 72</w:t>
      </w:r>
      <w:r>
        <w:rPr>
          <w:rFonts w:eastAsia="Times New Roman" w:cs="Times New Roman"/>
          <w:color w:val="2E74B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7381" w14:textId="77777777" w:rsidR="00AE2CA8" w:rsidRPr="00AE2CA8" w:rsidRDefault="00AE2CA8" w:rsidP="00AE2C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B475" w14:textId="77777777" w:rsidR="00AE2CA8" w:rsidRPr="00AE2CA8" w:rsidRDefault="00AE2CA8" w:rsidP="00AE2C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EB64" w14:textId="77777777" w:rsidR="00AE2CA8" w:rsidRPr="00AE2CA8" w:rsidRDefault="00AE2CA8" w:rsidP="00AE2CA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A8"/>
    <w:rsid w:val="00197EC7"/>
    <w:rsid w:val="00AE2C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CEA3"/>
  <w15:chartTrackingRefBased/>
  <w15:docId w15:val="{4AF40DC8-D066-4699-AFC2-D5706855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Huisstijl">
    <w:name w:val="Rubricering - Huisstijl"/>
    <w:basedOn w:val="Standaard"/>
    <w:next w:val="Toezendgegevens-Huisstijl"/>
    <w:uiPriority w:val="1"/>
    <w:rsid w:val="00AE2CA8"/>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AE2CA8"/>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AE2CA8"/>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AE2CA8"/>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E2CA8"/>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AE2CA8"/>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AE2CA8"/>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AE2CA8"/>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AE2CA8"/>
    <w:pPr>
      <w:suppressAutoHyphens/>
      <w:autoSpaceDN w:val="0"/>
      <w:spacing w:after="0" w:line="240" w:lineRule="auto"/>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AE2CA8"/>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AE2C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1364</ap:Words>
  <ap:Characters>7506</ap:Characters>
  <ap:DocSecurity>0</ap:DocSecurity>
  <ap:Lines>62</ap:Lines>
  <ap:Paragraphs>17</ap:Paragraphs>
  <ap:ScaleCrop>false</ap:ScaleCrop>
  <ap:LinksUpToDate>false</ap:LinksUpToDate>
  <ap:CharactersWithSpaces>8853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2024-10-23T11:28:00.0000000Z</dcterms:created>
  <dcterms:modified xsi:type="dcterms:W3CDTF">2024-10-23T11:30:00.0000000Z</dcterms:modified>
  <version/>
  <category/>
</coreProperties>
</file>