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3776" w:rsidP="00F13776" w:rsidRDefault="00F13776" w14:paraId="4EF01F8D" w14:textId="77777777">
      <w:r>
        <w:t xml:space="preserve">Geachte voorzitter, </w:t>
      </w:r>
    </w:p>
    <w:p w:rsidR="00F13776" w:rsidP="00F13776" w:rsidRDefault="00F13776" w14:paraId="6CF732E5" w14:textId="77777777"/>
    <w:p w:rsidR="00F13776" w:rsidP="00F13776" w:rsidRDefault="00F13776" w14:paraId="626870C1" w14:textId="77777777">
      <w:r>
        <w:t>Hierbij bieden wij u de antwoorden aan op de schriftelijke vragen gesteld door de leden Dobbe (SP) en </w:t>
      </w:r>
      <w:proofErr w:type="spellStart"/>
      <w:r>
        <w:t>Boswijk</w:t>
      </w:r>
      <w:proofErr w:type="spellEnd"/>
      <w:r>
        <w:t> (CDA) over het wegschrijven van verwijzingen naar gender en SRGR. Deze vragen werden ingezonden op 18 september 2024 met kenmerk 2024Z12993.</w:t>
      </w:r>
    </w:p>
    <w:p w:rsidR="00F13776" w:rsidP="00F13776" w:rsidRDefault="00F13776" w14:paraId="7BFF1A4C" w14:textId="77777777"/>
    <w:p w:rsidR="00F13776" w:rsidP="00F13776" w:rsidRDefault="00F13776" w14:paraId="3F92AC3F" w14:textId="77777777"/>
    <w:p w:rsidR="00723B1D" w:rsidRDefault="00723B1D" w14:paraId="1532F238"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Pr="00C764C9" w:rsidR="00C764C9" w:rsidTr="00FA799E" w14:paraId="17816BC1" w14:textId="77777777">
        <w:tc>
          <w:tcPr>
            <w:tcW w:w="3620" w:type="dxa"/>
          </w:tcPr>
          <w:p w:rsidRPr="00F13776" w:rsidR="00AB4B4A" w:rsidP="00AB4B4A" w:rsidRDefault="00AB4B4A" w14:paraId="2634AA4B" w14:textId="77777777">
            <w:pPr>
              <w:rPr>
                <w:color w:val="auto"/>
              </w:rPr>
            </w:pPr>
            <w:r w:rsidRPr="00F13776">
              <w:rPr>
                <w:color w:val="auto"/>
              </w:rPr>
              <w:t>De minister voor Buitenlandse Handel</w:t>
            </w:r>
            <w:r w:rsidRPr="00F13776">
              <w:rPr>
                <w:color w:val="auto"/>
              </w:rPr>
              <w:br/>
              <w:t>en Ontwikkelingshulp</w:t>
            </w:r>
            <w:r>
              <w:rPr>
                <w:color w:val="auto"/>
              </w:rPr>
              <w:t>,</w:t>
            </w:r>
            <w:r w:rsidRPr="00F13776">
              <w:rPr>
                <w:color w:val="auto"/>
              </w:rPr>
              <w:t xml:space="preserve"> </w:t>
            </w:r>
            <w:r w:rsidRPr="00F13776">
              <w:rPr>
                <w:color w:val="auto"/>
              </w:rPr>
              <w:br/>
            </w:r>
            <w:r w:rsidRPr="00F13776">
              <w:rPr>
                <w:color w:val="auto"/>
              </w:rPr>
              <w:br/>
            </w:r>
            <w:r w:rsidRPr="00F13776">
              <w:rPr>
                <w:color w:val="auto"/>
              </w:rPr>
              <w:br/>
            </w:r>
            <w:r w:rsidRPr="00F13776">
              <w:rPr>
                <w:color w:val="auto"/>
              </w:rPr>
              <w:br/>
            </w:r>
            <w:r w:rsidRPr="00F13776">
              <w:rPr>
                <w:color w:val="auto"/>
              </w:rPr>
              <w:br/>
            </w:r>
            <w:r w:rsidRPr="00F13776">
              <w:rPr>
                <w:color w:val="auto"/>
              </w:rPr>
              <w:br/>
            </w:r>
            <w:proofErr w:type="spellStart"/>
            <w:r w:rsidRPr="00F13776">
              <w:rPr>
                <w:color w:val="auto"/>
              </w:rPr>
              <w:t>Reinette</w:t>
            </w:r>
            <w:proofErr w:type="spellEnd"/>
            <w:r w:rsidRPr="00F13776">
              <w:rPr>
                <w:color w:val="auto"/>
              </w:rPr>
              <w:t xml:space="preserve"> Klever</w:t>
            </w:r>
          </w:p>
          <w:p w:rsidRPr="00F13776" w:rsidR="00C764C9" w:rsidP="00FA799E" w:rsidRDefault="00C764C9" w14:paraId="13193AC9" w14:textId="61325F9C">
            <w:pPr>
              <w:rPr>
                <w:color w:val="auto"/>
              </w:rPr>
            </w:pPr>
          </w:p>
        </w:tc>
        <w:tc>
          <w:tcPr>
            <w:tcW w:w="3921" w:type="dxa"/>
          </w:tcPr>
          <w:p w:rsidRPr="00F13776" w:rsidR="00C764C9" w:rsidP="00AB4B4A" w:rsidRDefault="00AB4B4A" w14:paraId="1D027676" w14:textId="464CA284">
            <w:pPr>
              <w:rPr>
                <w:color w:val="auto"/>
              </w:rPr>
            </w:pPr>
            <w:r>
              <w:rPr>
                <w:color w:val="auto"/>
              </w:rPr>
              <w:t xml:space="preserve">     </w:t>
            </w:r>
            <w:r w:rsidRPr="00F13776">
              <w:rPr>
                <w:color w:val="auto"/>
              </w:rPr>
              <w:t>De minister van Buitenlandse Zaken</w:t>
            </w:r>
            <w:r>
              <w:rPr>
                <w:color w:val="auto"/>
              </w:rPr>
              <w:t>,</w:t>
            </w:r>
            <w:r w:rsidRPr="00F13776">
              <w:rPr>
                <w:color w:val="auto"/>
              </w:rPr>
              <w:br/>
            </w:r>
            <w:r w:rsidRPr="00F13776">
              <w:rPr>
                <w:color w:val="auto"/>
              </w:rPr>
              <w:br/>
            </w:r>
            <w:r w:rsidRPr="00F13776">
              <w:rPr>
                <w:color w:val="auto"/>
              </w:rPr>
              <w:br/>
            </w:r>
            <w:r w:rsidRPr="00F13776">
              <w:rPr>
                <w:color w:val="auto"/>
              </w:rPr>
              <w:br/>
            </w:r>
            <w:r w:rsidRPr="00F13776">
              <w:rPr>
                <w:color w:val="auto"/>
              </w:rPr>
              <w:br/>
            </w:r>
            <w:r w:rsidRPr="00F13776">
              <w:rPr>
                <w:color w:val="auto"/>
              </w:rPr>
              <w:br/>
            </w:r>
            <w:r w:rsidRPr="00F13776">
              <w:rPr>
                <w:color w:val="auto"/>
              </w:rPr>
              <w:br/>
            </w:r>
            <w:r>
              <w:rPr>
                <w:color w:val="auto"/>
              </w:rPr>
              <w:t xml:space="preserve">     </w:t>
            </w:r>
            <w:r w:rsidRPr="00F13776">
              <w:rPr>
                <w:color w:val="auto"/>
              </w:rPr>
              <w:t>Caspar Veldkamp</w:t>
            </w:r>
          </w:p>
        </w:tc>
      </w:tr>
    </w:tbl>
    <w:p w:rsidR="00723B1D" w:rsidRDefault="00723B1D" w14:paraId="1532F23B" w14:textId="77777777"/>
    <w:p w:rsidR="00723B1D" w:rsidRDefault="00723B1D" w14:paraId="1532F23C" w14:textId="77777777"/>
    <w:p w:rsidR="00723B1D" w:rsidRDefault="00455DDC" w14:paraId="1532F23D" w14:textId="77777777">
      <w:pPr>
        <w:pStyle w:val="WitregelW1bodytekst"/>
      </w:pPr>
      <w:r>
        <w:br w:type="page"/>
      </w:r>
    </w:p>
    <w:p w:rsidR="00F13776" w:rsidP="00F13776" w:rsidRDefault="00F13776" w14:paraId="2C6194FB" w14:textId="27C084D2">
      <w:r>
        <w:rPr>
          <w:b/>
        </w:rPr>
        <w:lastRenderedPageBreak/>
        <w:t xml:space="preserve">Antwoorden van de </w:t>
      </w:r>
      <w:r w:rsidR="00C41CB5">
        <w:rPr>
          <w:b/>
        </w:rPr>
        <w:t>m</w:t>
      </w:r>
      <w:r>
        <w:rPr>
          <w:b/>
        </w:rPr>
        <w:t>inister v</w:t>
      </w:r>
      <w:r w:rsidR="00FF4323">
        <w:rPr>
          <w:b/>
        </w:rPr>
        <w:t>oor</w:t>
      </w:r>
      <w:r>
        <w:rPr>
          <w:b/>
        </w:rPr>
        <w:t xml:space="preserve"> Buitenlandse Handel en Ontwikkelingshulp</w:t>
      </w:r>
      <w:r w:rsidR="00C41CB5">
        <w:rPr>
          <w:b/>
        </w:rPr>
        <w:t xml:space="preserve"> en de minister van Buitenlandse Zaken</w:t>
      </w:r>
      <w:r>
        <w:rPr>
          <w:b/>
        </w:rPr>
        <w:t xml:space="preserve"> op vragen van de leden Dobbe (SP) en </w:t>
      </w:r>
      <w:proofErr w:type="spellStart"/>
      <w:r>
        <w:rPr>
          <w:b/>
        </w:rPr>
        <w:t>Boswijk</w:t>
      </w:r>
      <w:proofErr w:type="spellEnd"/>
      <w:r>
        <w:rPr>
          <w:b/>
        </w:rPr>
        <w:t> (CDA) over het wegschrijven van verwijzingen naar gender en SRGR in antwoorden op schriftelijke vragen.</w:t>
      </w:r>
    </w:p>
    <w:p w:rsidR="00F13776" w:rsidP="00F13776" w:rsidRDefault="00F13776" w14:paraId="369D2BAA" w14:textId="77777777"/>
    <w:p w:rsidR="00F13776" w:rsidP="00F13776" w:rsidRDefault="00F13776" w14:paraId="46A0E15D" w14:textId="77777777">
      <w:r>
        <w:rPr>
          <w:b/>
        </w:rPr>
        <w:t>Vraag 1</w:t>
      </w:r>
    </w:p>
    <w:p w:rsidR="00F13776" w:rsidP="00F13776" w:rsidRDefault="00F13776" w14:paraId="24F28700" w14:textId="77777777">
      <w:r w:rsidRPr="00C41345">
        <w:t xml:space="preserve">Kloppen de wijzigingen die u volgens de bijgevoegde beslisnota’s heeft aangebracht in antwoorden op schriftelijke vragen van zowel het lid Dobbe[1] en het lid </w:t>
      </w:r>
      <w:proofErr w:type="spellStart"/>
      <w:r w:rsidRPr="00C41345">
        <w:t>Boswijk</w:t>
      </w:r>
      <w:proofErr w:type="spellEnd"/>
      <w:r w:rsidRPr="00C41345">
        <w:t>?[2] Zo nee, kunt u deze beslisnota’s corrigeren?</w:t>
      </w:r>
      <w:r>
        <w:t xml:space="preserve"> </w:t>
      </w:r>
    </w:p>
    <w:p w:rsidR="00F13776" w:rsidP="00F13776" w:rsidRDefault="00F13776" w14:paraId="0731D927" w14:textId="77777777"/>
    <w:p w:rsidRPr="009015B0" w:rsidR="00F13776" w:rsidP="00F13776" w:rsidRDefault="00F13776" w14:paraId="1E6471F4" w14:textId="290EA6AE">
      <w:pPr>
        <w:rPr>
          <w:lang w:eastAsia="en-US"/>
        </w:rPr>
      </w:pPr>
      <w:r w:rsidRPr="004728A6">
        <w:rPr>
          <w:b/>
        </w:rPr>
        <w:t>Antwoord</w:t>
      </w:r>
      <w:r w:rsidRPr="004728A6">
        <w:rPr>
          <w:lang w:eastAsia="en-US"/>
        </w:rPr>
        <w:br/>
      </w:r>
      <w:r w:rsidRPr="004728A6" w:rsidR="009015B0">
        <w:rPr>
          <w:lang w:eastAsia="en-US"/>
        </w:rPr>
        <w:t xml:space="preserve">Ja de wijzigingen zijn correct. In de beslisnota </w:t>
      </w:r>
      <w:r w:rsidRPr="004728A6">
        <w:rPr>
          <w:lang w:eastAsia="en-US"/>
        </w:rPr>
        <w:t xml:space="preserve">bij de Kamervragen van het lid </w:t>
      </w:r>
      <w:proofErr w:type="spellStart"/>
      <w:r w:rsidRPr="004728A6">
        <w:rPr>
          <w:lang w:eastAsia="en-US"/>
        </w:rPr>
        <w:t>Boswijk</w:t>
      </w:r>
      <w:proofErr w:type="spellEnd"/>
      <w:r w:rsidRPr="004728A6">
        <w:rPr>
          <w:lang w:eastAsia="en-US"/>
        </w:rPr>
        <w:t xml:space="preserve"> (CDA) over de </w:t>
      </w:r>
      <w:r w:rsidRPr="004728A6">
        <w:rPr>
          <w:i/>
          <w:iCs/>
          <w:lang w:eastAsia="en-US"/>
        </w:rPr>
        <w:t>Ukraine Recovery Conference</w:t>
      </w:r>
      <w:r w:rsidRPr="004728A6">
        <w:rPr>
          <w:lang w:eastAsia="en-US"/>
        </w:rPr>
        <w:t xml:space="preserve"> staat ‘de referenties aan algemeen Nederlands genderbeleid </w:t>
      </w:r>
      <w:r w:rsidRPr="004728A6" w:rsidR="0043404F">
        <w:rPr>
          <w:lang w:eastAsia="en-US"/>
        </w:rPr>
        <w:t xml:space="preserve">zijn </w:t>
      </w:r>
      <w:r w:rsidRPr="004728A6">
        <w:rPr>
          <w:lang w:eastAsia="en-US"/>
        </w:rPr>
        <w:t>verwijderd in de beantwoording van de vragen 1 en 3’. Dit</w:t>
      </w:r>
      <w:r w:rsidRPr="004728A6" w:rsidR="0043404F">
        <w:rPr>
          <w:lang w:eastAsia="en-US"/>
        </w:rPr>
        <w:t xml:space="preserve"> had echter</w:t>
      </w:r>
      <w:r w:rsidRPr="004728A6" w:rsidR="009015B0">
        <w:rPr>
          <w:lang w:eastAsia="en-US"/>
        </w:rPr>
        <w:t xml:space="preserve"> vraag 2 en 3 moeten zijn.</w:t>
      </w:r>
      <w:r w:rsidR="009015B0">
        <w:rPr>
          <w:lang w:eastAsia="en-US"/>
        </w:rPr>
        <w:t xml:space="preserve"> </w:t>
      </w:r>
      <w:r w:rsidR="00B66927">
        <w:rPr>
          <w:lang w:eastAsia="en-US"/>
        </w:rPr>
        <w:t xml:space="preserve"> </w:t>
      </w:r>
    </w:p>
    <w:p w:rsidR="00F13776" w:rsidP="00F13776" w:rsidRDefault="00F13776" w14:paraId="0E746DBE" w14:textId="77777777"/>
    <w:p w:rsidR="00F13776" w:rsidP="00F13776" w:rsidRDefault="00F13776" w14:paraId="23A2CC2B" w14:textId="77777777">
      <w:r>
        <w:rPr>
          <w:b/>
        </w:rPr>
        <w:t>Vraag 2</w:t>
      </w:r>
    </w:p>
    <w:p w:rsidR="00F13776" w:rsidP="00F13776" w:rsidRDefault="00F13776" w14:paraId="377F65AA" w14:textId="77777777">
      <w:r w:rsidRPr="00C41345">
        <w:t>Volgens de beslisnota heeft u de zinsnede ‘investeert in mensen- en vrouwenrechten’ vervangen door ‘heeft aandacht voor mensen- en vrouwenrechten’ in antwoorden op het lid Dobbe[3], waarom heeft u deze wijziging aangebracht? Wat betekent het als het ministerie slechts ‘aandacht heeft’ voor mensen- en vrouwenrechten in plaats van dat het investeert?</w:t>
      </w:r>
    </w:p>
    <w:p w:rsidR="00F13776" w:rsidP="00F13776" w:rsidRDefault="00F13776" w14:paraId="2D6BEEA5" w14:textId="77777777"/>
    <w:p w:rsidR="00F13776" w:rsidP="00F13776" w:rsidRDefault="00F13776" w14:paraId="20AEF926" w14:textId="77777777">
      <w:r>
        <w:rPr>
          <w:b/>
        </w:rPr>
        <w:t>Antwoord</w:t>
      </w:r>
    </w:p>
    <w:p w:rsidR="00F13776" w:rsidP="00F13776" w:rsidRDefault="00F13776" w14:paraId="7398EC09" w14:textId="77777777">
      <w:r>
        <w:t xml:space="preserve">De genoemde wijzigingen zijn tekstueel en houden geen wijziging van beleid in. Mensen- en vrouwenrechten inclusief gendergelijkheid en seksuele en reproductieve gezondheid en rechten (SRGR) maken onderdeel uit van het Nederlandse buitenlandsbeleid. Dat komt ook naar voren in de Memorie van Toelichting voor 2025 die uw Kamer is toegegaan. </w:t>
      </w:r>
    </w:p>
    <w:p w:rsidR="00F13776" w:rsidP="00F13776" w:rsidRDefault="00F13776" w14:paraId="4CA40F2D" w14:textId="7898008E">
      <w:r>
        <w:t xml:space="preserve">De prioriteiten binnen het mensenrechtenbeleid zijn ongewijzigd; vrouwenrechten en rechten van </w:t>
      </w:r>
      <w:proofErr w:type="spellStart"/>
      <w:r w:rsidR="00DF40CB">
        <w:t>lhbtiq</w:t>
      </w:r>
      <w:r>
        <w:t>+</w:t>
      </w:r>
      <w:proofErr w:type="spellEnd"/>
      <w:r>
        <w:t xml:space="preserve"> personen maken onderdeel uit van die prioriteiten. De komende maanden wordt het beleid voor Ontwikkelingshulp nader uitgewerkt. Over de plek die vrouwenrechten, gendergelijkheid en SRGR daarin innemen, wordt u</w:t>
      </w:r>
      <w:r w:rsidR="00CD33FB">
        <w:t>w Kamer</w:t>
      </w:r>
      <w:r>
        <w:t xml:space="preserve"> te zijner tijd geïnformeerd.</w:t>
      </w:r>
      <w:r>
        <w:br/>
      </w:r>
    </w:p>
    <w:p w:rsidR="00F13776" w:rsidP="00F13776" w:rsidRDefault="00F13776" w14:paraId="4CE71F91" w14:textId="77777777">
      <w:r>
        <w:rPr>
          <w:b/>
        </w:rPr>
        <w:t>Vraag 3</w:t>
      </w:r>
    </w:p>
    <w:p w:rsidR="00F13776" w:rsidP="00F13776" w:rsidRDefault="00F13776" w14:paraId="59B2DEEE" w14:textId="77777777">
      <w:r w:rsidRPr="00C41345">
        <w:t>Volgens de beslisnota heeft u de zinsnede ‘inclusief het volledige spectrum van SRGR’ laten verwijderen in antwoorden op het lid Dobbe[4]</w:t>
      </w:r>
      <w:r>
        <w:t>.</w:t>
      </w:r>
      <w:r w:rsidRPr="00C41345">
        <w:t xml:space="preserve"> Waarom heeft u deze wijziging aangebracht en wat betekent dit voor uitvoering van het beleid?</w:t>
      </w:r>
    </w:p>
    <w:p w:rsidR="00F13776" w:rsidP="00F13776" w:rsidRDefault="00F13776" w14:paraId="3E1F47D2" w14:textId="77777777"/>
    <w:p w:rsidR="00F13776" w:rsidP="00F13776" w:rsidRDefault="00F13776" w14:paraId="51132AB0" w14:textId="77777777">
      <w:r>
        <w:rPr>
          <w:b/>
        </w:rPr>
        <w:t>Antwoord</w:t>
      </w:r>
    </w:p>
    <w:p w:rsidR="00F13776" w:rsidP="00F13776" w:rsidRDefault="00F13776" w14:paraId="67599540" w14:textId="77777777">
      <w:r>
        <w:t xml:space="preserve">De aangebrachte wijzigingen zijn tekstueel en houden geen wijziging van beleid in. SRGR blijft benoemd in het antwoord. </w:t>
      </w:r>
    </w:p>
    <w:p w:rsidR="00F13776" w:rsidP="00F13776" w:rsidRDefault="00F13776" w14:paraId="72BFA6FE" w14:textId="77777777"/>
    <w:p w:rsidR="00FF4323" w:rsidP="00F13776" w:rsidRDefault="00FF4323" w14:paraId="3E1F53C7" w14:textId="77777777">
      <w:pPr>
        <w:rPr>
          <w:b/>
        </w:rPr>
      </w:pPr>
    </w:p>
    <w:p w:rsidR="00F13776" w:rsidP="00F13776" w:rsidRDefault="00F13776" w14:paraId="3D7649F2" w14:textId="58332BAC">
      <w:r>
        <w:rPr>
          <w:b/>
        </w:rPr>
        <w:t>Vraag 4</w:t>
      </w:r>
    </w:p>
    <w:p w:rsidR="00F13776" w:rsidP="00F13776" w:rsidRDefault="00F13776" w14:paraId="7DFFA380" w14:textId="77777777">
      <w:r w:rsidRPr="00C41345">
        <w:t>Volgens de beslisnota heeft u het woord ‘gendergelijkheid’ vervangen door ‘gelijkheid’ in antwoorden op het lid Dobbe[5], waarom heeft u deze wijziging aangebracht en wat betekent dit voor uitvoering van het beleid?</w:t>
      </w:r>
      <w:r>
        <w:br/>
      </w:r>
    </w:p>
    <w:p w:rsidR="003B16B9" w:rsidP="00F13776" w:rsidRDefault="003B16B9" w14:paraId="4A6265F8" w14:textId="77777777"/>
    <w:p w:rsidR="003B16B9" w:rsidP="00F13776" w:rsidRDefault="003B16B9" w14:paraId="3F3AEF19" w14:textId="77777777"/>
    <w:p w:rsidR="00F13776" w:rsidP="00F13776" w:rsidRDefault="00F13776" w14:paraId="5330567E" w14:textId="77777777">
      <w:r>
        <w:rPr>
          <w:b/>
        </w:rPr>
        <w:lastRenderedPageBreak/>
        <w:t>Antwoord</w:t>
      </w:r>
    </w:p>
    <w:p w:rsidR="00F13776" w:rsidP="00F13776" w:rsidRDefault="00F13776" w14:paraId="0072F652" w14:textId="77777777">
      <w:r>
        <w:t xml:space="preserve">De aangebrachte wijzigingen zijn tekstueel en houden geen wijziging van beleid in. </w:t>
      </w:r>
    </w:p>
    <w:p w:rsidR="00F13776" w:rsidP="00F13776" w:rsidRDefault="00F13776" w14:paraId="55605365" w14:textId="77777777">
      <w:pPr>
        <w:rPr>
          <w:b/>
        </w:rPr>
      </w:pPr>
    </w:p>
    <w:p w:rsidR="00F13776" w:rsidP="00F13776" w:rsidRDefault="00F13776" w14:paraId="6B6C3EF4" w14:textId="77777777">
      <w:r>
        <w:rPr>
          <w:b/>
        </w:rPr>
        <w:t>Vraag 5</w:t>
      </w:r>
    </w:p>
    <w:p w:rsidR="00F13776" w:rsidP="00F13776" w:rsidRDefault="00F13776" w14:paraId="32B80636" w14:textId="77777777">
      <w:r w:rsidRPr="00C41345">
        <w:t xml:space="preserve">Volgens de beslisnota zijn ‘conform uw verzoek’ referenties naar algemeen Nederlands genderbeleid verwijderd in antwoorden op het lid </w:t>
      </w:r>
      <w:proofErr w:type="spellStart"/>
      <w:r w:rsidRPr="00C41345">
        <w:t>Boswijk</w:t>
      </w:r>
      <w:proofErr w:type="spellEnd"/>
      <w:r w:rsidRPr="00C41345">
        <w:t>[6], waarom heeft u dit verzoek gedaan? Wat betekent dit voor uitvoering van het beleid?</w:t>
      </w:r>
    </w:p>
    <w:p w:rsidR="00F13776" w:rsidP="00F13776" w:rsidRDefault="00F13776" w14:paraId="58D30AED" w14:textId="77777777"/>
    <w:p w:rsidRPr="00D563B2" w:rsidR="00F13776" w:rsidP="00F13776" w:rsidRDefault="00F13776" w14:paraId="3357009D" w14:textId="77777777">
      <w:pPr>
        <w:rPr>
          <w:bCs/>
        </w:rPr>
      </w:pPr>
      <w:r>
        <w:rPr>
          <w:b/>
        </w:rPr>
        <w:t>Antwoord</w:t>
      </w:r>
      <w:r>
        <w:rPr>
          <w:b/>
        </w:rPr>
        <w:br/>
      </w:r>
      <w:r>
        <w:rPr>
          <w:bCs/>
        </w:rPr>
        <w:t>De aangebrachte wijzigingen houden geen wijziging van beleid in. Ook hier geldt dat m</w:t>
      </w:r>
      <w:r w:rsidRPr="00D563B2">
        <w:rPr>
          <w:bCs/>
        </w:rPr>
        <w:t xml:space="preserve">ensen- en vrouwenrechten inclusief gendergelijkheid en seksuele en reproductieve gezondheid en rechten (SRGR) </w:t>
      </w:r>
      <w:r>
        <w:rPr>
          <w:bCs/>
        </w:rPr>
        <w:t xml:space="preserve">onderdeel uitmaken van </w:t>
      </w:r>
      <w:r w:rsidRPr="00D563B2">
        <w:rPr>
          <w:bCs/>
        </w:rPr>
        <w:t>het Nederlandse buitenlandsbeleid</w:t>
      </w:r>
      <w:r>
        <w:rPr>
          <w:bCs/>
        </w:rPr>
        <w:t xml:space="preserve"> zoals aangegeven in de Memorie van Toelichting voor 2025. </w:t>
      </w:r>
    </w:p>
    <w:p w:rsidRPr="00D563B2" w:rsidR="00F13776" w:rsidP="00F13776" w:rsidRDefault="00F13776" w14:paraId="2BBF4AB2" w14:textId="6C0C03EA">
      <w:pPr>
        <w:rPr>
          <w:bCs/>
        </w:rPr>
      </w:pPr>
      <w:r w:rsidRPr="00D563B2">
        <w:rPr>
          <w:bCs/>
        </w:rPr>
        <w:t xml:space="preserve">De prioriteiten binnen het mensenrechtenbeleid zijn ongewijzigd; vrouwenrechten en rechten van </w:t>
      </w:r>
      <w:proofErr w:type="spellStart"/>
      <w:r>
        <w:rPr>
          <w:bCs/>
        </w:rPr>
        <w:t>lhbtiq+</w:t>
      </w:r>
      <w:proofErr w:type="spellEnd"/>
      <w:r w:rsidRPr="00D563B2">
        <w:rPr>
          <w:bCs/>
        </w:rPr>
        <w:t xml:space="preserve"> personen maken onderdeel uit van die prioriteiten. De komende maanden wordt het beleid voor Ontwikkelingshulp nader uitgewerkt. Over de plek die vrouwenrechten, gendergelijkheid en SRGR daarin innemen, wordt u</w:t>
      </w:r>
      <w:r w:rsidR="004052EA">
        <w:rPr>
          <w:bCs/>
        </w:rPr>
        <w:t>w Kamer</w:t>
      </w:r>
      <w:r w:rsidRPr="00D563B2">
        <w:rPr>
          <w:bCs/>
        </w:rPr>
        <w:t xml:space="preserve"> te zijner tijd geïnformeerd.</w:t>
      </w:r>
    </w:p>
    <w:p w:rsidRPr="00D563B2" w:rsidR="00F13776" w:rsidP="00F13776" w:rsidRDefault="00F13776" w14:paraId="64A16953" w14:textId="77777777">
      <w:pPr>
        <w:rPr>
          <w:bCs/>
        </w:rPr>
      </w:pPr>
    </w:p>
    <w:p w:rsidR="00F13776" w:rsidP="00F13776" w:rsidRDefault="00F13776" w14:paraId="1F528D1D" w14:textId="77777777">
      <w:pPr>
        <w:rPr>
          <w:b/>
        </w:rPr>
      </w:pPr>
      <w:r>
        <w:rPr>
          <w:b/>
        </w:rPr>
        <w:t>Vraag 6</w:t>
      </w:r>
      <w:r>
        <w:rPr>
          <w:b/>
        </w:rPr>
        <w:br/>
      </w:r>
      <w:r w:rsidRPr="00B64944">
        <w:t xml:space="preserve">Volgens de beslisnota is ‘conform uw aanwijzing’ het woord ‘cruciaal’ vervangen door ‘belangrijk’ in antwoorden op het lid </w:t>
      </w:r>
      <w:proofErr w:type="spellStart"/>
      <w:r w:rsidRPr="00B64944">
        <w:t>Boswijk</w:t>
      </w:r>
      <w:proofErr w:type="spellEnd"/>
      <w:r w:rsidRPr="00B64944">
        <w:t>[7], waarom heeft u deze aanwijzing gedaan? Wat is in deze context het verschil tussen ‘cruciaal’ en ‘belangrijk’?</w:t>
      </w:r>
      <w:r>
        <w:rPr>
          <w:b/>
        </w:rPr>
        <w:br/>
      </w:r>
    </w:p>
    <w:p w:rsidR="00F13776" w:rsidP="00F13776" w:rsidRDefault="00F13776" w14:paraId="3CFC63F5" w14:textId="77777777">
      <w:r>
        <w:rPr>
          <w:b/>
        </w:rPr>
        <w:t>Antwoord</w:t>
      </w:r>
      <w:r>
        <w:rPr>
          <w:b/>
        </w:rPr>
        <w:br/>
      </w:r>
      <w:r>
        <w:t>Omdat n</w:t>
      </w:r>
      <w:r w:rsidRPr="00C41345">
        <w:t>aast bescherming ook</w:t>
      </w:r>
      <w:r>
        <w:t xml:space="preserve"> preventie </w:t>
      </w:r>
      <w:r w:rsidRPr="00C41345">
        <w:t xml:space="preserve">van groot belang </w:t>
      </w:r>
      <w:r>
        <w:t xml:space="preserve">is </w:t>
      </w:r>
      <w:r w:rsidRPr="00C41345">
        <w:t>in het kader van humanitaire actie</w:t>
      </w:r>
      <w:r>
        <w:t>, is het woord ‘cruciaal’ aangepast naar ‘belangrijk’</w:t>
      </w:r>
      <w:r w:rsidRPr="00C41345">
        <w:t xml:space="preserve">.  </w:t>
      </w:r>
    </w:p>
    <w:p w:rsidR="00F13776" w:rsidP="00F13776" w:rsidRDefault="00F13776" w14:paraId="3993805A" w14:textId="77777777"/>
    <w:p w:rsidR="00F13776" w:rsidP="00F13776" w:rsidRDefault="00F13776" w14:paraId="6AAFC812" w14:textId="77777777">
      <w:pPr>
        <w:rPr>
          <w:b/>
        </w:rPr>
      </w:pPr>
      <w:r>
        <w:rPr>
          <w:b/>
        </w:rPr>
        <w:t>Vraag 7</w:t>
      </w:r>
      <w:r>
        <w:rPr>
          <w:b/>
        </w:rPr>
        <w:br/>
      </w:r>
      <w:r w:rsidRPr="00B64944">
        <w:t xml:space="preserve">Volgens de beslisnota is het zinsdeel ‘al dan niet genderspecifiek’ vervangen door ‘specifiek’ in antwoorden op het lid </w:t>
      </w:r>
      <w:proofErr w:type="spellStart"/>
      <w:r w:rsidRPr="00B64944">
        <w:t>Boswijk</w:t>
      </w:r>
      <w:proofErr w:type="spellEnd"/>
      <w:r w:rsidRPr="00B64944">
        <w:t>[8], waarom heeft u deze wijziging laten aanbrengen en wat betekent dit voor uitvoering van het beleid?</w:t>
      </w:r>
      <w:r w:rsidRPr="00B64944">
        <w:br/>
      </w:r>
    </w:p>
    <w:p w:rsidR="00F13776" w:rsidP="00F13776" w:rsidRDefault="00F13776" w14:paraId="749B5066" w14:textId="77777777">
      <w:r>
        <w:rPr>
          <w:b/>
        </w:rPr>
        <w:t>Antwoord</w:t>
      </w:r>
      <w:r>
        <w:rPr>
          <w:b/>
        </w:rPr>
        <w:br/>
      </w:r>
      <w:r>
        <w:t xml:space="preserve">De aangebrachte wijzigingen zijn tekstueel en houden geen wijziging van beleid in. </w:t>
      </w:r>
    </w:p>
    <w:p w:rsidR="00F13776" w:rsidP="00F13776" w:rsidRDefault="00F13776" w14:paraId="05684E8C" w14:textId="77777777"/>
    <w:p w:rsidR="00F13776" w:rsidP="00F13776" w:rsidRDefault="00F13776" w14:paraId="0D99FD25" w14:textId="77777777">
      <w:r>
        <w:rPr>
          <w:b/>
        </w:rPr>
        <w:t>Vraag 8</w:t>
      </w:r>
      <w:r>
        <w:rPr>
          <w:b/>
        </w:rPr>
        <w:br/>
      </w:r>
      <w:r w:rsidRPr="00B64944">
        <w:t>Welk belang hecht u aan vrouwenrechten, gendergelijkheid en Seksuele en Reproductieve Gezondheid en Rechten (SRGR)?</w:t>
      </w:r>
    </w:p>
    <w:p w:rsidR="00FF4323" w:rsidP="00F13776" w:rsidRDefault="00FF4323" w14:paraId="5171CD62" w14:textId="77777777">
      <w:pPr>
        <w:rPr>
          <w:b/>
        </w:rPr>
      </w:pPr>
    </w:p>
    <w:p w:rsidR="00F13776" w:rsidP="00F13776" w:rsidRDefault="00F13776" w14:paraId="4BD66DD0" w14:textId="6F0C99B6">
      <w:r>
        <w:rPr>
          <w:b/>
        </w:rPr>
        <w:t>Antwoord</w:t>
      </w:r>
    </w:p>
    <w:p w:rsidR="00F13776" w:rsidP="00F13776" w:rsidRDefault="00F13776" w14:paraId="7C3FAF7B" w14:textId="77777777">
      <w:r w:rsidRPr="00D563B2">
        <w:t xml:space="preserve">Binnen het mensenrechtenbeleid hanteert het kabinet </w:t>
      </w:r>
      <w:r>
        <w:t xml:space="preserve">naast </w:t>
      </w:r>
      <w:proofErr w:type="spellStart"/>
      <w:r w:rsidRPr="00D563B2">
        <w:t>vrĳheid</w:t>
      </w:r>
      <w:proofErr w:type="spellEnd"/>
      <w:r w:rsidRPr="00D563B2">
        <w:t xml:space="preserve"> van religie en levensovertuiging, </w:t>
      </w:r>
      <w:proofErr w:type="spellStart"/>
      <w:r w:rsidRPr="00D563B2">
        <w:t>vrĳheid</w:t>
      </w:r>
      <w:proofErr w:type="spellEnd"/>
      <w:r w:rsidRPr="00D563B2">
        <w:t xml:space="preserve"> van meningsuiting online en offline en bescherming van mensenrechtenverdedigers en </w:t>
      </w:r>
      <w:proofErr w:type="spellStart"/>
      <w:r w:rsidRPr="00D563B2">
        <w:t>maatschappelĳke</w:t>
      </w:r>
      <w:proofErr w:type="spellEnd"/>
      <w:r w:rsidRPr="00D563B2">
        <w:t xml:space="preserve"> ruimte </w:t>
      </w:r>
      <w:r>
        <w:t xml:space="preserve">ook </w:t>
      </w:r>
      <w:proofErr w:type="spellStart"/>
      <w:r w:rsidRPr="00D563B2">
        <w:t>gelĳke</w:t>
      </w:r>
      <w:proofErr w:type="spellEnd"/>
      <w:r w:rsidRPr="00D563B2">
        <w:t xml:space="preserve"> rechten voor vrouwen en meisjes</w:t>
      </w:r>
      <w:r>
        <w:t xml:space="preserve"> en voor </w:t>
      </w:r>
      <w:proofErr w:type="spellStart"/>
      <w:r>
        <w:t>lhbtiq+</w:t>
      </w:r>
      <w:proofErr w:type="spellEnd"/>
      <w:r>
        <w:t xml:space="preserve"> </w:t>
      </w:r>
      <w:r w:rsidRPr="00D563B2">
        <w:t>personen.</w:t>
      </w:r>
      <w:r>
        <w:t xml:space="preserve"> Binnen BHO geldt het bevorderen van vrouwenrechten en gendergelijkheid als een algemene doelstelling, zoals ook verwoord in het antwoord op vraag 2. </w:t>
      </w:r>
    </w:p>
    <w:p w:rsidR="00F13776" w:rsidP="00F13776" w:rsidRDefault="00F13776" w14:paraId="323C099B" w14:textId="77777777">
      <w:r>
        <w:lastRenderedPageBreak/>
        <w:br/>
        <w:t xml:space="preserve">Het kabinet hecht belang aan goede toegang tot SRGR en keuzevrijheid van vrouwen en meisjes zodat zij zeggenschap hebben over hun eigen lichaam, leven en toekomst. Dit is belangrijk voor de gezondheid, welvaart en stabiliteit van een samenleving. Dit is ook in het belang van Nederland. Zorg rond seksualiteit, zwangerschap en geboorte is een belangrijk aspect van basisgezondheidszorg en vaak de aanleiding dat mensen voor het eerst in een kliniek komen. Dit is daarom ook het moment waarop zij gevaccineerd kunnen worden of gediagnostiseerd op (infectie-) ziekten. Toegang tot basisgezondheidszorg met focus op SRGR, draagt bij aan het terugdringen van moedersterfte, lagere kindersterfte maar ook het tegengaan van infectieziekten en uiteindelijk pandemieën. </w:t>
      </w:r>
    </w:p>
    <w:p w:rsidR="00F13776" w:rsidP="00F13776" w:rsidRDefault="00F13776" w14:paraId="444945F7" w14:textId="77777777"/>
    <w:p w:rsidR="00F13776" w:rsidP="00F13776" w:rsidRDefault="00F13776" w14:paraId="4A0DF995" w14:textId="06E001D9">
      <w:r>
        <w:t>Zoals benoemd in het antwoord op vraag 4 wordt het beleid voor Ontwikkelingshulp de komende maanden nader uitgewerkt. Over de plek die vrouwenrechten, gendergelijkheid en SRGR daarin innemen, wordt u</w:t>
      </w:r>
      <w:r w:rsidR="007F11D7">
        <w:t>w Kamer</w:t>
      </w:r>
      <w:r>
        <w:t xml:space="preserve"> te zijner tijd geïnformeerd.</w:t>
      </w:r>
    </w:p>
    <w:p w:rsidR="00F13776" w:rsidP="00F13776" w:rsidRDefault="00F13776" w14:paraId="152CB5B4" w14:textId="77777777">
      <w:pPr>
        <w:rPr>
          <w:b/>
        </w:rPr>
      </w:pPr>
      <w:r>
        <w:rPr>
          <w:b/>
        </w:rPr>
        <w:br/>
        <w:t>Vraag 9</w:t>
      </w:r>
      <w:r>
        <w:rPr>
          <w:b/>
        </w:rPr>
        <w:br/>
      </w:r>
      <w:r w:rsidRPr="00EE09D8">
        <w:t xml:space="preserve">Wat is uw reactie op de </w:t>
      </w:r>
      <w:proofErr w:type="spellStart"/>
      <w:r w:rsidRPr="002D32A9">
        <w:rPr>
          <w:i/>
          <w:iCs/>
        </w:rPr>
        <w:t>Sustainable</w:t>
      </w:r>
      <w:proofErr w:type="spellEnd"/>
      <w:r w:rsidRPr="002D32A9">
        <w:rPr>
          <w:i/>
          <w:iCs/>
        </w:rPr>
        <w:t xml:space="preserve"> Development Goal (SDG) Gender Index</w:t>
      </w:r>
      <w:r w:rsidRPr="00EE09D8">
        <w:t xml:space="preserve"> zoals gepubliceerd op 5 september 2024, waaruit blijkt dat wereldwijd ruim 1,1 miljard vrouwen in een land wonen waar de gendergelijkheid verslechtert of stagneert?[9]</w:t>
      </w:r>
      <w:r w:rsidRPr="00EE09D8">
        <w:br/>
      </w:r>
    </w:p>
    <w:p w:rsidR="00F13776" w:rsidP="00F13776" w:rsidRDefault="00F13776" w14:paraId="6F43756E" w14:textId="77777777">
      <w:r>
        <w:rPr>
          <w:b/>
        </w:rPr>
        <w:t>Antwoord</w:t>
      </w:r>
      <w:r>
        <w:rPr>
          <w:b/>
        </w:rPr>
        <w:br/>
      </w:r>
      <w:r w:rsidRPr="00204130">
        <w:t xml:space="preserve">De door </w:t>
      </w:r>
      <w:proofErr w:type="spellStart"/>
      <w:r w:rsidRPr="00E113BC">
        <w:rPr>
          <w:i/>
          <w:iCs/>
        </w:rPr>
        <w:t>Equal</w:t>
      </w:r>
      <w:proofErr w:type="spellEnd"/>
      <w:r w:rsidRPr="00E113BC">
        <w:rPr>
          <w:i/>
          <w:iCs/>
        </w:rPr>
        <w:t xml:space="preserve"> </w:t>
      </w:r>
      <w:proofErr w:type="spellStart"/>
      <w:r w:rsidRPr="00E113BC">
        <w:rPr>
          <w:i/>
          <w:iCs/>
        </w:rPr>
        <w:t>Measures</w:t>
      </w:r>
      <w:proofErr w:type="spellEnd"/>
      <w:r w:rsidRPr="00204130">
        <w:t xml:space="preserve"> gepubliceerde </w:t>
      </w:r>
      <w:r w:rsidRPr="00E113BC">
        <w:rPr>
          <w:i/>
          <w:iCs/>
        </w:rPr>
        <w:t>SDG Gender Index</w:t>
      </w:r>
      <w:r w:rsidRPr="00204130">
        <w:t xml:space="preserve"> constateert dat verworven vrijheden en gelijke rechten</w:t>
      </w:r>
      <w:r>
        <w:t xml:space="preserve"> van vrouwen </w:t>
      </w:r>
      <w:r w:rsidRPr="00204130">
        <w:t>in verschillende landen wereldwijd stagneren of verslechteren. Daarnaast stelt het rapport dat verschillende mondiale crises een negatieve impact hebben op het behalen van gendergelijkheid. Volgens het rapport raken druk op democratie, schaarste in middelen en toenemende conflicten vrouwen en meisjes disproportioneel.</w:t>
      </w:r>
      <w:r w:rsidRPr="00EE09D8">
        <w:rPr>
          <w:i/>
          <w:iCs/>
        </w:rPr>
        <w:t xml:space="preserve"> </w:t>
      </w:r>
      <w:r w:rsidRPr="00EE09D8">
        <w:rPr>
          <w:i/>
          <w:iCs/>
        </w:rPr>
        <w:br/>
      </w:r>
      <w:r>
        <w:rPr>
          <w:i/>
          <w:iCs/>
        </w:rPr>
        <w:br/>
      </w:r>
      <w:r>
        <w:t xml:space="preserve">Het kabinet herkent het beeld dat </w:t>
      </w:r>
      <w:proofErr w:type="spellStart"/>
      <w:r w:rsidRPr="00DB6FA2">
        <w:rPr>
          <w:i/>
          <w:iCs/>
        </w:rPr>
        <w:t>Equal</w:t>
      </w:r>
      <w:proofErr w:type="spellEnd"/>
      <w:r w:rsidRPr="00DB6FA2">
        <w:rPr>
          <w:i/>
          <w:iCs/>
        </w:rPr>
        <w:t xml:space="preserve"> </w:t>
      </w:r>
      <w:proofErr w:type="spellStart"/>
      <w:r w:rsidRPr="00DB6FA2">
        <w:rPr>
          <w:i/>
          <w:iCs/>
        </w:rPr>
        <w:t>Measures</w:t>
      </w:r>
      <w:proofErr w:type="spellEnd"/>
      <w:r>
        <w:t xml:space="preserve"> schetst. Dat beeld komt overeen met wat het kabinet constateert in het regeerprogramma, namelijk dat op veel plekken in de wereld de stabiliteit afneemt en de bestaanszekerheid verslechtert. </w:t>
      </w:r>
      <w:r w:rsidRPr="00082165">
        <w:t>Het kabinet</w:t>
      </w:r>
      <w:r>
        <w:t xml:space="preserve"> wil middels </w:t>
      </w:r>
      <w:r w:rsidRPr="00082165">
        <w:t>conflictpreventie, wederopbouw, sociaaleconomische vooruitgang en bescherming van burgers in ontwikkelingslanden</w:t>
      </w:r>
      <w:r>
        <w:t xml:space="preserve"> bijdragen aan </w:t>
      </w:r>
      <w:r w:rsidRPr="00082165">
        <w:t>de stabiliteit in kwetsbare landen</w:t>
      </w:r>
      <w:r>
        <w:t xml:space="preserve">. </w:t>
      </w:r>
    </w:p>
    <w:p w:rsidR="00F13776" w:rsidP="00F13776" w:rsidRDefault="00F13776" w14:paraId="09FD0243" w14:textId="77777777"/>
    <w:p w:rsidRPr="00B64944" w:rsidR="00F13776" w:rsidP="00F13776" w:rsidRDefault="00F13776" w14:paraId="4A4C7D36" w14:textId="77777777">
      <w:pPr>
        <w:autoSpaceDN/>
        <w:spacing w:after="160" w:line="259" w:lineRule="auto"/>
        <w:textAlignment w:val="auto"/>
      </w:pPr>
      <w:r>
        <w:rPr>
          <w:b/>
        </w:rPr>
        <w:t>Vraag 10</w:t>
      </w:r>
      <w:r>
        <w:rPr>
          <w:b/>
        </w:rPr>
        <w:br/>
      </w:r>
      <w:r w:rsidRPr="00B64944">
        <w:t>Kunt u de vragen afzonderlijk en uitgebreid beantwoorden?</w:t>
      </w:r>
    </w:p>
    <w:p w:rsidR="00F13776" w:rsidP="00F13776" w:rsidRDefault="00F13776" w14:paraId="736C5549" w14:textId="77777777">
      <w:r>
        <w:rPr>
          <w:b/>
        </w:rPr>
        <w:t>Antwoord</w:t>
      </w:r>
    </w:p>
    <w:p w:rsidR="00F13776" w:rsidP="00F13776" w:rsidRDefault="007F11D7" w14:paraId="1E10B51A" w14:textId="41D34180">
      <w:r>
        <w:t>Ja</w:t>
      </w:r>
      <w:r w:rsidR="00F13776">
        <w:t xml:space="preserve">. </w:t>
      </w:r>
    </w:p>
    <w:p w:rsidR="00F13776" w:rsidP="00F13776" w:rsidRDefault="00F13776" w14:paraId="0200695C" w14:textId="77777777"/>
    <w:p w:rsidR="00F13776" w:rsidP="00F13776" w:rsidRDefault="00F13776" w14:paraId="64D6A9C3" w14:textId="77777777">
      <w:pPr>
        <w:autoSpaceDN/>
        <w:spacing w:after="160" w:line="259" w:lineRule="auto"/>
        <w:textAlignment w:val="auto"/>
        <w:rPr>
          <w:rFonts w:eastAsiaTheme="minorHAnsi" w:cstheme="minorBidi"/>
          <w:color w:val="auto"/>
          <w:lang w:eastAsia="en-US"/>
        </w:rPr>
      </w:pPr>
    </w:p>
    <w:p w:rsidR="00C41345" w:rsidRDefault="00C41345" w14:paraId="6FF41202" w14:textId="77777777"/>
    <w:sectPr w:rsidR="00C41345" w:rsidSect="003B16B9">
      <w:headerReference w:type="even" r:id="rId13"/>
      <w:headerReference w:type="default" r:id="rId14"/>
      <w:footerReference w:type="even" r:id="rId15"/>
      <w:footerReference w:type="default" r:id="rId16"/>
      <w:headerReference w:type="first" r:id="rId17"/>
      <w:footerReference w:type="first" r:id="rId18"/>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A603" w14:textId="77777777" w:rsidR="00455DDC" w:rsidRDefault="00455DDC">
      <w:pPr>
        <w:spacing w:line="240" w:lineRule="auto"/>
      </w:pPr>
      <w:r>
        <w:separator/>
      </w:r>
    </w:p>
  </w:endnote>
  <w:endnote w:type="continuationSeparator" w:id="0">
    <w:p w14:paraId="6053E565" w14:textId="77777777" w:rsidR="00455DDC" w:rsidRDefault="00455DDC">
      <w:pPr>
        <w:spacing w:line="240" w:lineRule="auto"/>
      </w:pPr>
      <w:r>
        <w:continuationSeparator/>
      </w:r>
    </w:p>
  </w:endnote>
  <w:endnote w:type="continuationNotice" w:id="1">
    <w:p w14:paraId="0980E220" w14:textId="77777777" w:rsidR="00BE2B17" w:rsidRDefault="00BE2B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3016" w14:textId="77777777" w:rsidR="00201561" w:rsidRDefault="00201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1D47" w14:textId="77777777" w:rsidR="00201561" w:rsidRDefault="002015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71FB" w14:textId="77777777" w:rsidR="00201561" w:rsidRDefault="00201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3178E" w14:textId="77777777" w:rsidR="00455DDC" w:rsidRDefault="00455DDC">
      <w:pPr>
        <w:spacing w:line="240" w:lineRule="auto"/>
      </w:pPr>
      <w:r>
        <w:separator/>
      </w:r>
    </w:p>
  </w:footnote>
  <w:footnote w:type="continuationSeparator" w:id="0">
    <w:p w14:paraId="3F1122B7" w14:textId="77777777" w:rsidR="00455DDC" w:rsidRDefault="00455DDC">
      <w:pPr>
        <w:spacing w:line="240" w:lineRule="auto"/>
      </w:pPr>
      <w:r>
        <w:continuationSeparator/>
      </w:r>
    </w:p>
  </w:footnote>
  <w:footnote w:type="continuationNotice" w:id="1">
    <w:p w14:paraId="7D0AEBAE" w14:textId="77777777" w:rsidR="00BE2B17" w:rsidRDefault="00BE2B1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BE3E1" w14:textId="77777777" w:rsidR="00201561" w:rsidRDefault="00201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F25D" w14:textId="16569412" w:rsidR="00723B1D" w:rsidRDefault="00455DDC">
    <w:r>
      <w:rPr>
        <w:noProof/>
      </w:rPr>
      <mc:AlternateContent>
        <mc:Choice Requires="wps">
          <w:drawing>
            <wp:anchor distT="0" distB="0" distL="0" distR="0" simplePos="0" relativeHeight="251658240" behindDoc="0" locked="1" layoutInCell="1" allowOverlap="1" wp14:anchorId="1532F261" wp14:editId="1532F262">
              <wp:simplePos x="0" y="0"/>
              <wp:positionH relativeFrom="page">
                <wp:posOffset>5921375</wp:posOffset>
              </wp:positionH>
              <wp:positionV relativeFrom="page">
                <wp:posOffset>1965325</wp:posOffset>
              </wp:positionV>
              <wp:extent cx="1277620"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532F291" w14:textId="77777777" w:rsidR="00723B1D" w:rsidRDefault="00455DDC">
                          <w:pPr>
                            <w:pStyle w:val="Referentiegegevensbold"/>
                          </w:pPr>
                          <w:r>
                            <w:t>Ministerie van Buitenlandse Zaken</w:t>
                          </w:r>
                        </w:p>
                        <w:p w14:paraId="1532F292" w14:textId="77777777" w:rsidR="00723B1D" w:rsidRDefault="00723B1D">
                          <w:pPr>
                            <w:pStyle w:val="WitregelW2"/>
                          </w:pPr>
                        </w:p>
                        <w:p w14:paraId="1532F293" w14:textId="77777777" w:rsidR="00723B1D" w:rsidRDefault="00455DDC">
                          <w:pPr>
                            <w:pStyle w:val="Referentiegegevensbold"/>
                          </w:pPr>
                          <w:r>
                            <w:t>Onze referentie</w:t>
                          </w:r>
                        </w:p>
                        <w:p w14:paraId="1532F294" w14:textId="77777777" w:rsidR="00723B1D" w:rsidRDefault="00455DDC">
                          <w:pPr>
                            <w:pStyle w:val="Referentiegegevens"/>
                          </w:pPr>
                          <w:r>
                            <w:t>BZ2405486</w:t>
                          </w:r>
                        </w:p>
                      </w:txbxContent>
                    </wps:txbx>
                    <wps:bodyPr vert="horz" wrap="square" lIns="0" tIns="0" rIns="0" bIns="0" anchor="t" anchorCtr="0"/>
                  </wps:wsp>
                </a:graphicData>
              </a:graphic>
            </wp:anchor>
          </w:drawing>
        </mc:Choice>
        <mc:Fallback>
          <w:pict>
            <v:shapetype w14:anchorId="1532F261" id="_x0000_t202" coordsize="21600,21600" o:spt="202" path="m,l,21600r21600,l21600,xe">
              <v:stroke joinstyle="miter"/>
              <v:path gradientshapeok="t" o:connecttype="rect"/>
            </v:shapetype>
            <v:shape id="Text Box 1"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532F291" w14:textId="77777777" w:rsidR="00723B1D" w:rsidRDefault="00455DDC">
                    <w:pPr>
                      <w:pStyle w:val="Referentiegegevensbold"/>
                    </w:pPr>
                    <w:r>
                      <w:t>Ministerie van Buitenlandse Zaken</w:t>
                    </w:r>
                  </w:p>
                  <w:p w14:paraId="1532F292" w14:textId="77777777" w:rsidR="00723B1D" w:rsidRDefault="00723B1D">
                    <w:pPr>
                      <w:pStyle w:val="WitregelW2"/>
                    </w:pPr>
                  </w:p>
                  <w:p w14:paraId="1532F293" w14:textId="77777777" w:rsidR="00723B1D" w:rsidRDefault="00455DDC">
                    <w:pPr>
                      <w:pStyle w:val="Referentiegegevensbold"/>
                    </w:pPr>
                    <w:r>
                      <w:t>Onze referentie</w:t>
                    </w:r>
                  </w:p>
                  <w:p w14:paraId="1532F294" w14:textId="77777777" w:rsidR="00723B1D" w:rsidRDefault="00455DDC">
                    <w:pPr>
                      <w:pStyle w:val="Referentiegegevens"/>
                    </w:pPr>
                    <w:r>
                      <w:t>BZ2405486</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1532F265" wp14:editId="127B290B">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532F296" w14:textId="1B432462" w:rsidR="00723B1D" w:rsidRDefault="00455DDC">
                          <w:pPr>
                            <w:pStyle w:val="Referentiegegevens"/>
                          </w:pPr>
                          <w:r>
                            <w:t xml:space="preserve">Pagina </w:t>
                          </w:r>
                          <w:r w:rsidR="005B7FB0">
                            <w:fldChar w:fldCharType="begin"/>
                          </w:r>
                          <w:r w:rsidR="005B7FB0">
                            <w:instrText>=</w:instrText>
                          </w:r>
                          <w:r w:rsidR="005B7FB0">
                            <w:fldChar w:fldCharType="begin"/>
                          </w:r>
                          <w:r w:rsidR="005B7FB0">
                            <w:instrText>PAGE</w:instrText>
                          </w:r>
                          <w:r w:rsidR="005B7FB0">
                            <w:fldChar w:fldCharType="separate"/>
                          </w:r>
                          <w:r w:rsidR="00201561">
                            <w:rPr>
                              <w:noProof/>
                            </w:rPr>
                            <w:instrText>2</w:instrText>
                          </w:r>
                          <w:r w:rsidR="005B7FB0">
                            <w:fldChar w:fldCharType="end"/>
                          </w:r>
                          <w:r w:rsidR="005B7FB0">
                            <w:instrText>-1</w:instrText>
                          </w:r>
                          <w:r w:rsidR="005B7FB0">
                            <w:fldChar w:fldCharType="separate"/>
                          </w:r>
                          <w:r w:rsidR="00201561">
                            <w:rPr>
                              <w:noProof/>
                            </w:rPr>
                            <w:t>1</w:t>
                          </w:r>
                          <w:r w:rsidR="005B7FB0">
                            <w:fldChar w:fldCharType="end"/>
                          </w:r>
                          <w:r>
                            <w:t xml:space="preserve"> van </w:t>
                          </w:r>
                          <w:r>
                            <w:fldChar w:fldCharType="begin"/>
                          </w:r>
                          <w:r>
                            <w:instrText>=</w:instrText>
                          </w:r>
                          <w:r>
                            <w:fldChar w:fldCharType="begin"/>
                          </w:r>
                          <w:r>
                            <w:instrText>NUMPAGES</w:instrText>
                          </w:r>
                          <w:r>
                            <w:fldChar w:fldCharType="separate"/>
                          </w:r>
                          <w:r w:rsidR="00201561">
                            <w:rPr>
                              <w:noProof/>
                            </w:rPr>
                            <w:instrText>4</w:instrText>
                          </w:r>
                          <w:r>
                            <w:fldChar w:fldCharType="end"/>
                          </w:r>
                          <w:r>
                            <w:instrText>-1</w:instrText>
                          </w:r>
                          <w:r>
                            <w:fldChar w:fldCharType="separate"/>
                          </w:r>
                          <w:r w:rsidR="00201561">
                            <w:rPr>
                              <w:noProof/>
                            </w:rPr>
                            <w:t>3</w:t>
                          </w:r>
                          <w:r>
                            <w:fldChar w:fldCharType="end"/>
                          </w:r>
                        </w:p>
                      </w:txbxContent>
                    </wps:txbx>
                    <wps:bodyPr vert="horz" wrap="square" lIns="0" tIns="0" rIns="0" bIns="0" anchor="t" anchorCtr="0"/>
                  </wps:wsp>
                </a:graphicData>
              </a:graphic>
            </wp:anchor>
          </w:drawing>
        </mc:Choice>
        <mc:Fallback>
          <w:pict>
            <v:shape w14:anchorId="1532F265" id="Text Box 3"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1532F296" w14:textId="1B432462" w:rsidR="00723B1D" w:rsidRDefault="00455DDC">
                    <w:pPr>
                      <w:pStyle w:val="Referentiegegevens"/>
                    </w:pPr>
                    <w:r>
                      <w:t xml:space="preserve">Pagina </w:t>
                    </w:r>
                    <w:r w:rsidR="005B7FB0">
                      <w:fldChar w:fldCharType="begin"/>
                    </w:r>
                    <w:r w:rsidR="005B7FB0">
                      <w:instrText>=</w:instrText>
                    </w:r>
                    <w:r w:rsidR="005B7FB0">
                      <w:fldChar w:fldCharType="begin"/>
                    </w:r>
                    <w:r w:rsidR="005B7FB0">
                      <w:instrText>PAGE</w:instrText>
                    </w:r>
                    <w:r w:rsidR="005B7FB0">
                      <w:fldChar w:fldCharType="separate"/>
                    </w:r>
                    <w:r w:rsidR="00201561">
                      <w:rPr>
                        <w:noProof/>
                      </w:rPr>
                      <w:instrText>2</w:instrText>
                    </w:r>
                    <w:r w:rsidR="005B7FB0">
                      <w:fldChar w:fldCharType="end"/>
                    </w:r>
                    <w:r w:rsidR="005B7FB0">
                      <w:instrText>-1</w:instrText>
                    </w:r>
                    <w:r w:rsidR="005B7FB0">
                      <w:fldChar w:fldCharType="separate"/>
                    </w:r>
                    <w:r w:rsidR="00201561">
                      <w:rPr>
                        <w:noProof/>
                      </w:rPr>
                      <w:t>1</w:t>
                    </w:r>
                    <w:r w:rsidR="005B7FB0">
                      <w:fldChar w:fldCharType="end"/>
                    </w:r>
                    <w:r>
                      <w:t xml:space="preserve"> van </w:t>
                    </w:r>
                    <w:r>
                      <w:fldChar w:fldCharType="begin"/>
                    </w:r>
                    <w:r>
                      <w:instrText>=</w:instrText>
                    </w:r>
                    <w:r>
                      <w:fldChar w:fldCharType="begin"/>
                    </w:r>
                    <w:r>
                      <w:instrText>NUMPAGES</w:instrText>
                    </w:r>
                    <w:r>
                      <w:fldChar w:fldCharType="separate"/>
                    </w:r>
                    <w:r w:rsidR="00201561">
                      <w:rPr>
                        <w:noProof/>
                      </w:rPr>
                      <w:instrText>4</w:instrText>
                    </w:r>
                    <w:r>
                      <w:fldChar w:fldCharType="end"/>
                    </w:r>
                    <w:r>
                      <w:instrText>-1</w:instrText>
                    </w:r>
                    <w:r>
                      <w:fldChar w:fldCharType="separate"/>
                    </w:r>
                    <w:r w:rsidR="00201561">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F25F" w14:textId="5D11A9D0" w:rsidR="00723B1D" w:rsidRDefault="00455DDC">
    <w:pPr>
      <w:spacing w:after="7131" w:line="14" w:lineRule="exact"/>
    </w:pPr>
    <w:r>
      <w:rPr>
        <w:noProof/>
      </w:rPr>
      <mc:AlternateContent>
        <mc:Choice Requires="wps">
          <w:drawing>
            <wp:anchor distT="0" distB="0" distL="0" distR="0" simplePos="0" relativeHeight="251658243" behindDoc="0" locked="1" layoutInCell="1" allowOverlap="1" wp14:anchorId="1532F267" wp14:editId="1532F268">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532F297" w14:textId="77777777" w:rsidR="00455DDC" w:rsidRDefault="00455DDC"/>
                      </w:txbxContent>
                    </wps:txbx>
                    <wps:bodyPr vert="horz" wrap="square" lIns="0" tIns="0" rIns="0" bIns="0" anchor="t" anchorCtr="0"/>
                  </wps:wsp>
                </a:graphicData>
              </a:graphic>
            </wp:anchor>
          </w:drawing>
        </mc:Choice>
        <mc:Fallback>
          <w:pict>
            <v:shapetype w14:anchorId="1532F267" id="_x0000_t202" coordsize="21600,21600" o:spt="202" path="m,l,21600r21600,l21600,xe">
              <v:stroke joinstyle="miter"/>
              <v:path gradientshapeok="t" o:connecttype="rect"/>
            </v:shapetype>
            <v:shape id="Text Box 4"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1532F297" w14:textId="77777777" w:rsidR="00455DDC" w:rsidRDefault="00455DDC"/>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532F269" wp14:editId="1532F26A">
              <wp:simplePos x="0" y="0"/>
              <wp:positionH relativeFrom="page">
                <wp:posOffset>1007744</wp:posOffset>
              </wp:positionH>
              <wp:positionV relativeFrom="page">
                <wp:posOffset>1954530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532F278" w14:textId="77777777" w:rsidR="00723B1D" w:rsidRDefault="00455DDC">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1532F269" id="Text Box 5"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532F278" w14:textId="77777777" w:rsidR="00723B1D" w:rsidRDefault="00455DDC">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532F26B" wp14:editId="1532F26C">
              <wp:simplePos x="0" y="0"/>
              <wp:positionH relativeFrom="page">
                <wp:posOffset>1007744</wp:posOffset>
              </wp:positionH>
              <wp:positionV relativeFrom="page">
                <wp:posOffset>3765550</wp:posOffset>
              </wp:positionV>
              <wp:extent cx="4780915"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723B1D" w14:paraId="1532F27B" w14:textId="77777777">
                            <w:tc>
                              <w:tcPr>
                                <w:tcW w:w="903" w:type="dxa"/>
                              </w:tcPr>
                              <w:p w14:paraId="1532F279" w14:textId="77777777" w:rsidR="00723B1D" w:rsidRDefault="00455DDC">
                                <w:r>
                                  <w:t>Datum</w:t>
                                </w:r>
                              </w:p>
                            </w:tc>
                            <w:tc>
                              <w:tcPr>
                                <w:tcW w:w="6626" w:type="dxa"/>
                              </w:tcPr>
                              <w:p w14:paraId="1532F27A" w14:textId="2FF219D4" w:rsidR="00723B1D" w:rsidRDefault="00201561">
                                <w:r>
                                  <w:t xml:space="preserve">9 </w:t>
                                </w:r>
                                <w:r w:rsidR="00ED69DB">
                                  <w:t xml:space="preserve">oktober </w:t>
                                </w:r>
                                <w:r w:rsidR="00455DDC">
                                  <w:t>2024</w:t>
                                </w:r>
                              </w:p>
                            </w:tc>
                          </w:tr>
                          <w:tr w:rsidR="00723B1D" w14:paraId="1532F280" w14:textId="77777777">
                            <w:tc>
                              <w:tcPr>
                                <w:tcW w:w="678" w:type="dxa"/>
                              </w:tcPr>
                              <w:p w14:paraId="1532F27C" w14:textId="77777777" w:rsidR="00723B1D" w:rsidRDefault="00455DDC">
                                <w:r>
                                  <w:t>Betreft</w:t>
                                </w:r>
                              </w:p>
                              <w:p w14:paraId="1532F27D" w14:textId="77777777" w:rsidR="00723B1D" w:rsidRDefault="00723B1D"/>
                            </w:tc>
                            <w:tc>
                              <w:tcPr>
                                <w:tcW w:w="6851" w:type="dxa"/>
                              </w:tcPr>
                              <w:p w14:paraId="1532F27E" w14:textId="0830A922" w:rsidR="00723B1D" w:rsidRDefault="00455DDC">
                                <w:r>
                                  <w:t>Beantwoording vragen van de leden Dobbe (SP) en </w:t>
                                </w:r>
                                <w:proofErr w:type="spellStart"/>
                                <w:r>
                                  <w:t>Boswijk</w:t>
                                </w:r>
                                <w:proofErr w:type="spellEnd"/>
                                <w:r>
                                  <w:t> (CDA) over het wegschrijven van verwijzingen naar gender en SRGR</w:t>
                                </w:r>
                              </w:p>
                              <w:p w14:paraId="1532F27F" w14:textId="77777777" w:rsidR="00723B1D" w:rsidRDefault="00723B1D"/>
                            </w:tc>
                          </w:tr>
                        </w:tbl>
                        <w:p w14:paraId="1532F281" w14:textId="77777777" w:rsidR="00723B1D" w:rsidRDefault="00723B1D"/>
                      </w:txbxContent>
                    </wps:txbx>
                    <wps:bodyPr vert="horz" wrap="square" lIns="0" tIns="0" rIns="0" bIns="0" anchor="t" anchorCtr="0"/>
                  </wps:wsp>
                </a:graphicData>
              </a:graphic>
            </wp:anchor>
          </w:drawing>
        </mc:Choice>
        <mc:Fallback>
          <w:pict>
            <v:shape w14:anchorId="1532F26B" id="Text Box 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723B1D" w14:paraId="1532F27B" w14:textId="77777777">
                      <w:tc>
                        <w:tcPr>
                          <w:tcW w:w="903" w:type="dxa"/>
                        </w:tcPr>
                        <w:p w14:paraId="1532F279" w14:textId="77777777" w:rsidR="00723B1D" w:rsidRDefault="00455DDC">
                          <w:r>
                            <w:t>Datum</w:t>
                          </w:r>
                        </w:p>
                      </w:tc>
                      <w:tc>
                        <w:tcPr>
                          <w:tcW w:w="6626" w:type="dxa"/>
                        </w:tcPr>
                        <w:p w14:paraId="1532F27A" w14:textId="2FF219D4" w:rsidR="00723B1D" w:rsidRDefault="00201561">
                          <w:r>
                            <w:t xml:space="preserve">9 </w:t>
                          </w:r>
                          <w:r w:rsidR="00ED69DB">
                            <w:t xml:space="preserve">oktober </w:t>
                          </w:r>
                          <w:r w:rsidR="00455DDC">
                            <w:t>2024</w:t>
                          </w:r>
                        </w:p>
                      </w:tc>
                    </w:tr>
                    <w:tr w:rsidR="00723B1D" w14:paraId="1532F280" w14:textId="77777777">
                      <w:tc>
                        <w:tcPr>
                          <w:tcW w:w="678" w:type="dxa"/>
                        </w:tcPr>
                        <w:p w14:paraId="1532F27C" w14:textId="77777777" w:rsidR="00723B1D" w:rsidRDefault="00455DDC">
                          <w:r>
                            <w:t>Betreft</w:t>
                          </w:r>
                        </w:p>
                        <w:p w14:paraId="1532F27D" w14:textId="77777777" w:rsidR="00723B1D" w:rsidRDefault="00723B1D"/>
                      </w:tc>
                      <w:tc>
                        <w:tcPr>
                          <w:tcW w:w="6851" w:type="dxa"/>
                        </w:tcPr>
                        <w:p w14:paraId="1532F27E" w14:textId="0830A922" w:rsidR="00723B1D" w:rsidRDefault="00455DDC">
                          <w:r>
                            <w:t>Beantwoording vragen van de leden Dobbe (SP) en </w:t>
                          </w:r>
                          <w:proofErr w:type="spellStart"/>
                          <w:r>
                            <w:t>Boswijk</w:t>
                          </w:r>
                          <w:proofErr w:type="spellEnd"/>
                          <w:r>
                            <w:t> (CDA) over het wegschrijven van verwijzingen naar gender en SRGR</w:t>
                          </w:r>
                        </w:p>
                        <w:p w14:paraId="1532F27F" w14:textId="77777777" w:rsidR="00723B1D" w:rsidRDefault="00723B1D"/>
                      </w:tc>
                    </w:tr>
                  </w:tbl>
                  <w:p w14:paraId="1532F281" w14:textId="77777777" w:rsidR="00723B1D" w:rsidRDefault="00723B1D"/>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532F26D" wp14:editId="1532F26E">
              <wp:simplePos x="0" y="0"/>
              <wp:positionH relativeFrom="page">
                <wp:posOffset>5921375</wp:posOffset>
              </wp:positionH>
              <wp:positionV relativeFrom="page">
                <wp:posOffset>1965325</wp:posOffset>
              </wp:positionV>
              <wp:extent cx="1277620"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532F282" w14:textId="77777777" w:rsidR="00723B1D" w:rsidRDefault="00455DDC">
                          <w:pPr>
                            <w:pStyle w:val="Referentiegegevensbold"/>
                          </w:pPr>
                          <w:r>
                            <w:t>Ministerie van Buitenlandse Zaken</w:t>
                          </w:r>
                        </w:p>
                        <w:p w14:paraId="1532F283" w14:textId="77777777" w:rsidR="00723B1D" w:rsidRDefault="00723B1D">
                          <w:pPr>
                            <w:pStyle w:val="WitregelW1"/>
                          </w:pPr>
                        </w:p>
                        <w:p w14:paraId="1532F284" w14:textId="5A34AEA4" w:rsidR="00723B1D" w:rsidRPr="00FF4323" w:rsidRDefault="00FF4323">
                          <w:pPr>
                            <w:pStyle w:val="Referentiegegevens"/>
                          </w:pPr>
                          <w:r w:rsidRPr="00FF4323">
                            <w:t>Rijnstraat 8</w:t>
                          </w:r>
                        </w:p>
                        <w:p w14:paraId="4AACDD8B" w14:textId="2C4DE451" w:rsidR="00FF4323" w:rsidRPr="00C41CB5" w:rsidRDefault="00FF4323" w:rsidP="00FF4323">
                          <w:pPr>
                            <w:rPr>
                              <w:sz w:val="13"/>
                              <w:szCs w:val="13"/>
                              <w:lang w:val="de-DE"/>
                            </w:rPr>
                          </w:pPr>
                          <w:r w:rsidRPr="00C41CB5">
                            <w:rPr>
                              <w:sz w:val="13"/>
                              <w:szCs w:val="13"/>
                              <w:lang w:val="de-DE"/>
                            </w:rPr>
                            <w:t>2515XP Den Haag</w:t>
                          </w:r>
                        </w:p>
                        <w:p w14:paraId="267B4DB2" w14:textId="232AAC97" w:rsidR="00FF4323" w:rsidRPr="00C41CB5" w:rsidRDefault="00FF4323" w:rsidP="00FF4323">
                          <w:pPr>
                            <w:rPr>
                              <w:sz w:val="13"/>
                              <w:szCs w:val="13"/>
                              <w:lang w:val="de-DE"/>
                            </w:rPr>
                          </w:pPr>
                          <w:r w:rsidRPr="00C41CB5">
                            <w:rPr>
                              <w:sz w:val="13"/>
                              <w:szCs w:val="13"/>
                              <w:lang w:val="de-DE"/>
                            </w:rPr>
                            <w:t>Postbus 20061</w:t>
                          </w:r>
                        </w:p>
                        <w:p w14:paraId="5036D533" w14:textId="69385397" w:rsidR="00FF4323" w:rsidRPr="00C41CB5" w:rsidRDefault="00FF4323" w:rsidP="00FF4323">
                          <w:pPr>
                            <w:rPr>
                              <w:sz w:val="13"/>
                              <w:szCs w:val="13"/>
                              <w:lang w:val="de-DE"/>
                            </w:rPr>
                          </w:pPr>
                          <w:proofErr w:type="spellStart"/>
                          <w:r w:rsidRPr="00C41CB5">
                            <w:rPr>
                              <w:sz w:val="13"/>
                              <w:szCs w:val="13"/>
                              <w:lang w:val="de-DE"/>
                            </w:rPr>
                            <w:t>Nederland</w:t>
                          </w:r>
                          <w:proofErr w:type="spellEnd"/>
                        </w:p>
                        <w:p w14:paraId="1532F285" w14:textId="25BE5ADF" w:rsidR="00723B1D" w:rsidRPr="00C41CB5" w:rsidRDefault="00455DDC">
                          <w:pPr>
                            <w:pStyle w:val="Referentiegegevens"/>
                            <w:rPr>
                              <w:lang w:val="de-DE"/>
                            </w:rPr>
                          </w:pPr>
                          <w:r w:rsidRPr="00C41CB5">
                            <w:rPr>
                              <w:lang w:val="de-DE"/>
                            </w:rPr>
                            <w:t>www.</w:t>
                          </w:r>
                          <w:r w:rsidR="00FF4323" w:rsidRPr="00C41CB5">
                            <w:rPr>
                              <w:lang w:val="de-DE"/>
                            </w:rPr>
                            <w:t>rijksoverheid</w:t>
                          </w:r>
                          <w:r w:rsidRPr="00C41CB5">
                            <w:rPr>
                              <w:lang w:val="de-DE"/>
                            </w:rPr>
                            <w:t>.nl</w:t>
                          </w:r>
                        </w:p>
                        <w:p w14:paraId="1532F286" w14:textId="77777777" w:rsidR="00723B1D" w:rsidRPr="00C41CB5" w:rsidRDefault="00723B1D">
                          <w:pPr>
                            <w:pStyle w:val="WitregelW2"/>
                            <w:rPr>
                              <w:lang w:val="de-DE"/>
                            </w:rPr>
                          </w:pPr>
                        </w:p>
                        <w:p w14:paraId="1532F287" w14:textId="77777777" w:rsidR="00723B1D" w:rsidRPr="00C41CB5" w:rsidRDefault="00455DDC">
                          <w:pPr>
                            <w:pStyle w:val="Referentiegegevensbold"/>
                            <w:rPr>
                              <w:lang w:val="de-DE"/>
                            </w:rPr>
                          </w:pPr>
                          <w:proofErr w:type="spellStart"/>
                          <w:r w:rsidRPr="00C41CB5">
                            <w:rPr>
                              <w:lang w:val="de-DE"/>
                            </w:rPr>
                            <w:t>Onze</w:t>
                          </w:r>
                          <w:proofErr w:type="spellEnd"/>
                          <w:r w:rsidRPr="00C41CB5">
                            <w:rPr>
                              <w:lang w:val="de-DE"/>
                            </w:rPr>
                            <w:t xml:space="preserve"> </w:t>
                          </w:r>
                          <w:proofErr w:type="spellStart"/>
                          <w:r w:rsidRPr="00C41CB5">
                            <w:rPr>
                              <w:lang w:val="de-DE"/>
                            </w:rPr>
                            <w:t>referentie</w:t>
                          </w:r>
                          <w:proofErr w:type="spellEnd"/>
                        </w:p>
                        <w:p w14:paraId="1532F288" w14:textId="77777777" w:rsidR="00723B1D" w:rsidRDefault="00455DDC">
                          <w:pPr>
                            <w:pStyle w:val="Referentiegegevens"/>
                          </w:pPr>
                          <w:r>
                            <w:t>BZ2405486</w:t>
                          </w:r>
                        </w:p>
                        <w:p w14:paraId="1532F289" w14:textId="77777777" w:rsidR="00723B1D" w:rsidRDefault="00723B1D">
                          <w:pPr>
                            <w:pStyle w:val="WitregelW1"/>
                          </w:pPr>
                        </w:p>
                        <w:p w14:paraId="1532F28A" w14:textId="77777777" w:rsidR="00723B1D" w:rsidRDefault="00455DDC">
                          <w:pPr>
                            <w:pStyle w:val="Referentiegegevensbold"/>
                          </w:pPr>
                          <w:r>
                            <w:t>Uw referentie</w:t>
                          </w:r>
                        </w:p>
                        <w:p w14:paraId="1532F28B" w14:textId="77777777" w:rsidR="00723B1D" w:rsidRDefault="00455DDC">
                          <w:pPr>
                            <w:pStyle w:val="Referentiegegevens"/>
                          </w:pPr>
                          <w:r>
                            <w:t>2024Z12993</w:t>
                          </w:r>
                        </w:p>
                        <w:p w14:paraId="1532F28C" w14:textId="77777777" w:rsidR="00723B1D" w:rsidRDefault="00723B1D">
                          <w:pPr>
                            <w:pStyle w:val="WitregelW1"/>
                          </w:pPr>
                        </w:p>
                        <w:p w14:paraId="1532F28D" w14:textId="77777777" w:rsidR="00723B1D" w:rsidRDefault="00455DDC">
                          <w:pPr>
                            <w:pStyle w:val="Referentiegegevensbold"/>
                          </w:pPr>
                          <w:r>
                            <w:t>Bijlage(n)</w:t>
                          </w:r>
                        </w:p>
                        <w:p w14:paraId="1532F28E" w14:textId="77777777" w:rsidR="00723B1D" w:rsidRDefault="00455DDC">
                          <w:pPr>
                            <w:pStyle w:val="Referentiegegevens"/>
                          </w:pPr>
                          <w:r>
                            <w:t>-</w:t>
                          </w:r>
                        </w:p>
                      </w:txbxContent>
                    </wps:txbx>
                    <wps:bodyPr vert="horz" wrap="square" lIns="0" tIns="0" rIns="0" bIns="0" anchor="t" anchorCtr="0"/>
                  </wps:wsp>
                </a:graphicData>
              </a:graphic>
            </wp:anchor>
          </w:drawing>
        </mc:Choice>
        <mc:Fallback>
          <w:pict>
            <v:shape w14:anchorId="1532F26D" id="Text Box 7" o:spid="_x0000_s1031"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532F282" w14:textId="77777777" w:rsidR="00723B1D" w:rsidRDefault="00455DDC">
                    <w:pPr>
                      <w:pStyle w:val="Referentiegegevensbold"/>
                    </w:pPr>
                    <w:r>
                      <w:t>Ministerie van Buitenlandse Zaken</w:t>
                    </w:r>
                  </w:p>
                  <w:p w14:paraId="1532F283" w14:textId="77777777" w:rsidR="00723B1D" w:rsidRDefault="00723B1D">
                    <w:pPr>
                      <w:pStyle w:val="WitregelW1"/>
                    </w:pPr>
                  </w:p>
                  <w:p w14:paraId="1532F284" w14:textId="5A34AEA4" w:rsidR="00723B1D" w:rsidRPr="00FF4323" w:rsidRDefault="00FF4323">
                    <w:pPr>
                      <w:pStyle w:val="Referentiegegevens"/>
                    </w:pPr>
                    <w:r w:rsidRPr="00FF4323">
                      <w:t>Rijnstraat 8</w:t>
                    </w:r>
                  </w:p>
                  <w:p w14:paraId="4AACDD8B" w14:textId="2C4DE451" w:rsidR="00FF4323" w:rsidRPr="00C41CB5" w:rsidRDefault="00FF4323" w:rsidP="00FF4323">
                    <w:pPr>
                      <w:rPr>
                        <w:sz w:val="13"/>
                        <w:szCs w:val="13"/>
                        <w:lang w:val="de-DE"/>
                      </w:rPr>
                    </w:pPr>
                    <w:r w:rsidRPr="00C41CB5">
                      <w:rPr>
                        <w:sz w:val="13"/>
                        <w:szCs w:val="13"/>
                        <w:lang w:val="de-DE"/>
                      </w:rPr>
                      <w:t>2515XP Den Haag</w:t>
                    </w:r>
                  </w:p>
                  <w:p w14:paraId="267B4DB2" w14:textId="232AAC97" w:rsidR="00FF4323" w:rsidRPr="00C41CB5" w:rsidRDefault="00FF4323" w:rsidP="00FF4323">
                    <w:pPr>
                      <w:rPr>
                        <w:sz w:val="13"/>
                        <w:szCs w:val="13"/>
                        <w:lang w:val="de-DE"/>
                      </w:rPr>
                    </w:pPr>
                    <w:r w:rsidRPr="00C41CB5">
                      <w:rPr>
                        <w:sz w:val="13"/>
                        <w:szCs w:val="13"/>
                        <w:lang w:val="de-DE"/>
                      </w:rPr>
                      <w:t>Postbus 20061</w:t>
                    </w:r>
                  </w:p>
                  <w:p w14:paraId="5036D533" w14:textId="69385397" w:rsidR="00FF4323" w:rsidRPr="00C41CB5" w:rsidRDefault="00FF4323" w:rsidP="00FF4323">
                    <w:pPr>
                      <w:rPr>
                        <w:sz w:val="13"/>
                        <w:szCs w:val="13"/>
                        <w:lang w:val="de-DE"/>
                      </w:rPr>
                    </w:pPr>
                    <w:proofErr w:type="spellStart"/>
                    <w:r w:rsidRPr="00C41CB5">
                      <w:rPr>
                        <w:sz w:val="13"/>
                        <w:szCs w:val="13"/>
                        <w:lang w:val="de-DE"/>
                      </w:rPr>
                      <w:t>Nederland</w:t>
                    </w:r>
                    <w:proofErr w:type="spellEnd"/>
                  </w:p>
                  <w:p w14:paraId="1532F285" w14:textId="25BE5ADF" w:rsidR="00723B1D" w:rsidRPr="00C41CB5" w:rsidRDefault="00455DDC">
                    <w:pPr>
                      <w:pStyle w:val="Referentiegegevens"/>
                      <w:rPr>
                        <w:lang w:val="de-DE"/>
                      </w:rPr>
                    </w:pPr>
                    <w:r w:rsidRPr="00C41CB5">
                      <w:rPr>
                        <w:lang w:val="de-DE"/>
                      </w:rPr>
                      <w:t>www.</w:t>
                    </w:r>
                    <w:r w:rsidR="00FF4323" w:rsidRPr="00C41CB5">
                      <w:rPr>
                        <w:lang w:val="de-DE"/>
                      </w:rPr>
                      <w:t>rijksoverheid</w:t>
                    </w:r>
                    <w:r w:rsidRPr="00C41CB5">
                      <w:rPr>
                        <w:lang w:val="de-DE"/>
                      </w:rPr>
                      <w:t>.nl</w:t>
                    </w:r>
                  </w:p>
                  <w:p w14:paraId="1532F286" w14:textId="77777777" w:rsidR="00723B1D" w:rsidRPr="00C41CB5" w:rsidRDefault="00723B1D">
                    <w:pPr>
                      <w:pStyle w:val="WitregelW2"/>
                      <w:rPr>
                        <w:lang w:val="de-DE"/>
                      </w:rPr>
                    </w:pPr>
                  </w:p>
                  <w:p w14:paraId="1532F287" w14:textId="77777777" w:rsidR="00723B1D" w:rsidRPr="00C41CB5" w:rsidRDefault="00455DDC">
                    <w:pPr>
                      <w:pStyle w:val="Referentiegegevensbold"/>
                      <w:rPr>
                        <w:lang w:val="de-DE"/>
                      </w:rPr>
                    </w:pPr>
                    <w:proofErr w:type="spellStart"/>
                    <w:r w:rsidRPr="00C41CB5">
                      <w:rPr>
                        <w:lang w:val="de-DE"/>
                      </w:rPr>
                      <w:t>Onze</w:t>
                    </w:r>
                    <w:proofErr w:type="spellEnd"/>
                    <w:r w:rsidRPr="00C41CB5">
                      <w:rPr>
                        <w:lang w:val="de-DE"/>
                      </w:rPr>
                      <w:t xml:space="preserve"> </w:t>
                    </w:r>
                    <w:proofErr w:type="spellStart"/>
                    <w:r w:rsidRPr="00C41CB5">
                      <w:rPr>
                        <w:lang w:val="de-DE"/>
                      </w:rPr>
                      <w:t>referentie</w:t>
                    </w:r>
                    <w:proofErr w:type="spellEnd"/>
                  </w:p>
                  <w:p w14:paraId="1532F288" w14:textId="77777777" w:rsidR="00723B1D" w:rsidRDefault="00455DDC">
                    <w:pPr>
                      <w:pStyle w:val="Referentiegegevens"/>
                    </w:pPr>
                    <w:r>
                      <w:t>BZ2405486</w:t>
                    </w:r>
                  </w:p>
                  <w:p w14:paraId="1532F289" w14:textId="77777777" w:rsidR="00723B1D" w:rsidRDefault="00723B1D">
                    <w:pPr>
                      <w:pStyle w:val="WitregelW1"/>
                    </w:pPr>
                  </w:p>
                  <w:p w14:paraId="1532F28A" w14:textId="77777777" w:rsidR="00723B1D" w:rsidRDefault="00455DDC">
                    <w:pPr>
                      <w:pStyle w:val="Referentiegegevensbold"/>
                    </w:pPr>
                    <w:r>
                      <w:t>Uw referentie</w:t>
                    </w:r>
                  </w:p>
                  <w:p w14:paraId="1532F28B" w14:textId="77777777" w:rsidR="00723B1D" w:rsidRDefault="00455DDC">
                    <w:pPr>
                      <w:pStyle w:val="Referentiegegevens"/>
                    </w:pPr>
                    <w:r>
                      <w:t>2024Z12993</w:t>
                    </w:r>
                  </w:p>
                  <w:p w14:paraId="1532F28C" w14:textId="77777777" w:rsidR="00723B1D" w:rsidRDefault="00723B1D">
                    <w:pPr>
                      <w:pStyle w:val="WitregelW1"/>
                    </w:pPr>
                  </w:p>
                  <w:p w14:paraId="1532F28D" w14:textId="77777777" w:rsidR="00723B1D" w:rsidRDefault="00455DDC">
                    <w:pPr>
                      <w:pStyle w:val="Referentiegegevensbold"/>
                    </w:pPr>
                    <w:r>
                      <w:t>Bijlage(n)</w:t>
                    </w:r>
                  </w:p>
                  <w:p w14:paraId="1532F28E" w14:textId="77777777" w:rsidR="00723B1D" w:rsidRDefault="00455DDC">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532F271" wp14:editId="09AC853B">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532F29D" w14:textId="77777777" w:rsidR="00455DDC" w:rsidRDefault="00455DDC"/>
                      </w:txbxContent>
                    </wps:txbx>
                    <wps:bodyPr vert="horz" wrap="square" lIns="0" tIns="0" rIns="0" bIns="0" anchor="t" anchorCtr="0"/>
                  </wps:wsp>
                </a:graphicData>
              </a:graphic>
            </wp:anchor>
          </w:drawing>
        </mc:Choice>
        <mc:Fallback>
          <w:pict>
            <v:shape w14:anchorId="1532F271" id="Text Box 9"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1532F29D" w14:textId="77777777" w:rsidR="00455DDC" w:rsidRDefault="00455DDC"/>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1532F273" wp14:editId="1532F274">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532F29F" w14:textId="77777777" w:rsidR="00455DDC" w:rsidRDefault="00455DDC"/>
                      </w:txbxContent>
                    </wps:txbx>
                    <wps:bodyPr vert="horz" wrap="square" lIns="0" tIns="0" rIns="0" bIns="0" anchor="t" anchorCtr="0"/>
                  </wps:wsp>
                </a:graphicData>
              </a:graphic>
            </wp:anchor>
          </w:drawing>
        </mc:Choice>
        <mc:Fallback>
          <w:pict>
            <v:shape w14:anchorId="1532F273" id="Text Box 10"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1532F29F" w14:textId="77777777" w:rsidR="00455DDC" w:rsidRDefault="00455DDC"/>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532F275" wp14:editId="1532F276">
              <wp:simplePos x="0" y="0"/>
              <wp:positionH relativeFrom="page">
                <wp:posOffset>3995420</wp:posOffset>
              </wp:positionH>
              <wp:positionV relativeFrom="page">
                <wp:posOffset>0</wp:posOffset>
              </wp:positionV>
              <wp:extent cx="2339975" cy="158369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532F290" w14:textId="77777777" w:rsidR="00723B1D" w:rsidRDefault="00455DDC">
                          <w:pPr>
                            <w:spacing w:line="240" w:lineRule="auto"/>
                          </w:pPr>
                          <w:r>
                            <w:rPr>
                              <w:noProof/>
                            </w:rPr>
                            <w:drawing>
                              <wp:inline distT="0" distB="0" distL="0" distR="0" wp14:anchorId="1532F297" wp14:editId="1532F298">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32F275" id="Text Box 11"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1532F290" w14:textId="77777777" w:rsidR="00723B1D" w:rsidRDefault="00455DDC">
                    <w:pPr>
                      <w:spacing w:line="240" w:lineRule="auto"/>
                    </w:pPr>
                    <w:r>
                      <w:rPr>
                        <w:noProof/>
                      </w:rPr>
                      <w:drawing>
                        <wp:inline distT="0" distB="0" distL="0" distR="0" wp14:anchorId="1532F297" wp14:editId="1532F298">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72B0AE"/>
    <w:multiLevelType w:val="multilevel"/>
    <w:tmpl w:val="E6D75573"/>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947C10A"/>
    <w:multiLevelType w:val="multilevel"/>
    <w:tmpl w:val="275A579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2630D5D"/>
    <w:multiLevelType w:val="multilevel"/>
    <w:tmpl w:val="488F402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3F128617"/>
    <w:multiLevelType w:val="multilevel"/>
    <w:tmpl w:val="4FF881EC"/>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CB617E7"/>
    <w:multiLevelType w:val="multilevel"/>
    <w:tmpl w:val="EBD2603C"/>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5" w15:restartNumberingAfterBreak="0">
    <w:nsid w:val="5FF87F2C"/>
    <w:multiLevelType w:val="hybridMultilevel"/>
    <w:tmpl w:val="3830EEB2"/>
    <w:lvl w:ilvl="0" w:tplc="DB40D4C6">
      <w:start w:val="1"/>
      <w:numFmt w:val="decimal"/>
      <w:lvlText w:val="%1."/>
      <w:lvlJc w:val="left"/>
      <w:pPr>
        <w:ind w:left="720" w:hanging="360"/>
      </w:pPr>
    </w:lvl>
    <w:lvl w:ilvl="1" w:tplc="2F58C3A4">
      <w:start w:val="1"/>
      <w:numFmt w:val="lowerLetter"/>
      <w:lvlText w:val="%2."/>
      <w:lvlJc w:val="left"/>
      <w:pPr>
        <w:ind w:left="1440" w:hanging="360"/>
      </w:pPr>
    </w:lvl>
    <w:lvl w:ilvl="2" w:tplc="FC5E4F28">
      <w:start w:val="1"/>
      <w:numFmt w:val="lowerRoman"/>
      <w:lvlText w:val="%3."/>
      <w:lvlJc w:val="right"/>
      <w:pPr>
        <w:ind w:left="2160" w:hanging="180"/>
      </w:pPr>
    </w:lvl>
    <w:lvl w:ilvl="3" w:tplc="06DA4026">
      <w:start w:val="1"/>
      <w:numFmt w:val="decimal"/>
      <w:lvlText w:val="%4."/>
      <w:lvlJc w:val="left"/>
      <w:pPr>
        <w:ind w:left="2880" w:hanging="360"/>
      </w:pPr>
    </w:lvl>
    <w:lvl w:ilvl="4" w:tplc="6FC2BFD8">
      <w:start w:val="1"/>
      <w:numFmt w:val="lowerLetter"/>
      <w:lvlText w:val="%5."/>
      <w:lvlJc w:val="left"/>
      <w:pPr>
        <w:ind w:left="3600" w:hanging="360"/>
      </w:pPr>
    </w:lvl>
    <w:lvl w:ilvl="5" w:tplc="49826262">
      <w:start w:val="1"/>
      <w:numFmt w:val="lowerRoman"/>
      <w:lvlText w:val="%6."/>
      <w:lvlJc w:val="right"/>
      <w:pPr>
        <w:ind w:left="4320" w:hanging="180"/>
      </w:pPr>
    </w:lvl>
    <w:lvl w:ilvl="6" w:tplc="E9CA6A6A">
      <w:start w:val="1"/>
      <w:numFmt w:val="decimal"/>
      <w:lvlText w:val="%7."/>
      <w:lvlJc w:val="left"/>
      <w:pPr>
        <w:ind w:left="5040" w:hanging="360"/>
      </w:pPr>
    </w:lvl>
    <w:lvl w:ilvl="7" w:tplc="06BA671C">
      <w:start w:val="1"/>
      <w:numFmt w:val="lowerLetter"/>
      <w:lvlText w:val="%8."/>
      <w:lvlJc w:val="left"/>
      <w:pPr>
        <w:ind w:left="5760" w:hanging="360"/>
      </w:pPr>
    </w:lvl>
    <w:lvl w:ilvl="8" w:tplc="346EB79E">
      <w:start w:val="1"/>
      <w:numFmt w:val="lowerRoman"/>
      <w:lvlText w:val="%9."/>
      <w:lvlJc w:val="right"/>
      <w:pPr>
        <w:ind w:left="6480" w:hanging="180"/>
      </w:pPr>
    </w:lvl>
  </w:abstractNum>
  <w:num w:numId="1" w16cid:durableId="595289449">
    <w:abstractNumId w:val="4"/>
  </w:num>
  <w:num w:numId="2" w16cid:durableId="65107868">
    <w:abstractNumId w:val="2"/>
  </w:num>
  <w:num w:numId="3" w16cid:durableId="2103984101">
    <w:abstractNumId w:val="1"/>
  </w:num>
  <w:num w:numId="4" w16cid:durableId="510029913">
    <w:abstractNumId w:val="3"/>
  </w:num>
  <w:num w:numId="5" w16cid:durableId="332417546">
    <w:abstractNumId w:val="0"/>
  </w:num>
  <w:num w:numId="6" w16cid:durableId="1576934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78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1D"/>
    <w:rsid w:val="00010695"/>
    <w:rsid w:val="00022F72"/>
    <w:rsid w:val="000A3796"/>
    <w:rsid w:val="000C4E0B"/>
    <w:rsid w:val="00102E26"/>
    <w:rsid w:val="001C4E62"/>
    <w:rsid w:val="001E6D12"/>
    <w:rsid w:val="00201561"/>
    <w:rsid w:val="00244BFA"/>
    <w:rsid w:val="00280BB8"/>
    <w:rsid w:val="00282E73"/>
    <w:rsid w:val="002E439F"/>
    <w:rsid w:val="002F30ED"/>
    <w:rsid w:val="0030683F"/>
    <w:rsid w:val="003257FE"/>
    <w:rsid w:val="00342A34"/>
    <w:rsid w:val="003918AF"/>
    <w:rsid w:val="003B16B9"/>
    <w:rsid w:val="003D7100"/>
    <w:rsid w:val="003E78E7"/>
    <w:rsid w:val="003F5BA4"/>
    <w:rsid w:val="004052EA"/>
    <w:rsid w:val="00405852"/>
    <w:rsid w:val="0043404F"/>
    <w:rsid w:val="00450640"/>
    <w:rsid w:val="00455DDC"/>
    <w:rsid w:val="004728A6"/>
    <w:rsid w:val="00494078"/>
    <w:rsid w:val="004D2D51"/>
    <w:rsid w:val="004F077B"/>
    <w:rsid w:val="00540DDA"/>
    <w:rsid w:val="00546F30"/>
    <w:rsid w:val="0057593D"/>
    <w:rsid w:val="005B7FB0"/>
    <w:rsid w:val="00607AA5"/>
    <w:rsid w:val="00723B1D"/>
    <w:rsid w:val="00725DAF"/>
    <w:rsid w:val="00774F73"/>
    <w:rsid w:val="00790061"/>
    <w:rsid w:val="007A26C6"/>
    <w:rsid w:val="007A4E4C"/>
    <w:rsid w:val="007F11D7"/>
    <w:rsid w:val="008308D6"/>
    <w:rsid w:val="00877E03"/>
    <w:rsid w:val="008807BD"/>
    <w:rsid w:val="00895503"/>
    <w:rsid w:val="008B66A9"/>
    <w:rsid w:val="008F2EA7"/>
    <w:rsid w:val="008F2F0B"/>
    <w:rsid w:val="009015B0"/>
    <w:rsid w:val="009411AE"/>
    <w:rsid w:val="009A5172"/>
    <w:rsid w:val="009C44CF"/>
    <w:rsid w:val="00A55953"/>
    <w:rsid w:val="00AA685E"/>
    <w:rsid w:val="00AB4B4A"/>
    <w:rsid w:val="00AD3A18"/>
    <w:rsid w:val="00B00FCB"/>
    <w:rsid w:val="00B468E5"/>
    <w:rsid w:val="00B66927"/>
    <w:rsid w:val="00B70ECB"/>
    <w:rsid w:val="00B83515"/>
    <w:rsid w:val="00BE2B17"/>
    <w:rsid w:val="00C144C4"/>
    <w:rsid w:val="00C41345"/>
    <w:rsid w:val="00C41CB5"/>
    <w:rsid w:val="00C764C9"/>
    <w:rsid w:val="00CC0211"/>
    <w:rsid w:val="00CD33FB"/>
    <w:rsid w:val="00CD37F5"/>
    <w:rsid w:val="00D563B2"/>
    <w:rsid w:val="00D568AA"/>
    <w:rsid w:val="00DF40CB"/>
    <w:rsid w:val="00E07BD8"/>
    <w:rsid w:val="00E113BC"/>
    <w:rsid w:val="00E21E58"/>
    <w:rsid w:val="00E576C5"/>
    <w:rsid w:val="00ED69DB"/>
    <w:rsid w:val="00ED72F5"/>
    <w:rsid w:val="00EE15B5"/>
    <w:rsid w:val="00EE5600"/>
    <w:rsid w:val="00EE7CDD"/>
    <w:rsid w:val="00F13776"/>
    <w:rsid w:val="00F866A2"/>
    <w:rsid w:val="00FD2280"/>
    <w:rsid w:val="00FF43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1532F236"/>
  <w15:docId w15:val="{BFE91606-F19C-439A-8D01-CA5C0DF2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rsid w:val="00C41345"/>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styleId="CommentReference">
    <w:name w:val="annotation reference"/>
    <w:basedOn w:val="DefaultParagraphFont"/>
    <w:uiPriority w:val="99"/>
    <w:semiHidden/>
    <w:unhideWhenUsed/>
    <w:rsid w:val="00725DAF"/>
    <w:rPr>
      <w:sz w:val="16"/>
      <w:szCs w:val="16"/>
    </w:rPr>
  </w:style>
  <w:style w:type="paragraph" w:styleId="CommentText">
    <w:name w:val="annotation text"/>
    <w:basedOn w:val="Normal"/>
    <w:link w:val="CommentTextChar"/>
    <w:uiPriority w:val="99"/>
    <w:unhideWhenUsed/>
    <w:rsid w:val="00725DAF"/>
    <w:pPr>
      <w:spacing w:line="240" w:lineRule="auto"/>
    </w:pPr>
    <w:rPr>
      <w:sz w:val="20"/>
      <w:szCs w:val="20"/>
    </w:rPr>
  </w:style>
  <w:style w:type="character" w:customStyle="1" w:styleId="CommentTextChar">
    <w:name w:val="Comment Text Char"/>
    <w:basedOn w:val="DefaultParagraphFont"/>
    <w:link w:val="CommentText"/>
    <w:uiPriority w:val="99"/>
    <w:rsid w:val="00725DAF"/>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725DAF"/>
    <w:rPr>
      <w:b/>
      <w:bCs/>
    </w:rPr>
  </w:style>
  <w:style w:type="character" w:customStyle="1" w:styleId="CommentSubjectChar">
    <w:name w:val="Comment Subject Char"/>
    <w:basedOn w:val="CommentTextChar"/>
    <w:link w:val="CommentSubject"/>
    <w:uiPriority w:val="99"/>
    <w:semiHidden/>
    <w:rsid w:val="00725DAF"/>
    <w:rPr>
      <w:rFonts w:ascii="Verdana" w:hAnsi="Verdana"/>
      <w:b/>
      <w:bCs/>
      <w:color w:val="000000"/>
    </w:rPr>
  </w:style>
  <w:style w:type="paragraph" w:styleId="Header">
    <w:name w:val="header"/>
    <w:basedOn w:val="Normal"/>
    <w:link w:val="HeaderChar"/>
    <w:uiPriority w:val="99"/>
    <w:unhideWhenUsed/>
    <w:rsid w:val="00BE2B17"/>
    <w:pPr>
      <w:tabs>
        <w:tab w:val="center" w:pos="4513"/>
        <w:tab w:val="right" w:pos="9026"/>
      </w:tabs>
      <w:spacing w:line="240" w:lineRule="auto"/>
    </w:pPr>
  </w:style>
  <w:style w:type="character" w:customStyle="1" w:styleId="HeaderChar">
    <w:name w:val="Header Char"/>
    <w:basedOn w:val="DefaultParagraphFont"/>
    <w:link w:val="Header"/>
    <w:uiPriority w:val="99"/>
    <w:rsid w:val="00BE2B17"/>
    <w:rPr>
      <w:rFonts w:ascii="Verdana" w:hAnsi="Verdana"/>
      <w:color w:val="000000"/>
      <w:sz w:val="18"/>
      <w:szCs w:val="18"/>
    </w:rPr>
  </w:style>
  <w:style w:type="paragraph" w:styleId="Footer">
    <w:name w:val="footer"/>
    <w:basedOn w:val="Normal"/>
    <w:link w:val="FooterChar"/>
    <w:uiPriority w:val="99"/>
    <w:unhideWhenUsed/>
    <w:rsid w:val="00BE2B17"/>
    <w:pPr>
      <w:tabs>
        <w:tab w:val="center" w:pos="4513"/>
        <w:tab w:val="right" w:pos="9026"/>
      </w:tabs>
      <w:spacing w:line="240" w:lineRule="auto"/>
    </w:pPr>
  </w:style>
  <w:style w:type="character" w:customStyle="1" w:styleId="FooterChar">
    <w:name w:val="Footer Char"/>
    <w:basedOn w:val="DefaultParagraphFont"/>
    <w:link w:val="Footer"/>
    <w:uiPriority w:val="99"/>
    <w:rsid w:val="00BE2B17"/>
    <w:rPr>
      <w:rFonts w:ascii="Verdana" w:hAnsi="Verdana"/>
      <w:color w:val="000000"/>
      <w:sz w:val="18"/>
      <w:szCs w:val="18"/>
    </w:rPr>
  </w:style>
  <w:style w:type="paragraph" w:styleId="Revision">
    <w:name w:val="Revision"/>
    <w:hidden/>
    <w:uiPriority w:val="99"/>
    <w:semiHidden/>
    <w:rsid w:val="005B7FB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9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webSetting" Target="webSettings0.xml" Id="rId24"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1140</ap:Words>
  <ap:Characters>6273</ap:Characters>
  <ap:DocSecurity>0</ap:DocSecurity>
  <ap:Lines>52</ap:Lines>
  <ap:Paragraphs>14</ap:Paragraphs>
  <ap:ScaleCrop>false</ap:ScaleCrop>
  <ap:HeadingPairs>
    <vt:vector baseType="variant" size="2">
      <vt:variant>
        <vt:lpstr>Title</vt:lpstr>
      </vt:variant>
      <vt:variant>
        <vt:i4>1</vt:i4>
      </vt:variant>
    </vt:vector>
  </ap:HeadingPairs>
  <ap:TitlesOfParts>
    <vt:vector baseType="lpstr" size="1">
      <vt:lpstr>Dobbe (SP) en Boswijk (CDA) M en R over het wegschrijven van verwijzingen naar gender en SRGR</vt:lpstr>
    </vt:vector>
  </ap:TitlesOfParts>
  <ap:LinksUpToDate>false</ap:LinksUpToDate>
  <ap:CharactersWithSpaces>7399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2024-10-07T14:37:00.0000000Z</lastPrinted>
  <dcterms:created xsi:type="dcterms:W3CDTF">2024-10-09T12:09:00.0000000Z</dcterms:created>
  <dcterms:modified xsi:type="dcterms:W3CDTF">2024-10-09T12:09:00.0000000Z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0x0101009C7CE436063D44E9BE7DC0259EF7C32F006EB9F9836A634AE58B6169785FD3936F0053F0C685166ECA45BE145E335D2A0AC9</vt:lpwstr>
  </property>
  <property fmtid="{D5CDD505-2E9C-101B-9397-08002B2CF9AE}" pid="3" name="_dlc_DocIdItemGuid">
    <vt:lpwstr>6a22aad5-8f49-4c99-bf30-e11b4adf799c</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DossierResponsibleDepartment">
    <vt:lpwstr/>
  </property>
  <property fmtid="{D5CDD505-2E9C-101B-9397-08002B2CF9AE}" pid="7" name="BZDossierProcessLocation">
    <vt:lpwstr/>
  </property>
  <property fmtid="{D5CDD505-2E9C-101B-9397-08002B2CF9AE}" pid="8" name="BZDossierGovernmentOfficial">
    <vt:lpwstr/>
  </property>
  <property fmtid="{D5CDD505-2E9C-101B-9397-08002B2CF9AE}" pid="9" name="BZMarking">
    <vt:lpwstr>5;#X|0a4eb9ae-69eb-4d9e-b573-43ab99ef8592</vt:lpwstr>
  </property>
  <property fmtid="{D5CDD505-2E9C-101B-9397-08002B2CF9AE}" pid="10" name="f2fb2a8e39404f1ab554e4e4a49d2918">
    <vt:lpwstr/>
  </property>
  <property fmtid="{D5CDD505-2E9C-101B-9397-08002B2CF9AE}" pid="11" name="BZDossierPublishingWOOCategory">
    <vt:lpwstr/>
  </property>
  <property fmtid="{D5CDD505-2E9C-101B-9397-08002B2CF9AE}" pid="12" name="i42ef48d5fa942a0ad0d60e44f201751">
    <vt:lpwstr/>
  </property>
  <property fmtid="{D5CDD505-2E9C-101B-9397-08002B2CF9AE}" pid="13" name="BZClassification">
    <vt:lpwstr>4;#X|284e6a62-15ab-4017-be27-a1e965f4e940</vt:lpwstr>
  </property>
  <property fmtid="{D5CDD505-2E9C-101B-9397-08002B2CF9AE}" pid="14" name="f8e003236e1c4ac2ab9051d5d8789bbb">
    <vt:lpwstr/>
  </property>
  <property fmtid="{D5CDD505-2E9C-101B-9397-08002B2CF9AE}" pid="15" name="p29721a54a5c4bbe9786e930fc91e270">
    <vt:lpwstr/>
  </property>
  <property fmtid="{D5CDD505-2E9C-101B-9397-08002B2CF9AE}" pid="16" name="ed9282a3f18446ec8c17c7829edf82dd">
    <vt:lpwstr/>
  </property>
  <property fmtid="{D5CDD505-2E9C-101B-9397-08002B2CF9AE}" pid="17" name="e256f556a7b748329ab47889947c7d40">
    <vt:lpwstr/>
  </property>
  <property fmtid="{D5CDD505-2E9C-101B-9397-08002B2CF9AE}" pid="18" name="BZDossierProcessType">
    <vt:lpwstr/>
  </property>
  <property fmtid="{D5CDD505-2E9C-101B-9397-08002B2CF9AE}" pid="19" name="BZDossierBudgetManager">
    <vt:lpwstr/>
  </property>
  <property fmtid="{D5CDD505-2E9C-101B-9397-08002B2CF9AE}" pid="20" name="BZDossierSendTo">
    <vt:lpwstr/>
  </property>
  <property fmtid="{D5CDD505-2E9C-101B-9397-08002B2CF9AE}" pid="21" name="BZTheme">
    <vt:lpwstr>1;#Not applicable|ec01d90b-9d0f-4785-8785-e1ea615196bf</vt:lpwstr>
  </property>
  <property fmtid="{D5CDD505-2E9C-101B-9397-08002B2CF9AE}" pid="22" name="BZCountryState">
    <vt:lpwstr>3;#Not applicable|ec01d90b-9d0f-4785-8785-e1ea615196bf</vt:lpwstr>
  </property>
  <property fmtid="{D5CDD505-2E9C-101B-9397-08002B2CF9AE}" pid="23" name="_docset_NoMedatataSyncRequired">
    <vt:lpwstr>False</vt:lpwstr>
  </property>
</Properties>
</file>