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5446" w:rsidRDefault="00645446" w14:paraId="16F65E42" w14:textId="77777777"/>
    <w:p w:rsidR="00542489" w:rsidP="00BC230D" w:rsidRDefault="5D7F894E" w14:paraId="0E266E98" w14:textId="5BB05694">
      <w:pPr>
        <w:spacing w:line="276" w:lineRule="auto"/>
      </w:pPr>
      <w:r>
        <w:t>Geachte voorzitter,</w:t>
      </w:r>
    </w:p>
    <w:p w:rsidR="00542489" w:rsidP="00BC230D" w:rsidRDefault="00542489" w14:paraId="0E266E99" w14:textId="77777777">
      <w:pPr>
        <w:spacing w:line="276" w:lineRule="auto"/>
      </w:pPr>
    </w:p>
    <w:p w:rsidR="00DD5AA6" w:rsidP="00BC230D" w:rsidRDefault="00DD5AA6" w14:paraId="6208D77C" w14:textId="77777777">
      <w:pPr>
        <w:spacing w:line="276" w:lineRule="auto"/>
      </w:pPr>
    </w:p>
    <w:p w:rsidR="00645446" w:rsidP="00BC230D" w:rsidRDefault="003907C1" w14:paraId="1204C2C2" w14:textId="321142B5">
      <w:pPr>
        <w:spacing w:after="200" w:line="276" w:lineRule="auto"/>
        <w:ind w:left="10" w:hanging="10"/>
      </w:pPr>
      <w:r>
        <w:t xml:space="preserve">Op </w:t>
      </w:r>
      <w:r w:rsidR="5D7F894E">
        <w:t xml:space="preserve">uw verzoek van 10 oktober 2024 met kenmerk 2024Z15187/2024D37937 bied ik u hierbij mijn reactie </w:t>
      </w:r>
      <w:r w:rsidR="000F3285">
        <w:t xml:space="preserve">aan </w:t>
      </w:r>
      <w:r w:rsidR="5D7F894E">
        <w:t xml:space="preserve">op </w:t>
      </w:r>
      <w:r w:rsidR="00AC5557">
        <w:t>de bevindingen van de rapporteurs Ram en Hirsch namens de vaste commissie voor Buitenlandse Handel en Ontwikkelingshulp bij de begroting Buitenlandse Handel en Ontwikkelingshulp voor het jaar 2025</w:t>
      </w:r>
      <w:r w:rsidR="5D7F894E">
        <w:t>.</w:t>
      </w:r>
    </w:p>
    <w:p w:rsidRPr="00161743" w:rsidR="00645446" w:rsidP="00BC230D" w:rsidRDefault="5D7F894E" w14:paraId="72137113" w14:textId="77777777">
      <w:pPr>
        <w:pStyle w:val="ListParagraph"/>
        <w:numPr>
          <w:ilvl w:val="0"/>
          <w:numId w:val="7"/>
        </w:numPr>
        <w:spacing w:line="276" w:lineRule="auto"/>
        <w:rPr>
          <w:b/>
          <w:bCs/>
        </w:rPr>
      </w:pPr>
      <w:r w:rsidRPr="5D7F894E">
        <w:rPr>
          <w:b/>
          <w:bCs/>
        </w:rPr>
        <w:t>Plan van aanpak Verantwoordingsystematiek</w:t>
      </w:r>
    </w:p>
    <w:p w:rsidRPr="00DD5AA6" w:rsidR="00161743" w:rsidP="00BC230D" w:rsidRDefault="00161743" w14:paraId="5059045C" w14:textId="77777777">
      <w:pPr>
        <w:pStyle w:val="ListParagraph"/>
        <w:spacing w:line="276" w:lineRule="auto"/>
        <w:rPr>
          <w:b/>
        </w:rPr>
      </w:pPr>
    </w:p>
    <w:p w:rsidR="00172C06" w:rsidP="00BC230D" w:rsidRDefault="5D7F894E" w14:paraId="58B54E94" w14:textId="75A4EBF2">
      <w:pPr>
        <w:spacing w:line="276" w:lineRule="auto"/>
      </w:pPr>
      <w:r>
        <w:t>De rapporteurs vragen het plan van aanpak verder uit te werken met concrete vervolgvoorstellen om de systematiek van verantwoorden te verbeteren. Daarbij geven de rapporteurs, naast de vijf al eerder genoemde verbetervoorstellen, een aantal aandachtspunten mee.</w:t>
      </w:r>
    </w:p>
    <w:p w:rsidR="008E212A" w:rsidP="00BC230D" w:rsidRDefault="008E212A" w14:paraId="336AB8EE" w14:textId="77777777">
      <w:pPr>
        <w:spacing w:line="276" w:lineRule="auto"/>
      </w:pPr>
    </w:p>
    <w:p w:rsidR="00971B05" w:rsidP="00BC230D" w:rsidRDefault="5D7F894E" w14:paraId="743C2F7A" w14:textId="2B7D2EF9">
      <w:pPr>
        <w:spacing w:line="276" w:lineRule="auto"/>
      </w:pPr>
      <w:r>
        <w:t>Zoals ik in mijn brief van 11 september 2024</w:t>
      </w:r>
      <w:r w:rsidR="004D3EDD">
        <w:t xml:space="preserve"> (Kamer</w:t>
      </w:r>
      <w:r>
        <w:t>st</w:t>
      </w:r>
      <w:r w:rsidR="004D3EDD">
        <w:t xml:space="preserve">uk </w:t>
      </w:r>
      <w:r>
        <w:t>31865-259</w:t>
      </w:r>
      <w:r w:rsidR="00C5711A">
        <w:t>/</w:t>
      </w:r>
      <w:r w:rsidRPr="00C5711A" w:rsidR="00C5711A">
        <w:t>2024D32761</w:t>
      </w:r>
      <w:r w:rsidR="004D3EDD">
        <w:t>)</w:t>
      </w:r>
      <w:r>
        <w:t xml:space="preserve"> aangaf, zal ik vóór de aanbieding van het Jaarverslag 2024, in mei 2025 een definitief voorstel voor een nieuwe verantwoordingssystematiek met de Kamer delen. Met die brief zond ik een plan van aanpak mee. </w:t>
      </w:r>
    </w:p>
    <w:p w:rsidR="00971B05" w:rsidP="00BC230D" w:rsidRDefault="00971B05" w14:paraId="327D6A18" w14:textId="77777777">
      <w:pPr>
        <w:spacing w:line="276" w:lineRule="auto"/>
      </w:pPr>
    </w:p>
    <w:p w:rsidRPr="00971B05" w:rsidR="00D00AFE" w:rsidP="00BC230D" w:rsidRDefault="5D7F894E" w14:paraId="7C5EFBD8" w14:textId="57B1F014">
      <w:pPr>
        <w:spacing w:line="276" w:lineRule="auto"/>
        <w:rPr>
          <w:rFonts w:cs="Segoe UI"/>
        </w:rPr>
      </w:pPr>
      <w:r>
        <w:t>De rapporteurs vragen mij dit plan van aanpak uit te breiden en in te gaan op verbetervoorstellen en aandachtpunten. Dat zal ik in deze brief doen. Hierbij ga</w:t>
      </w:r>
      <w:r w:rsidRPr="5D7F894E">
        <w:rPr>
          <w:rStyle w:val="cf01"/>
          <w:rFonts w:ascii="Verdana" w:hAnsi="Verdana"/>
        </w:rPr>
        <w:t xml:space="preserve"> ik in op het proces </w:t>
      </w:r>
      <w:r w:rsidR="004D3EDD">
        <w:rPr>
          <w:rStyle w:val="cf01"/>
          <w:rFonts w:ascii="Verdana" w:hAnsi="Verdana"/>
        </w:rPr>
        <w:t xml:space="preserve">voor de </w:t>
      </w:r>
      <w:r w:rsidRPr="5D7F894E">
        <w:rPr>
          <w:rStyle w:val="cf01"/>
          <w:rFonts w:ascii="Verdana" w:hAnsi="Verdana"/>
        </w:rPr>
        <w:t xml:space="preserve">komende maanden, de manier waarop de rapporteurs en instituten hierbij worden betrokken, en de overige voorstellen en aandachtspunten van de rapporteurs, de kaders die ik wil hanteren en de (mogelijke) elementen van een nieuwe systematiek. </w:t>
      </w:r>
    </w:p>
    <w:p w:rsidR="00421A9A" w:rsidP="00BC230D" w:rsidRDefault="00421A9A" w14:paraId="0A3A356C" w14:textId="77777777">
      <w:pPr>
        <w:spacing w:line="276" w:lineRule="auto"/>
      </w:pPr>
    </w:p>
    <w:p w:rsidR="005673AA" w:rsidP="00BC230D" w:rsidRDefault="5D7F894E" w14:paraId="572170E4" w14:textId="7AFB94FD">
      <w:pPr>
        <w:spacing w:line="276" w:lineRule="auto"/>
      </w:pPr>
      <w:bookmarkStart w:name="_Hlk180582386" w:id="0"/>
      <w:r>
        <w:t>Tot er een nieuwe systematiek is overeengekomen zal verantwoording over de begrotingsstukken plaatsvinden op basis van de huidige systematiek in het jaarverslag, inclusief het overzicht van de indicatoren, streefwaarden en de toelichting hierop. Onze correspondentie over dit laatste heeft elkaar gekruist. In de bijlage bij mijn brief aan uw Kamer</w:t>
      </w:r>
      <w:r w:rsidR="004D3EDD">
        <w:t xml:space="preserve"> (Kamerstuk </w:t>
      </w:r>
      <w:r w:rsidRPr="5D7F894E">
        <w:rPr>
          <w:rFonts w:eastAsia="Verdana" w:cs="Verdana"/>
        </w:rPr>
        <w:t>31865-259/2024D35447</w:t>
      </w:r>
      <w:bookmarkEnd w:id="0"/>
      <w:r w:rsidR="00630BBF">
        <w:t xml:space="preserve"> </w:t>
      </w:r>
      <w:r>
        <w:t xml:space="preserve">van </w:t>
      </w:r>
      <w:r>
        <w:lastRenderedPageBreak/>
        <w:t>14 oktober 2024</w:t>
      </w:r>
      <w:r w:rsidR="004D3EDD">
        <w:t>)</w:t>
      </w:r>
      <w:r>
        <w:t xml:space="preserve"> stuurde ik het overzicht van de indicatoren en streefwaarden voor 2025.</w:t>
      </w:r>
    </w:p>
    <w:p w:rsidR="00D00AFE" w:rsidP="00BC230D" w:rsidRDefault="00D00AFE" w14:paraId="42B5592F" w14:textId="77777777">
      <w:pPr>
        <w:spacing w:line="276" w:lineRule="auto"/>
      </w:pPr>
    </w:p>
    <w:p w:rsidRPr="00AB3522" w:rsidR="009770AC" w:rsidP="00BC230D" w:rsidRDefault="5D7F894E" w14:paraId="43747309" w14:textId="534CD63F">
      <w:pPr>
        <w:spacing w:line="276" w:lineRule="auto"/>
        <w:rPr>
          <w:i/>
          <w:iCs/>
        </w:rPr>
      </w:pPr>
      <w:r w:rsidRPr="5D7F894E">
        <w:rPr>
          <w:rFonts w:eastAsia="Times New Roman" w:cs="Segoe UI"/>
          <w:i/>
          <w:iCs/>
          <w:color w:val="auto"/>
        </w:rPr>
        <w:t>Proces</w:t>
      </w:r>
    </w:p>
    <w:p w:rsidR="006F376E" w:rsidP="00BC230D" w:rsidRDefault="006F376E" w14:paraId="54175A61" w14:textId="77777777">
      <w:pPr>
        <w:spacing w:line="276" w:lineRule="auto"/>
      </w:pPr>
    </w:p>
    <w:p w:rsidR="006F376E" w:rsidP="00BC230D" w:rsidRDefault="5D7F894E" w14:paraId="761AAB37" w14:textId="1605AD74">
      <w:pPr>
        <w:spacing w:line="276" w:lineRule="auto"/>
      </w:pPr>
      <w:r>
        <w:t>De voorstellen voor een nieuwe systematiek zullen komende maanden worden uitgewerkt, waarbij de rapporteurs worden betrokken. De door de rapporteurs genoemde instituten - de directie Internationaal Onderzoek en Beleidsevaluatie (IOB), de Adviesraad Internationale Vraagstukken (AIV) en de Algemene Rekenkamer (AR) – zullen ook worden uitgenodigd deel te nemen aan dit proces. Gezien de onafhankelijke rollen van deze instituties zullen zij bepalen hoe zij aan dit proces willen deelnemen.</w:t>
      </w:r>
    </w:p>
    <w:p w:rsidR="006F376E" w:rsidP="00BC230D" w:rsidRDefault="006F376E" w14:paraId="3DB58A03" w14:textId="77777777">
      <w:pPr>
        <w:spacing w:line="276" w:lineRule="auto"/>
      </w:pPr>
    </w:p>
    <w:p w:rsidR="00E84B08" w:rsidP="00BC230D" w:rsidRDefault="5D7F894E" w14:paraId="39BEE537" w14:textId="4783BD19">
      <w:pPr>
        <w:spacing w:line="276" w:lineRule="auto"/>
      </w:pPr>
      <w:r>
        <w:t xml:space="preserve">Ik verwelkom het aanbod van de rapporteurs om in een werksessie te bespreken hoe hun betrokkenheid precies vorm kan krijgen. Voor deze werksessie kunnen alle bovengenoemde partijen worden uitgenodigd. In deze werksessie kan het proces van de komende maanden nader worden besproken en kunnen de mogelijke elementen van een nieuwe systematiek aan de orde komen. </w:t>
      </w:r>
    </w:p>
    <w:p w:rsidR="00E84B08" w:rsidP="00BC230D" w:rsidRDefault="00E84B08" w14:paraId="01F541E0" w14:textId="77777777">
      <w:pPr>
        <w:spacing w:line="276" w:lineRule="auto"/>
      </w:pPr>
    </w:p>
    <w:p w:rsidR="0033307D" w:rsidP="00BC230D" w:rsidRDefault="5D7F894E" w14:paraId="129DFC43" w14:textId="6FE4C8DB">
      <w:pPr>
        <w:spacing w:line="276" w:lineRule="auto"/>
      </w:pPr>
      <w:r w:rsidRPr="5D7F894E">
        <w:rPr>
          <w:rFonts w:eastAsia="Verdana" w:cs="Verdana"/>
        </w:rPr>
        <w:t>Ik streef er hierbij naar d</w:t>
      </w:r>
      <w:r w:rsidR="008B67BA">
        <w:rPr>
          <w:rFonts w:eastAsia="Verdana" w:cs="Verdana"/>
        </w:rPr>
        <w:t>it proces</w:t>
      </w:r>
      <w:r w:rsidRPr="5D7F894E">
        <w:rPr>
          <w:rFonts w:eastAsia="Verdana" w:cs="Verdana"/>
        </w:rPr>
        <w:t xml:space="preserve">, conform uw verzoek, uiterlijk </w:t>
      </w:r>
      <w:r w:rsidR="003C09C0">
        <w:rPr>
          <w:rFonts w:eastAsia="Verdana" w:cs="Verdana"/>
        </w:rPr>
        <w:t>vier</w:t>
      </w:r>
      <w:r w:rsidRPr="5D7F894E">
        <w:rPr>
          <w:rFonts w:eastAsia="Verdana" w:cs="Verdana"/>
        </w:rPr>
        <w:t xml:space="preserve"> weken voor het toezenden van de Voorjaarsnota en de suppletoire begroting af</w:t>
      </w:r>
      <w:r w:rsidR="008B67BA">
        <w:rPr>
          <w:rFonts w:eastAsia="Verdana" w:cs="Verdana"/>
        </w:rPr>
        <w:t xml:space="preserve"> te </w:t>
      </w:r>
      <w:r w:rsidRPr="5D7F894E">
        <w:rPr>
          <w:rFonts w:eastAsia="Verdana" w:cs="Verdana"/>
        </w:rPr>
        <w:t>ronden. Hiermee blijven we op een haalbaar tijdschema waarin we, vóór de aanbieding van het Jaarverslag 2024, in mei 2025, een definitief voorstel voor de nieuwe verantwoordingssystematiek met de Kamer delen.</w:t>
      </w:r>
    </w:p>
    <w:p w:rsidR="006F376E" w:rsidP="00BC230D" w:rsidRDefault="006F376E" w14:paraId="786B9C3F" w14:textId="26A62BE7">
      <w:pPr>
        <w:spacing w:line="276" w:lineRule="auto"/>
      </w:pPr>
    </w:p>
    <w:p w:rsidR="00F40AC7" w:rsidP="00BC230D" w:rsidRDefault="00F40AC7" w14:paraId="459C87D3" w14:textId="77777777">
      <w:pPr>
        <w:spacing w:line="276" w:lineRule="auto"/>
        <w:rPr>
          <w:i/>
          <w:iCs/>
        </w:rPr>
      </w:pPr>
    </w:p>
    <w:p w:rsidRPr="00044B0E" w:rsidR="0047458A" w:rsidP="00BC230D" w:rsidRDefault="5D7F894E" w14:paraId="68F36BD8" w14:textId="77777777">
      <w:pPr>
        <w:spacing w:line="276" w:lineRule="auto"/>
        <w:rPr>
          <w:i/>
          <w:iCs/>
        </w:rPr>
      </w:pPr>
      <w:r w:rsidRPr="5D7F894E">
        <w:rPr>
          <w:i/>
          <w:iCs/>
        </w:rPr>
        <w:t>Reactie voorstellen</w:t>
      </w:r>
    </w:p>
    <w:p w:rsidR="0047458A" w:rsidP="00BC230D" w:rsidRDefault="0047458A" w14:paraId="5D7D3068" w14:textId="77777777">
      <w:pPr>
        <w:spacing w:line="276" w:lineRule="auto"/>
      </w:pPr>
    </w:p>
    <w:p w:rsidRPr="00630BBF" w:rsidR="0047458A" w:rsidP="00BC230D" w:rsidRDefault="5D7F894E" w14:paraId="26B6F80C" w14:textId="08EB4D8E">
      <w:pPr>
        <w:spacing w:line="276" w:lineRule="auto"/>
      </w:pPr>
      <w:r w:rsidRPr="00630BBF">
        <w:t>Voor zover ik deze nog niet heb geadresseerd in bovenstaande tekst, ga ik hierbij in op de bevindingen van de rapporteurs. Op een aantal voorstellen kan ik inhoudelijk reageren. Een aantal voorstellen vergt nader onderzoek of afweging en wordt daarom meegenomen in het proces de komende maanden om te komen tot een nieuwe systematiek.</w:t>
      </w:r>
    </w:p>
    <w:p w:rsidRPr="00630BBF" w:rsidR="0047458A" w:rsidP="00BC230D" w:rsidRDefault="0047458A" w14:paraId="0EA67030" w14:textId="77777777">
      <w:pPr>
        <w:spacing w:line="276" w:lineRule="auto"/>
      </w:pPr>
    </w:p>
    <w:p w:rsidRPr="00630BBF" w:rsidR="005A3205" w:rsidP="00BC230D" w:rsidRDefault="5D7F894E" w14:paraId="71E16D5B" w14:textId="4A78D893">
      <w:pPr>
        <w:spacing w:line="276" w:lineRule="auto"/>
      </w:pPr>
      <w:r w:rsidRPr="00630BBF">
        <w:t>In mijn brief van 11 september 2024 heb ik de volgende kaders voor de nieuwe systematiek uiteen gezet:</w:t>
      </w:r>
    </w:p>
    <w:p w:rsidRPr="00630BBF" w:rsidR="0047458A" w:rsidP="00BC230D" w:rsidRDefault="0047458A" w14:paraId="3F205D0D" w14:textId="77777777">
      <w:pPr>
        <w:spacing w:line="276" w:lineRule="auto"/>
      </w:pPr>
    </w:p>
    <w:p w:rsidRPr="00630BBF" w:rsidR="005A3205" w:rsidP="00BC230D" w:rsidRDefault="5D7F894E" w14:paraId="5E78D3C5" w14:textId="195AFDF6">
      <w:pPr>
        <w:pStyle w:val="ListParagraph"/>
        <w:numPr>
          <w:ilvl w:val="0"/>
          <w:numId w:val="10"/>
        </w:numPr>
        <w:spacing w:line="276" w:lineRule="auto"/>
      </w:pPr>
      <w:r w:rsidRPr="00630BBF">
        <w:t>Het belang van externe verantwoording blijft vanzelfsprekend onverminderd. De herziene systematiek moet daarnaast maximaal faciliteren dat het meten van resultaten wordt gericht op sturen op de uitvoering van beleid en aanpassing van beleid op basis van lessen en opgedane inzichten.</w:t>
      </w:r>
    </w:p>
    <w:p w:rsidRPr="00630BBF" w:rsidR="005A3205" w:rsidP="00BC230D" w:rsidRDefault="005A3205" w14:paraId="122B4ADA" w14:textId="77777777">
      <w:pPr>
        <w:spacing w:line="276" w:lineRule="auto"/>
      </w:pPr>
    </w:p>
    <w:p w:rsidRPr="00630BBF" w:rsidR="005A3205" w:rsidP="00BC230D" w:rsidRDefault="5D7F894E" w14:paraId="2020D164" w14:textId="2D5EDA8A">
      <w:pPr>
        <w:pStyle w:val="ListParagraph"/>
        <w:numPr>
          <w:ilvl w:val="0"/>
          <w:numId w:val="10"/>
        </w:numPr>
        <w:spacing w:line="276" w:lineRule="auto"/>
      </w:pPr>
      <w:r w:rsidRPr="00630BBF">
        <w:t>De systematiek moet de belasting op beleid en uitvoering, inclusief de ketenpartners in de uitvoering, verminderen. Met de recente apparaatstaakstelling en bezuiniging op de begroting moet alles in het werk worden gesteld om uitvoeringslasten te verminderen. De verantwoordingssystematiek put uit bestaande informatie, waaronder evaluaties, verslaglegging door uitvoeringspartners en andere beschikbare data die relevant zijn.</w:t>
      </w:r>
    </w:p>
    <w:p w:rsidRPr="00630BBF" w:rsidR="005A3205" w:rsidP="00BC230D" w:rsidRDefault="5D7F894E" w14:paraId="210BFC62" w14:textId="3E8BE8B6">
      <w:pPr>
        <w:pStyle w:val="ListParagraph"/>
        <w:numPr>
          <w:ilvl w:val="0"/>
          <w:numId w:val="10"/>
        </w:numPr>
        <w:spacing w:line="276" w:lineRule="auto"/>
      </w:pPr>
      <w:r w:rsidRPr="00630BBF">
        <w:lastRenderedPageBreak/>
        <w:t xml:space="preserve">Het jaarverslag is de plek voor verantwoordingsinformatie over het afgelopen jaar. In het jaarverslag wordt toegelicht hoe de verantwoordelijkheid van de </w:t>
      </w:r>
      <w:r w:rsidR="003C09C0">
        <w:t>m</w:t>
      </w:r>
      <w:r w:rsidRPr="00630BBF">
        <w:t>inister is waargemaakt en tot welke resultaten dat heeft geleid.</w:t>
      </w:r>
    </w:p>
    <w:p w:rsidRPr="00630BBF" w:rsidR="005A3205" w:rsidP="00BC230D" w:rsidRDefault="005A3205" w14:paraId="63DDEDBA" w14:textId="77777777">
      <w:pPr>
        <w:pStyle w:val="ListParagraph"/>
        <w:spacing w:line="276" w:lineRule="auto"/>
      </w:pPr>
    </w:p>
    <w:p w:rsidRPr="00630BBF" w:rsidR="005A3205" w:rsidP="00BC230D" w:rsidRDefault="5D7F894E" w14:paraId="41786867" w14:textId="2ABCBFC9">
      <w:pPr>
        <w:pStyle w:val="ListParagraph"/>
        <w:numPr>
          <w:ilvl w:val="0"/>
          <w:numId w:val="10"/>
        </w:numPr>
        <w:spacing w:line="276" w:lineRule="auto"/>
      </w:pPr>
      <w:r w:rsidRPr="00630BBF">
        <w:t>Indicatoren worden hierbij genoemd, voor zover ze relevant zijn voor</w:t>
      </w:r>
      <w:r w:rsidR="00E4503B">
        <w:t xml:space="preserve"> </w:t>
      </w:r>
      <w:r w:rsidRPr="00630BBF">
        <w:t>verslaglegging van de behaalde resultaten op specifieke thema’s, als onderdeel van</w:t>
      </w:r>
      <w:r w:rsidR="0063665B">
        <w:t xml:space="preserve"> </w:t>
      </w:r>
      <w:r w:rsidRPr="00630BBF">
        <w:t xml:space="preserve">het «hele verhaal» van de artikelsgewijze verantwoording. Het huidige systeem van kwantitatieve indicatoren met streefwaarden over alle artikelen </w:t>
      </w:r>
      <w:r w:rsidR="008F1A38">
        <w:t>zal</w:t>
      </w:r>
      <w:r w:rsidRPr="00630BBF">
        <w:t xml:space="preserve"> plaats maken voor de nieuwe systematiek.</w:t>
      </w:r>
    </w:p>
    <w:p w:rsidRPr="00630BBF" w:rsidR="005A3205" w:rsidP="00BC230D" w:rsidRDefault="005A3205" w14:paraId="434A1694" w14:textId="77777777">
      <w:pPr>
        <w:pStyle w:val="ListParagraph"/>
        <w:spacing w:line="276" w:lineRule="auto"/>
      </w:pPr>
    </w:p>
    <w:p w:rsidRPr="00630BBF" w:rsidR="005A3205" w:rsidP="00BC230D" w:rsidRDefault="5D7F894E" w14:paraId="7288267B" w14:textId="24BD454A">
      <w:pPr>
        <w:pStyle w:val="ListParagraph"/>
        <w:numPr>
          <w:ilvl w:val="0"/>
          <w:numId w:val="10"/>
        </w:numPr>
        <w:spacing w:line="276" w:lineRule="auto"/>
      </w:pPr>
      <w:r w:rsidRPr="00630BBF">
        <w:t>Aanvullend wordt voorgesteld jaarlijks over één beleidsthema een verdiepende verantwoording aan te bieden met een meerjarig karakter, waarbij de samenhang met de Strategische Evaluatie Agenda (SEA) zal worden overwogen.</w:t>
      </w:r>
    </w:p>
    <w:p w:rsidRPr="00630BBF" w:rsidR="005A3205" w:rsidP="00BC230D" w:rsidRDefault="005A3205" w14:paraId="6A26CAB1" w14:textId="77777777">
      <w:pPr>
        <w:spacing w:line="276" w:lineRule="auto"/>
        <w:rPr>
          <w:i/>
          <w:iCs/>
        </w:rPr>
      </w:pPr>
    </w:p>
    <w:p w:rsidRPr="00630BBF" w:rsidR="505A53E3" w:rsidP="00BC230D" w:rsidRDefault="505A53E3" w14:paraId="5FBC073C" w14:textId="38BD5DAB">
      <w:pPr>
        <w:spacing w:line="276" w:lineRule="auto"/>
      </w:pPr>
    </w:p>
    <w:p w:rsidRPr="00630BBF" w:rsidR="00F713CB" w:rsidP="00BC230D" w:rsidRDefault="5D7F894E" w14:paraId="0291A281" w14:textId="34E4CEFB">
      <w:pPr>
        <w:spacing w:line="276" w:lineRule="auto"/>
        <w:rPr>
          <w:i/>
          <w:iCs/>
        </w:rPr>
      </w:pPr>
      <w:r w:rsidRPr="00630BBF">
        <w:rPr>
          <w:i/>
          <w:iCs/>
        </w:rPr>
        <w:t>De rapporteurs verzoeken in het plan van aanpak duidelijk te verwerken hoe samenhang tussen de indicatoren en de Strategische Evaluatie Agenda en de Monitor Brede Welvaart wordt verwerkt. Dit met aandacht voor het waarborgen en leren van lessen uit resultaten en daarbij het online-resultatenportaal van het ministerie te betrekken.</w:t>
      </w:r>
    </w:p>
    <w:p w:rsidRPr="00630BBF" w:rsidR="00F713CB" w:rsidP="00BC230D" w:rsidRDefault="00F713CB" w14:paraId="394405FE" w14:textId="77777777">
      <w:pPr>
        <w:spacing w:line="276" w:lineRule="auto"/>
      </w:pPr>
    </w:p>
    <w:p w:rsidR="00526728" w:rsidP="00BC230D" w:rsidRDefault="5D7F894E" w14:paraId="330D4BF3" w14:textId="5AD3C689">
      <w:pPr>
        <w:spacing w:line="276" w:lineRule="auto"/>
      </w:pPr>
      <w:r w:rsidRPr="00630BBF">
        <w:t>In mijn brief van 11 september 2024 benoem ik dat in de voorstellen zowel aandacht zal worden besteed aan de jaarlijkse terugblik, in de artikelsgewijze toelichting in het Jaarverslag, als aan het voorstel van de rapporteurs om jaarlijks één thema uit te lichten.</w:t>
      </w:r>
    </w:p>
    <w:p w:rsidR="00526728" w:rsidP="00BC230D" w:rsidRDefault="00526728" w14:paraId="60484D4C" w14:textId="77777777">
      <w:pPr>
        <w:spacing w:line="276" w:lineRule="auto"/>
      </w:pPr>
    </w:p>
    <w:p w:rsidRPr="001E3033" w:rsidR="00954755" w:rsidP="00BC230D" w:rsidRDefault="5D7F894E" w14:paraId="4BFF1707" w14:textId="6E1BFEE8">
      <w:pPr>
        <w:spacing w:line="276" w:lineRule="auto"/>
      </w:pPr>
      <w:r>
        <w:t xml:space="preserve">In de artikelsgewijze toelichting zal worden teruggeblikt op de inzet in het afgelopen jaar, op een wijze die past bij het desbetreffende begrotingsartikel, in narratieve vorm. Hierbij kan zowel kwantitatieve als kwalitatieve informatie een rol spelen. De nadruk ligt op een terugblik op behaalde resultaten in het afgelopen jaar. </w:t>
      </w:r>
    </w:p>
    <w:p w:rsidRPr="001E3033" w:rsidR="00954755" w:rsidP="00BC230D" w:rsidRDefault="00954755" w14:paraId="142338D8" w14:textId="77777777">
      <w:pPr>
        <w:spacing w:line="276" w:lineRule="auto"/>
      </w:pPr>
    </w:p>
    <w:p w:rsidR="00163EEA" w:rsidP="00BC230D" w:rsidRDefault="5D7F894E" w14:paraId="459DE73E" w14:textId="46F366AD">
      <w:pPr>
        <w:spacing w:line="276" w:lineRule="auto"/>
      </w:pPr>
      <w:r>
        <w:t xml:space="preserve">In aanvulling daarop zal ik een voorstel doen om elk jaar één thema uit te lichten, waarbij met gebruik van onder andere evaluaties, indicatoren, resultaten en andere bronnen worden toegelicht. Hierbij worden resultaten in een meerjarig perspectief verantwoord, met aandacht voor het waarborgen en leren van lessen en de aanpassingen die daaruit volgen. Bij deze aanvulling zal, in lijn met het verzoek van de rapporteurs, zoveel mogelijk aansluiting worden gezocht met de Strategische Evaluatie Agenda. </w:t>
      </w:r>
    </w:p>
    <w:p w:rsidR="00163EEA" w:rsidP="00BC230D" w:rsidRDefault="00163EEA" w14:paraId="4E3774A9" w14:textId="77777777">
      <w:pPr>
        <w:spacing w:line="276" w:lineRule="auto"/>
      </w:pPr>
    </w:p>
    <w:p w:rsidR="00F60D64" w:rsidP="00BC230D" w:rsidRDefault="5D7F894E" w14:paraId="59118206" w14:textId="4CE16945">
      <w:pPr>
        <w:spacing w:line="276" w:lineRule="auto"/>
      </w:pPr>
      <w:r w:rsidRPr="00114906">
        <w:t xml:space="preserve">Zowel de Monitor Brede Welvaart als de </w:t>
      </w:r>
      <w:proofErr w:type="spellStart"/>
      <w:r w:rsidRPr="00114906">
        <w:rPr>
          <w:i/>
          <w:iCs/>
        </w:rPr>
        <w:t>Sustainable</w:t>
      </w:r>
      <w:proofErr w:type="spellEnd"/>
      <w:r w:rsidRPr="00114906">
        <w:rPr>
          <w:i/>
          <w:iCs/>
        </w:rPr>
        <w:t xml:space="preserve"> Development Goals</w:t>
      </w:r>
      <w:r w:rsidRPr="00114906">
        <w:t xml:space="preserve"> (</w:t>
      </w:r>
      <w:proofErr w:type="spellStart"/>
      <w:r w:rsidRPr="00114906">
        <w:t>SDG’s</w:t>
      </w:r>
      <w:proofErr w:type="spellEnd"/>
      <w:r w:rsidRPr="00114906">
        <w:t xml:space="preserve">), </w:t>
      </w:r>
      <w:r w:rsidRPr="00114906" w:rsidR="003907C1">
        <w:t xml:space="preserve">bieden de context </w:t>
      </w:r>
      <w:r w:rsidRPr="00114906" w:rsidR="000C616C">
        <w:t xml:space="preserve">waarbinnen we onze </w:t>
      </w:r>
      <w:r w:rsidRPr="00114906" w:rsidR="007328D8">
        <w:t>doel</w:t>
      </w:r>
      <w:r w:rsidRPr="00114906" w:rsidR="000C616C">
        <w:t>stellinge</w:t>
      </w:r>
      <w:r w:rsidRPr="00114906" w:rsidR="007328D8">
        <w:t>n</w:t>
      </w:r>
      <w:r w:rsidRPr="00114906" w:rsidR="000C616C">
        <w:t xml:space="preserve"> formuleren</w:t>
      </w:r>
      <w:r w:rsidRPr="00114906" w:rsidR="003907C1">
        <w:t xml:space="preserve">. </w:t>
      </w:r>
      <w:r w:rsidRPr="00114906">
        <w:t xml:space="preserve">Tegelijkertijd richt de monitoring van onze interventies zich op een niveau dat niet overeenkomt met het nationale niveau </w:t>
      </w:r>
      <w:r w:rsidRPr="00114906" w:rsidR="00195C16">
        <w:t xml:space="preserve">van de </w:t>
      </w:r>
      <w:proofErr w:type="spellStart"/>
      <w:r w:rsidRPr="00114906">
        <w:t>SDG’s</w:t>
      </w:r>
      <w:proofErr w:type="spellEnd"/>
      <w:r w:rsidRPr="00114906">
        <w:t xml:space="preserve"> en de Monitor Brede Welvaart.</w:t>
      </w:r>
      <w:r w:rsidRPr="00114906" w:rsidR="003907C1">
        <w:t xml:space="preserve"> </w:t>
      </w:r>
      <w:r w:rsidRPr="00114906" w:rsidR="00EC19F9">
        <w:t xml:space="preserve">Ik </w:t>
      </w:r>
      <w:r w:rsidRPr="00114906" w:rsidR="0081692B">
        <w:t>kan</w:t>
      </w:r>
      <w:r w:rsidRPr="00114906" w:rsidR="00EC19F9">
        <w:t xml:space="preserve"> wel </w:t>
      </w:r>
      <w:r w:rsidRPr="00114906" w:rsidR="003907C1">
        <w:t xml:space="preserve"> </w:t>
      </w:r>
      <w:r w:rsidRPr="00114906" w:rsidR="00EC19F9">
        <w:t xml:space="preserve">onderzoeken hoe we </w:t>
      </w:r>
      <w:r w:rsidRPr="00114906" w:rsidR="004A785B">
        <w:t xml:space="preserve">inzichtelijk kunnen maken hoe </w:t>
      </w:r>
      <w:r w:rsidRPr="00114906" w:rsidR="003907C1">
        <w:t>onze interventies zich tot de bredere kaders van de SDG en de Monitor Brede Welvaart verhouden.</w:t>
      </w:r>
    </w:p>
    <w:p w:rsidR="00F60D64" w:rsidP="00BC230D" w:rsidRDefault="00F60D64" w14:paraId="53878083" w14:textId="77777777">
      <w:pPr>
        <w:spacing w:line="276" w:lineRule="auto"/>
      </w:pPr>
    </w:p>
    <w:p w:rsidR="00664765" w:rsidP="00BC230D" w:rsidRDefault="00883365" w14:paraId="0E167861" w14:textId="69BF633C">
      <w:pPr>
        <w:spacing w:line="276" w:lineRule="auto"/>
      </w:pPr>
      <w:r w:rsidRPr="00883365">
        <w:lastRenderedPageBreak/>
        <w:t xml:space="preserve">Het online ontwikkelingshulp portal (OH-portal) wordt ingezet om transparantie te bieden </w:t>
      </w:r>
      <w:r w:rsidR="007575AD">
        <w:t xml:space="preserve">in </w:t>
      </w:r>
      <w:r w:rsidRPr="00883365">
        <w:t>de activiteiten die vanuit Ontwikkelingshulp worden gefinancierd. Er worden ook resultaten gepresenteerd. Deze zullen zich toespitsen op de informatie uit het jaarverslag, de verantwoording op uitgelichte thema’s en door middel van publicatie van uitgevoerde evaluaties. Het OH portal maakt als zodanig geen onderdeel uit van de verantwoording over de begrotingsstukken in het jaarverslag.</w:t>
      </w:r>
    </w:p>
    <w:p w:rsidR="00883365" w:rsidP="00BC230D" w:rsidRDefault="00883365" w14:paraId="5B4A9888" w14:textId="77777777">
      <w:pPr>
        <w:spacing w:line="276" w:lineRule="auto"/>
      </w:pPr>
    </w:p>
    <w:p w:rsidRPr="008A2FF7" w:rsidR="00C36DE6" w:rsidP="00BC230D" w:rsidRDefault="5D7F894E" w14:paraId="4D284A1B" w14:textId="2E8AFEE7">
      <w:pPr>
        <w:spacing w:line="276" w:lineRule="auto"/>
        <w:rPr>
          <w:i/>
          <w:iCs/>
        </w:rPr>
      </w:pPr>
      <w:r w:rsidRPr="5D7F894E">
        <w:rPr>
          <w:i/>
          <w:iCs/>
        </w:rPr>
        <w:t>De rapporteurs verzoeken daarnaast om in het plan van aanpak duidelijk te maken hoe gerapporteerd wordt over resultaten van beleid, ook wanneer delen van dat beleid als gevolg van bezuinigingen uit de begroting verdwijnen.</w:t>
      </w:r>
    </w:p>
    <w:p w:rsidRPr="008A2FF7" w:rsidR="00C36DE6" w:rsidP="00BC230D" w:rsidRDefault="00C36DE6" w14:paraId="43DFC8BD" w14:textId="77777777">
      <w:pPr>
        <w:spacing w:line="276" w:lineRule="auto"/>
        <w:rPr>
          <w:i/>
          <w:iCs/>
        </w:rPr>
      </w:pPr>
    </w:p>
    <w:p w:rsidR="000C3D6B" w:rsidP="00BC230D" w:rsidRDefault="5D7F894E" w14:paraId="2CDD6F44" w14:textId="46AB390F">
      <w:pPr>
        <w:spacing w:line="276" w:lineRule="auto"/>
      </w:pPr>
      <w:r>
        <w:t>De artikelsgewijze jaarlijkse verantwoording is de primaire manier om te rapporteren over resultaten van het beleid. In deze jaarlijkse verantwoording kunnen ook resultaten worden opgenomen over delen van het beleid die als gevolg van bezuinigingen zullen verdwijnen.</w:t>
      </w:r>
    </w:p>
    <w:p w:rsidR="00645446" w:rsidP="00BC230D" w:rsidRDefault="00645446" w14:paraId="226DB935" w14:textId="77777777">
      <w:pPr>
        <w:spacing w:line="276" w:lineRule="auto"/>
      </w:pPr>
    </w:p>
    <w:p w:rsidRPr="008A2FF7" w:rsidR="00DA29F7" w:rsidP="00BC230D" w:rsidRDefault="5D7F894E" w14:paraId="34C8497F" w14:textId="0AFB8A31">
      <w:pPr>
        <w:spacing w:line="276" w:lineRule="auto"/>
        <w:rPr>
          <w:i/>
          <w:iCs/>
        </w:rPr>
      </w:pPr>
      <w:r w:rsidRPr="5D7F894E">
        <w:rPr>
          <w:i/>
          <w:iCs/>
        </w:rPr>
        <w:t xml:space="preserve">Ten slotte stellen de rapporteurs voor om bij de verantwoording over 2024, medio 2025, al één beleidsthema te kiezen als pilot voor de voorgestelde verdiepende behandeling. </w:t>
      </w:r>
    </w:p>
    <w:p w:rsidR="00DA29F7" w:rsidP="00BC230D" w:rsidRDefault="00DA29F7" w14:paraId="33149F4E" w14:textId="77777777">
      <w:pPr>
        <w:spacing w:line="276" w:lineRule="auto"/>
      </w:pPr>
    </w:p>
    <w:p w:rsidR="00BE794F" w:rsidP="00BC230D" w:rsidRDefault="5D7F894E" w14:paraId="6B9F20A5" w14:textId="653BEE85">
      <w:pPr>
        <w:spacing w:line="276" w:lineRule="auto"/>
      </w:pPr>
      <w:r>
        <w:t xml:space="preserve">In het kader van het overleg over de nieuwe verantwoordingssystematiek ga ik graag in op het voorstel om met een pilot te starten. Deze pilot kan echter nog geen deel uitmaken van de verantwoording over 2024, aangezien de verantwoording over dat jaar nog plaatsvindt op basis van de huidige systematiek. Bovendien heeft zo’n pilot een experimenteel karakter, en zal </w:t>
      </w:r>
      <w:r w:rsidR="00EE2145">
        <w:t xml:space="preserve">opname van </w:t>
      </w:r>
      <w:r>
        <w:t xml:space="preserve">een dergelijke verdiepende behandeling </w:t>
      </w:r>
      <w:r w:rsidR="003C09C0">
        <w:t xml:space="preserve">meer </w:t>
      </w:r>
      <w:r>
        <w:t xml:space="preserve">tijd voor planning en voorbereiding vergen dan beschikbaar is tussen nu en de verantwoording over 2024. </w:t>
      </w:r>
    </w:p>
    <w:p w:rsidR="00645446" w:rsidP="00BC230D" w:rsidRDefault="00645446" w14:paraId="200B03CD" w14:textId="77777777">
      <w:pPr>
        <w:spacing w:line="276" w:lineRule="auto"/>
      </w:pPr>
    </w:p>
    <w:p w:rsidR="00645446" w:rsidP="00BC230D" w:rsidRDefault="00645446" w14:paraId="7783BE98" w14:textId="77777777">
      <w:pPr>
        <w:spacing w:line="276" w:lineRule="auto"/>
      </w:pPr>
    </w:p>
    <w:p w:rsidRPr="00DD5AA6" w:rsidR="00DD5AA6" w:rsidP="00BC230D" w:rsidRDefault="5D7F894E" w14:paraId="021F6CCB" w14:textId="68AB4D31">
      <w:pPr>
        <w:pStyle w:val="ListParagraph"/>
        <w:numPr>
          <w:ilvl w:val="0"/>
          <w:numId w:val="7"/>
        </w:numPr>
        <w:spacing w:line="276" w:lineRule="auto"/>
        <w:rPr>
          <w:b/>
          <w:bCs/>
        </w:rPr>
      </w:pPr>
      <w:r w:rsidRPr="5D7F894E">
        <w:rPr>
          <w:b/>
          <w:bCs/>
        </w:rPr>
        <w:t xml:space="preserve">Opzet </w:t>
      </w:r>
      <w:proofErr w:type="spellStart"/>
      <w:r w:rsidRPr="5D7F894E">
        <w:rPr>
          <w:b/>
          <w:bCs/>
        </w:rPr>
        <w:t>factsheet</w:t>
      </w:r>
      <w:proofErr w:type="spellEnd"/>
      <w:r w:rsidRPr="5D7F894E">
        <w:rPr>
          <w:b/>
          <w:bCs/>
        </w:rPr>
        <w:t xml:space="preserve"> </w:t>
      </w:r>
      <w:proofErr w:type="spellStart"/>
      <w:r w:rsidRPr="5D7F894E">
        <w:rPr>
          <w:b/>
          <w:bCs/>
        </w:rPr>
        <w:t>revolverende</w:t>
      </w:r>
      <w:proofErr w:type="spellEnd"/>
      <w:r w:rsidRPr="5D7F894E">
        <w:rPr>
          <w:b/>
          <w:bCs/>
        </w:rPr>
        <w:t xml:space="preserve"> fondsen</w:t>
      </w:r>
    </w:p>
    <w:p w:rsidR="00DD5AA6" w:rsidP="00BC230D" w:rsidRDefault="00DD5AA6" w14:paraId="38469615" w14:textId="77777777">
      <w:pPr>
        <w:spacing w:line="276" w:lineRule="auto"/>
      </w:pPr>
    </w:p>
    <w:p w:rsidR="00C151F0" w:rsidP="00BC230D" w:rsidRDefault="5D7F894E" w14:paraId="0D118DAE" w14:textId="7100B62E">
      <w:pPr>
        <w:spacing w:line="276" w:lineRule="auto"/>
        <w:rPr>
          <w:lang w:eastAsia="en-US"/>
        </w:rPr>
      </w:pPr>
      <w:r>
        <w:t xml:space="preserve">Op 24 juni 2024 heb ik de Kamer een brief met een opzet </w:t>
      </w:r>
      <w:proofErr w:type="spellStart"/>
      <w:r>
        <w:t>Factsheet</w:t>
      </w:r>
      <w:proofErr w:type="spellEnd"/>
      <w:r>
        <w:t xml:space="preserve"> </w:t>
      </w:r>
      <w:proofErr w:type="spellStart"/>
      <w:r>
        <w:t>revolverende</w:t>
      </w:r>
      <w:proofErr w:type="spellEnd"/>
      <w:r>
        <w:t xml:space="preserve"> fondsen doen toekomen</w:t>
      </w:r>
      <w:r w:rsidR="00ED49DB">
        <w:t xml:space="preserve"> (Kamerstuk </w:t>
      </w:r>
      <w:r w:rsidRPr="00ED49DB" w:rsidR="00ED49DB">
        <w:t>31865-256</w:t>
      </w:r>
      <w:r w:rsidR="00ED49DB">
        <w:t>)</w:t>
      </w:r>
      <w:r>
        <w:t xml:space="preserve">. Met ingang van de ontwerpbegroting 2025 zijn in de memorie van toelichting, bijlage 7, voor de onder mijn verantwoordelijkheid vallende </w:t>
      </w:r>
      <w:proofErr w:type="spellStart"/>
      <w:r>
        <w:t>revolverende</w:t>
      </w:r>
      <w:proofErr w:type="spellEnd"/>
      <w:r>
        <w:t xml:space="preserve"> fondsen </w:t>
      </w:r>
      <w:proofErr w:type="spellStart"/>
      <w:r>
        <w:t>factsheets</w:t>
      </w:r>
      <w:proofErr w:type="spellEnd"/>
      <w:r>
        <w:t xml:space="preserve"> opgenomen. </w:t>
      </w:r>
      <w:r w:rsidRPr="5D7F894E">
        <w:rPr>
          <w:lang w:eastAsia="en-US"/>
        </w:rPr>
        <w:t>De rapporteurs leggen twee vervolgvragen aan mij voor, waarop hieronder mijn antwoorden:</w:t>
      </w:r>
    </w:p>
    <w:p w:rsidR="00DD5AA6" w:rsidP="00BC230D" w:rsidRDefault="00DD5AA6" w14:paraId="0130305C" w14:textId="77777777">
      <w:pPr>
        <w:spacing w:line="276" w:lineRule="auto"/>
        <w:rPr>
          <w:i/>
          <w:iCs/>
          <w:lang w:eastAsia="en-US"/>
        </w:rPr>
      </w:pPr>
    </w:p>
    <w:p w:rsidRPr="00DD5AA6" w:rsidR="00DD5AA6" w:rsidP="00BC230D" w:rsidRDefault="5D7F894E" w14:paraId="6ADC1F3B" w14:textId="260DF83B">
      <w:pPr>
        <w:pStyle w:val="ListParagraph"/>
        <w:numPr>
          <w:ilvl w:val="0"/>
          <w:numId w:val="8"/>
        </w:numPr>
        <w:spacing w:line="276" w:lineRule="auto"/>
        <w:rPr>
          <w:i/>
          <w:iCs/>
        </w:rPr>
      </w:pPr>
      <w:r w:rsidRPr="5D7F894E">
        <w:rPr>
          <w:i/>
          <w:iCs/>
        </w:rPr>
        <w:t xml:space="preserve">Kan de minister toezeggen dat de bijlage met de </w:t>
      </w:r>
      <w:proofErr w:type="spellStart"/>
      <w:r w:rsidRPr="5D7F894E">
        <w:rPr>
          <w:i/>
          <w:iCs/>
        </w:rPr>
        <w:t>factsheets</w:t>
      </w:r>
      <w:proofErr w:type="spellEnd"/>
      <w:r w:rsidRPr="5D7F894E">
        <w:rPr>
          <w:i/>
          <w:iCs/>
        </w:rPr>
        <w:t xml:space="preserve"> </w:t>
      </w:r>
      <w:proofErr w:type="spellStart"/>
      <w:r w:rsidRPr="5D7F894E">
        <w:rPr>
          <w:i/>
          <w:iCs/>
        </w:rPr>
        <w:t>revolverende</w:t>
      </w:r>
      <w:proofErr w:type="spellEnd"/>
      <w:r w:rsidRPr="5D7F894E">
        <w:rPr>
          <w:i/>
          <w:iCs/>
        </w:rPr>
        <w:t xml:space="preserve"> fondsen en de toelichting ook in de volgende begrotingen wordt opgenomen?</w:t>
      </w:r>
    </w:p>
    <w:p w:rsidR="00DD5AA6" w:rsidP="00BC230D" w:rsidRDefault="00DD5AA6" w14:paraId="35A1380A" w14:textId="77777777">
      <w:pPr>
        <w:spacing w:line="276" w:lineRule="auto"/>
        <w:rPr>
          <w:b/>
          <w:bCs/>
          <w:lang w:eastAsia="en-US"/>
        </w:rPr>
      </w:pPr>
    </w:p>
    <w:p w:rsidR="00DD5AA6" w:rsidP="00BC230D" w:rsidRDefault="5D7F894E" w14:paraId="19A715FF" w14:textId="02E3B067">
      <w:pPr>
        <w:spacing w:line="276" w:lineRule="auto"/>
        <w:rPr>
          <w:lang w:eastAsia="en-US"/>
        </w:rPr>
      </w:pPr>
      <w:r w:rsidRPr="5D7F894E">
        <w:rPr>
          <w:lang w:eastAsia="en-US"/>
        </w:rPr>
        <w:t xml:space="preserve">Ja, de bijlage met de </w:t>
      </w:r>
      <w:proofErr w:type="spellStart"/>
      <w:r w:rsidRPr="5D7F894E">
        <w:rPr>
          <w:lang w:eastAsia="en-US"/>
        </w:rPr>
        <w:t>factsheets</w:t>
      </w:r>
      <w:proofErr w:type="spellEnd"/>
      <w:r w:rsidRPr="5D7F894E">
        <w:rPr>
          <w:lang w:eastAsia="en-US"/>
        </w:rPr>
        <w:t xml:space="preserve"> </w:t>
      </w:r>
      <w:proofErr w:type="spellStart"/>
      <w:r w:rsidRPr="5D7F894E">
        <w:rPr>
          <w:lang w:eastAsia="en-US"/>
        </w:rPr>
        <w:t>revolverende</w:t>
      </w:r>
      <w:proofErr w:type="spellEnd"/>
      <w:r w:rsidRPr="5D7F894E">
        <w:rPr>
          <w:lang w:eastAsia="en-US"/>
        </w:rPr>
        <w:t xml:space="preserve"> fondsen en de toelichting zullen ook in de volgende begrotingen worden opgenomen.</w:t>
      </w:r>
    </w:p>
    <w:p w:rsidRPr="00DD5AA6" w:rsidR="00DD5AA6" w:rsidP="00BC230D" w:rsidRDefault="00DD5AA6" w14:paraId="769FBCF5" w14:textId="77777777">
      <w:pPr>
        <w:spacing w:line="276" w:lineRule="auto"/>
        <w:rPr>
          <w:lang w:eastAsia="en-US"/>
        </w:rPr>
      </w:pPr>
    </w:p>
    <w:p w:rsidRPr="00DD5AA6" w:rsidR="00DD5AA6" w:rsidP="00BC230D" w:rsidRDefault="5D7F894E" w14:paraId="3A038FE9" w14:textId="31C7228A">
      <w:pPr>
        <w:pStyle w:val="ListParagraph"/>
        <w:numPr>
          <w:ilvl w:val="0"/>
          <w:numId w:val="8"/>
        </w:numPr>
        <w:spacing w:line="276" w:lineRule="auto"/>
      </w:pPr>
      <w:r w:rsidRPr="5D7F894E">
        <w:rPr>
          <w:i/>
          <w:iCs/>
        </w:rPr>
        <w:t xml:space="preserve">Kan de minister toelichten op welke wijze in het jaarverslag over ontwikkelingen rond de </w:t>
      </w:r>
      <w:proofErr w:type="spellStart"/>
      <w:r w:rsidRPr="5D7F894E">
        <w:rPr>
          <w:i/>
          <w:iCs/>
        </w:rPr>
        <w:t>revolverende</w:t>
      </w:r>
      <w:proofErr w:type="spellEnd"/>
      <w:r w:rsidRPr="5D7F894E">
        <w:rPr>
          <w:i/>
          <w:iCs/>
        </w:rPr>
        <w:t xml:space="preserve"> fondsen wordt gerapporteerd? Is de minister voornemens om in het jaarverslag te volstaan met de tabel en toelichting op de </w:t>
      </w:r>
      <w:proofErr w:type="spellStart"/>
      <w:r w:rsidRPr="5D7F894E">
        <w:rPr>
          <w:i/>
          <w:iCs/>
        </w:rPr>
        <w:t>revolverende</w:t>
      </w:r>
      <w:proofErr w:type="spellEnd"/>
      <w:r w:rsidRPr="5D7F894E">
        <w:rPr>
          <w:i/>
          <w:iCs/>
        </w:rPr>
        <w:t xml:space="preserve"> fondsen?</w:t>
      </w:r>
    </w:p>
    <w:p w:rsidRPr="00DD5AA6" w:rsidR="00DD5AA6" w:rsidP="00BC230D" w:rsidRDefault="5D7F894E" w14:paraId="35B4A0EE" w14:textId="4FE66454">
      <w:pPr>
        <w:spacing w:line="276" w:lineRule="auto"/>
        <w:rPr>
          <w:lang w:eastAsia="en-US"/>
        </w:rPr>
      </w:pPr>
      <w:r w:rsidRPr="5D7F894E">
        <w:rPr>
          <w:lang w:eastAsia="en-US"/>
        </w:rPr>
        <w:lastRenderedPageBreak/>
        <w:t xml:space="preserve">De huidige wijze waarop over </w:t>
      </w:r>
      <w:proofErr w:type="spellStart"/>
      <w:r w:rsidRPr="5D7F894E">
        <w:rPr>
          <w:lang w:eastAsia="en-US"/>
        </w:rPr>
        <w:t>revolverende</w:t>
      </w:r>
      <w:proofErr w:type="spellEnd"/>
      <w:r w:rsidRPr="5D7F894E">
        <w:rPr>
          <w:lang w:eastAsia="en-US"/>
        </w:rPr>
        <w:t xml:space="preserve"> fondsen wordt gerapporteerd in het jaarverslag zal worden voortgezet. De tabel en toelichting op de </w:t>
      </w:r>
      <w:proofErr w:type="spellStart"/>
      <w:r w:rsidRPr="5D7F894E">
        <w:rPr>
          <w:lang w:eastAsia="en-US"/>
        </w:rPr>
        <w:t>revolverende</w:t>
      </w:r>
      <w:proofErr w:type="spellEnd"/>
      <w:r w:rsidRPr="5D7F894E">
        <w:rPr>
          <w:lang w:eastAsia="en-US"/>
        </w:rPr>
        <w:t xml:space="preserve"> fondsen maakt hier onderdeel van uit en blijft bestaan. </w:t>
      </w:r>
    </w:p>
    <w:p w:rsidR="00DD5AA6" w:rsidP="00BC230D" w:rsidRDefault="00DD5AA6" w14:paraId="042C0AB4" w14:textId="77777777">
      <w:pPr>
        <w:spacing w:line="276" w:lineRule="auto"/>
      </w:pPr>
    </w:p>
    <w:p w:rsidR="00DD5AA6" w:rsidP="00BC230D" w:rsidRDefault="00DD5AA6" w14:paraId="1BDBEEE9"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542489" w:rsidTr="5D7F894E" w14:paraId="0E266E9E" w14:textId="77777777">
        <w:tc>
          <w:tcPr>
            <w:tcW w:w="3620" w:type="dxa"/>
          </w:tcPr>
          <w:p w:rsidR="00542489" w:rsidP="00BC230D" w:rsidRDefault="5D7F894E" w14:paraId="0E266E9C" w14:textId="614E4470">
            <w:pPr>
              <w:spacing w:line="276" w:lineRule="auto"/>
            </w:pPr>
            <w:r>
              <w:t>De minister voor Buitenlandse Handel</w:t>
            </w:r>
            <w:r w:rsidR="00032C29">
              <w:br/>
            </w:r>
            <w:r>
              <w:t>en Ontwikkelingshulp</w:t>
            </w:r>
            <w:r w:rsidR="00BC230D">
              <w:t>,</w:t>
            </w:r>
            <w:r w:rsidR="00032C29">
              <w:br/>
            </w:r>
            <w:r w:rsidR="00032C29">
              <w:br/>
            </w:r>
            <w:r w:rsidR="00032C29">
              <w:br/>
            </w:r>
            <w:r w:rsidR="00032C29">
              <w:br/>
            </w:r>
            <w:r w:rsidR="00032C29">
              <w:br/>
            </w:r>
            <w:r w:rsidR="00032C29">
              <w:br/>
            </w:r>
            <w:r w:rsidR="00032C29">
              <w:br/>
            </w:r>
            <w:proofErr w:type="spellStart"/>
            <w:r>
              <w:t>Reinette</w:t>
            </w:r>
            <w:proofErr w:type="spellEnd"/>
            <w:r>
              <w:t xml:space="preserve"> Klever</w:t>
            </w:r>
          </w:p>
        </w:tc>
        <w:tc>
          <w:tcPr>
            <w:tcW w:w="3921" w:type="dxa"/>
          </w:tcPr>
          <w:p w:rsidR="00542489" w:rsidP="00BC230D" w:rsidRDefault="00542489" w14:paraId="0E266E9D" w14:textId="77777777">
            <w:pPr>
              <w:spacing w:line="276" w:lineRule="auto"/>
            </w:pPr>
          </w:p>
        </w:tc>
      </w:tr>
    </w:tbl>
    <w:p w:rsidR="00542489" w:rsidP="00BC230D" w:rsidRDefault="00542489" w14:paraId="0E266E9F" w14:textId="77777777">
      <w:pPr>
        <w:spacing w:line="276" w:lineRule="auto"/>
      </w:pPr>
    </w:p>
    <w:sectPr w:rsidR="00542489" w:rsidSect="006D01A3">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BEBDF" w14:textId="77777777" w:rsidR="00032C29" w:rsidRDefault="00032C29">
      <w:pPr>
        <w:spacing w:line="240" w:lineRule="auto"/>
      </w:pPr>
      <w:r>
        <w:separator/>
      </w:r>
    </w:p>
  </w:endnote>
  <w:endnote w:type="continuationSeparator" w:id="0">
    <w:p w14:paraId="1F257CEC" w14:textId="77777777" w:rsidR="00032C29" w:rsidRDefault="00032C29">
      <w:pPr>
        <w:spacing w:line="240" w:lineRule="auto"/>
      </w:pPr>
      <w:r>
        <w:continuationSeparator/>
      </w:r>
    </w:p>
  </w:endnote>
  <w:endnote w:type="continuationNotice" w:id="1">
    <w:p w14:paraId="45F6D0AA" w14:textId="77777777" w:rsidR="00D36801" w:rsidRDefault="00D368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F519" w14:textId="77777777" w:rsidR="006640DD" w:rsidRDefault="00664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707114"/>
      <w:docPartObj>
        <w:docPartGallery w:val="Page Numbers (Bottom of Page)"/>
        <w:docPartUnique/>
      </w:docPartObj>
    </w:sdtPr>
    <w:sdtEndPr/>
    <w:sdtContent>
      <w:p w14:paraId="221427A0" w14:textId="07B931EE" w:rsidR="00BC230D" w:rsidRDefault="00BC230D">
        <w:pPr>
          <w:pStyle w:val="Footer"/>
          <w:jc w:val="center"/>
        </w:pPr>
        <w:r>
          <w:fldChar w:fldCharType="begin"/>
        </w:r>
        <w:r>
          <w:instrText>PAGE   \* MERGEFORMAT</w:instrText>
        </w:r>
        <w:r>
          <w:fldChar w:fldCharType="separate"/>
        </w:r>
        <w:r>
          <w:t>2</w:t>
        </w:r>
        <w:r>
          <w:fldChar w:fldCharType="end"/>
        </w:r>
      </w:p>
    </w:sdtContent>
  </w:sdt>
  <w:p w14:paraId="7C22F121" w14:textId="77777777" w:rsidR="00BC230D" w:rsidRDefault="00BC23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20767"/>
      <w:docPartObj>
        <w:docPartGallery w:val="Page Numbers (Bottom of Page)"/>
        <w:docPartUnique/>
      </w:docPartObj>
    </w:sdtPr>
    <w:sdtEndPr/>
    <w:sdtContent>
      <w:p w14:paraId="7777F4FC" w14:textId="48F89091" w:rsidR="00BC230D" w:rsidRDefault="00BC230D">
        <w:pPr>
          <w:pStyle w:val="Footer"/>
          <w:jc w:val="center"/>
        </w:pPr>
        <w:r>
          <w:fldChar w:fldCharType="begin"/>
        </w:r>
        <w:r>
          <w:instrText>PAGE   \* MERGEFORMAT</w:instrText>
        </w:r>
        <w:r>
          <w:fldChar w:fldCharType="separate"/>
        </w:r>
        <w:r>
          <w:t>2</w:t>
        </w:r>
        <w:r>
          <w:fldChar w:fldCharType="end"/>
        </w:r>
      </w:p>
    </w:sdtContent>
  </w:sdt>
  <w:p w14:paraId="4B2B4241" w14:textId="77777777" w:rsidR="00BC230D" w:rsidRDefault="00BC2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7A6E7" w14:textId="77777777" w:rsidR="00032C29" w:rsidRDefault="00032C29">
      <w:pPr>
        <w:spacing w:line="240" w:lineRule="auto"/>
      </w:pPr>
      <w:r>
        <w:separator/>
      </w:r>
    </w:p>
  </w:footnote>
  <w:footnote w:type="continuationSeparator" w:id="0">
    <w:p w14:paraId="281E4029" w14:textId="77777777" w:rsidR="00032C29" w:rsidRDefault="00032C29">
      <w:pPr>
        <w:spacing w:line="240" w:lineRule="auto"/>
      </w:pPr>
      <w:r>
        <w:continuationSeparator/>
      </w:r>
    </w:p>
  </w:footnote>
  <w:footnote w:type="continuationNotice" w:id="1">
    <w:p w14:paraId="53B2F2C9" w14:textId="77777777" w:rsidR="00D36801" w:rsidRDefault="00D368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DFE1" w14:textId="77777777" w:rsidR="006640DD" w:rsidRDefault="00664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6EA0" w14:textId="1F020163" w:rsidR="00542489" w:rsidRDefault="00032C29">
    <w:r>
      <w:rPr>
        <w:noProof/>
      </w:rPr>
      <mc:AlternateContent>
        <mc:Choice Requires="wps">
          <w:drawing>
            <wp:anchor distT="0" distB="0" distL="0" distR="0" simplePos="0" relativeHeight="251658240" behindDoc="0" locked="1" layoutInCell="1" allowOverlap="1" wp14:anchorId="0E266EA4" wp14:editId="26FAC362">
              <wp:simplePos x="0" y="0"/>
              <wp:positionH relativeFrom="page">
                <wp:posOffset>5923915</wp:posOffset>
              </wp:positionH>
              <wp:positionV relativeFrom="page">
                <wp:posOffset>1962150</wp:posOffset>
              </wp:positionV>
              <wp:extent cx="1419225"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19225" cy="8009890"/>
                      </a:xfrm>
                      <a:prstGeom prst="rect">
                        <a:avLst/>
                      </a:prstGeom>
                      <a:noFill/>
                    </wps:spPr>
                    <wps:txbx>
                      <w:txbxContent>
                        <w:p w14:paraId="0E266ED2" w14:textId="77777777" w:rsidR="00542489" w:rsidRDefault="00032C29">
                          <w:pPr>
                            <w:pStyle w:val="Referentiegegevensbold"/>
                          </w:pPr>
                          <w:r>
                            <w:t>Ministerie van Buitenlandse Zaken</w:t>
                          </w:r>
                        </w:p>
                        <w:p w14:paraId="0E266ED3" w14:textId="77777777" w:rsidR="00542489" w:rsidRDefault="00542489">
                          <w:pPr>
                            <w:pStyle w:val="WitregelW2"/>
                          </w:pPr>
                        </w:p>
                        <w:p w14:paraId="0E266ED4" w14:textId="77777777" w:rsidR="00542489" w:rsidRDefault="00032C29">
                          <w:pPr>
                            <w:pStyle w:val="Referentiegegevensbold"/>
                          </w:pPr>
                          <w:r>
                            <w:t>Onze referentie</w:t>
                          </w:r>
                        </w:p>
                        <w:p w14:paraId="0E266ED5" w14:textId="77777777" w:rsidR="00542489" w:rsidRDefault="00032C29">
                          <w:pPr>
                            <w:pStyle w:val="Referentiegegevens"/>
                          </w:pPr>
                          <w:r>
                            <w:t>BZ2407345</w:t>
                          </w:r>
                        </w:p>
                      </w:txbxContent>
                    </wps:txbx>
                    <wps:bodyPr vert="horz" wrap="square" lIns="0" tIns="0" rIns="0" bIns="0" anchor="t" anchorCtr="0"/>
                  </wps:wsp>
                </a:graphicData>
              </a:graphic>
              <wp14:sizeRelH relativeFrom="margin">
                <wp14:pctWidth>0</wp14:pctWidth>
              </wp14:sizeRelH>
            </wp:anchor>
          </w:drawing>
        </mc:Choice>
        <mc:Fallback>
          <w:pict>
            <v:shapetype w14:anchorId="0E266EA4" id="_x0000_t202" coordsize="21600,21600" o:spt="202" path="m,l,21600r21600,l21600,xe">
              <v:stroke joinstyle="miter"/>
              <v:path gradientshapeok="t" o:connecttype="rect"/>
            </v:shapetype>
            <v:shape id="Text Box 1" o:spid="_x0000_s1026" type="#_x0000_t202" style="position:absolute;margin-left:466.45pt;margin-top:154.5pt;width:111.7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91wkQEAAA4DAAAOAAAAZHJzL2Uyb0RvYy54bWysUsFu2zAMvRfYPwi6L3aCtUiMOAW2okOB&#10;oi3Q7gMUWYoNWKJGqrHTry+lxkmx3YZdKEoUHx8fub4eXS/2BqkDX8v5rJTCeA1N53e1/PVy+3Up&#10;BUXlG9WDN7U8GJLXmy8X6yFUZgEt9I1BwSCeqiHUso0xVEVBujVO0QyC8Ry0gE5FvuKuaFANjO76&#10;YlGWV8UA2AQEbYj49eYjKDcZ31qj46O1ZKLoa8ncYraY7TbZYrNW1Q5VaDt9pKH+gYVTneeiJ6gb&#10;FZV4xe4vKNdpBAIbZxpcAdZ22uQeuJt5+Uc3z60KJvfC4lA4yUT/D1Y/7J/DE4o4foeRB5gEGQJV&#10;xI+pn9GiSyczFRxnCQ8n2cwYhU5J3+arxeJSCs2xZVmulqssbHFOD0jxpwEnklNL5LlkudT+niKX&#10;5K/Tl1TNw23X9+n9zCV5cdyOR4JbaA7Mm1eP8VrANykGHmMt6ferQiNFf+dZpzTzycHJ2U6O8ppT&#10;axml+HB/xLwbU2UWPXM7Lkia6ud75nde4807AAAA//8DAFBLAwQUAAYACAAAACEAJ/+4ieIAAAAN&#10;AQAADwAAAGRycy9kb3ducmV2LnhtbEyPy07DMBBF90j8gzVI7KjdVyAhTlUhWCGhpmHB0ondxGo8&#10;DrHbhr9nuoLdjObozrn5ZnI9O5sxWI8S5jMBzGDjtcVWwmf19vAELESFWvUejYQfE2BT3N7kKtP+&#10;gqU572PLKARDpiR0MQ4Z56HpjFNh5geDdDv40alI69hyPaoLhbueL4RIuFMW6UOnBvPSmea4PzkJ&#10;2y8sX+33R70rD6WtqlTge3KU8v5u2j4Di2aKfzBc9UkdCnKq/Ql1YL2EdLlICZWwFCmVuhLzdbIC&#10;VtO0fhQr4EXO/7cofgEAAP//AwBQSwECLQAUAAYACAAAACEAtoM4kv4AAADhAQAAEwAAAAAAAAAA&#10;AAAAAAAAAAAAW0NvbnRlbnRfVHlwZXNdLnhtbFBLAQItABQABgAIAAAAIQA4/SH/1gAAAJQBAAAL&#10;AAAAAAAAAAAAAAAAAC8BAABfcmVscy8ucmVsc1BLAQItABQABgAIAAAAIQD9h91wkQEAAA4DAAAO&#10;AAAAAAAAAAAAAAAAAC4CAABkcnMvZTJvRG9jLnhtbFBLAQItABQABgAIAAAAIQAn/7iJ4gAAAA0B&#10;AAAPAAAAAAAAAAAAAAAAAOsDAABkcnMvZG93bnJldi54bWxQSwUGAAAAAAQABADzAAAA+gQAAAAA&#10;" filled="f" stroked="f">
              <v:textbox inset="0,0,0,0">
                <w:txbxContent>
                  <w:p w14:paraId="0E266ED2" w14:textId="77777777" w:rsidR="00542489" w:rsidRDefault="00032C29">
                    <w:pPr>
                      <w:pStyle w:val="Referentiegegevensbold"/>
                    </w:pPr>
                    <w:r>
                      <w:t>Ministerie van Buitenlandse Zaken</w:t>
                    </w:r>
                  </w:p>
                  <w:p w14:paraId="0E266ED3" w14:textId="77777777" w:rsidR="00542489" w:rsidRDefault="00542489">
                    <w:pPr>
                      <w:pStyle w:val="WitregelW2"/>
                    </w:pPr>
                  </w:p>
                  <w:p w14:paraId="0E266ED4" w14:textId="77777777" w:rsidR="00542489" w:rsidRDefault="00032C29">
                    <w:pPr>
                      <w:pStyle w:val="Referentiegegevensbold"/>
                    </w:pPr>
                    <w:r>
                      <w:t>Onze referentie</w:t>
                    </w:r>
                  </w:p>
                  <w:p w14:paraId="0E266ED5" w14:textId="77777777" w:rsidR="00542489" w:rsidRDefault="00032C29">
                    <w:pPr>
                      <w:pStyle w:val="Referentiegegevens"/>
                    </w:pPr>
                    <w:r>
                      <w:t>BZ2407345</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0E266EA8" wp14:editId="2AFBFC79">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E266EE3" w14:textId="77777777" w:rsidR="00032C29" w:rsidRDefault="00032C29"/>
                      </w:txbxContent>
                    </wps:txbx>
                    <wps:bodyPr vert="horz" wrap="square" lIns="0" tIns="0" rIns="0" bIns="0" anchor="t" anchorCtr="0"/>
                  </wps:wsp>
                </a:graphicData>
              </a:graphic>
            </wp:anchor>
          </w:drawing>
        </mc:Choice>
        <mc:Fallback>
          <w:pict>
            <v:shape w14:anchorId="0E266EA8" id="Text Box 3"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0E266EE3" w14:textId="77777777" w:rsidR="00032C29" w:rsidRDefault="00032C2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6EA2" w14:textId="15D98A6A" w:rsidR="00542489" w:rsidRDefault="00032C29">
    <w:pPr>
      <w:spacing w:after="7131" w:line="14" w:lineRule="exact"/>
    </w:pPr>
    <w:r>
      <w:rPr>
        <w:noProof/>
      </w:rPr>
      <mc:AlternateContent>
        <mc:Choice Requires="wps">
          <w:drawing>
            <wp:anchor distT="0" distB="0" distL="0" distR="0" simplePos="0" relativeHeight="251658243" behindDoc="0" locked="1" layoutInCell="1" allowOverlap="1" wp14:anchorId="0E266EAA" wp14:editId="0E266EAB">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E266ED7" w14:textId="77777777" w:rsidR="00032C29" w:rsidRDefault="00032C29"/>
                      </w:txbxContent>
                    </wps:txbx>
                    <wps:bodyPr vert="horz" wrap="square" lIns="0" tIns="0" rIns="0" bIns="0" anchor="t" anchorCtr="0"/>
                  </wps:wsp>
                </a:graphicData>
              </a:graphic>
            </wp:anchor>
          </w:drawing>
        </mc:Choice>
        <mc:Fallback>
          <w:pict>
            <v:shapetype w14:anchorId="0E266EAA" id="_x0000_t202" coordsize="21600,21600" o:spt="202" path="m,l,21600r21600,l21600,xe">
              <v:stroke joinstyle="miter"/>
              <v:path gradientshapeok="t" o:connecttype="rect"/>
            </v:shapetype>
            <v:shape id="Text Box 4"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E266ED7" w14:textId="77777777" w:rsidR="00032C29" w:rsidRDefault="00032C29"/>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E266EAC" wp14:editId="0ED85649">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E266EBA" w14:textId="31F1A3F9" w:rsidR="00542489" w:rsidRPr="00BC230D" w:rsidRDefault="00BC230D" w:rsidP="00BC230D">
                          <w:r w:rsidRPr="00BC230D">
                            <w:t xml:space="preserve">Aan de Voorzitter van de </w:t>
                          </w:r>
                        </w:p>
                        <w:p w14:paraId="25D186FA" w14:textId="491ED21A" w:rsidR="00BC230D" w:rsidRPr="00BC230D" w:rsidRDefault="00BC230D" w:rsidP="00BC230D">
                          <w:r w:rsidRPr="00BC230D">
                            <w:t>Tweede Kamer der Staten-Generaal</w:t>
                          </w:r>
                        </w:p>
                        <w:p w14:paraId="4581BEA8" w14:textId="334C7F26" w:rsidR="00BC230D" w:rsidRDefault="00BC230D" w:rsidP="00BC230D">
                          <w:pPr>
                            <w:rPr>
                              <w:lang w:val="en-US"/>
                            </w:rPr>
                          </w:pPr>
                          <w:r>
                            <w:rPr>
                              <w:lang w:val="en-US"/>
                            </w:rPr>
                            <w:t xml:space="preserve">Prinses </w:t>
                          </w:r>
                          <w:proofErr w:type="spellStart"/>
                          <w:r>
                            <w:rPr>
                              <w:lang w:val="en-US"/>
                            </w:rPr>
                            <w:t>Irenestraat</w:t>
                          </w:r>
                          <w:proofErr w:type="spellEnd"/>
                          <w:r>
                            <w:rPr>
                              <w:lang w:val="en-US"/>
                            </w:rPr>
                            <w:t xml:space="preserve"> 6</w:t>
                          </w:r>
                        </w:p>
                        <w:p w14:paraId="30F55D08" w14:textId="48C26607" w:rsidR="00BC230D" w:rsidRPr="00BC230D" w:rsidRDefault="00BC230D" w:rsidP="00BC230D">
                          <w:pPr>
                            <w:rPr>
                              <w:lang w:val="en-US"/>
                            </w:rPr>
                          </w:pPr>
                          <w:r>
                            <w:rPr>
                              <w:lang w:val="en-US"/>
                            </w:rPr>
                            <w:t>Den Haag</w:t>
                          </w:r>
                        </w:p>
                      </w:txbxContent>
                    </wps:txbx>
                    <wps:bodyPr vert="horz" wrap="square" lIns="0" tIns="0" rIns="0" bIns="0" anchor="t" anchorCtr="0"/>
                  </wps:wsp>
                </a:graphicData>
              </a:graphic>
            </wp:anchor>
          </w:drawing>
        </mc:Choice>
        <mc:Fallback>
          <w:pict>
            <v:shape w14:anchorId="0E266EAC" id="Text Box 5"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E266EBA" w14:textId="31F1A3F9" w:rsidR="00542489" w:rsidRPr="00BC230D" w:rsidRDefault="00BC230D" w:rsidP="00BC230D">
                    <w:r w:rsidRPr="00BC230D">
                      <w:t xml:space="preserve">Aan de Voorzitter van de </w:t>
                    </w:r>
                  </w:p>
                  <w:p w14:paraId="25D186FA" w14:textId="491ED21A" w:rsidR="00BC230D" w:rsidRPr="00BC230D" w:rsidRDefault="00BC230D" w:rsidP="00BC230D">
                    <w:r w:rsidRPr="00BC230D">
                      <w:t>Tweede Kamer der Staten-Generaal</w:t>
                    </w:r>
                  </w:p>
                  <w:p w14:paraId="4581BEA8" w14:textId="334C7F26" w:rsidR="00BC230D" w:rsidRDefault="00BC230D" w:rsidP="00BC230D">
                    <w:pPr>
                      <w:rPr>
                        <w:lang w:val="en-US"/>
                      </w:rPr>
                    </w:pPr>
                    <w:r>
                      <w:rPr>
                        <w:lang w:val="en-US"/>
                      </w:rPr>
                      <w:t xml:space="preserve">Prinses </w:t>
                    </w:r>
                    <w:proofErr w:type="spellStart"/>
                    <w:r>
                      <w:rPr>
                        <w:lang w:val="en-US"/>
                      </w:rPr>
                      <w:t>Irenestraat</w:t>
                    </w:r>
                    <w:proofErr w:type="spellEnd"/>
                    <w:r>
                      <w:rPr>
                        <w:lang w:val="en-US"/>
                      </w:rPr>
                      <w:t xml:space="preserve"> 6</w:t>
                    </w:r>
                  </w:p>
                  <w:p w14:paraId="30F55D08" w14:textId="48C26607" w:rsidR="00BC230D" w:rsidRPr="00BC230D" w:rsidRDefault="00BC230D" w:rsidP="00BC230D">
                    <w:pPr>
                      <w:rPr>
                        <w:lang w:val="en-US"/>
                      </w:rPr>
                    </w:pPr>
                    <w:r>
                      <w:rPr>
                        <w:lang w:val="en-US"/>
                      </w:rP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E266EAE" wp14:editId="0E266EAF">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542489" w14:paraId="0E266EBD" w14:textId="77777777">
                            <w:tc>
                              <w:tcPr>
                                <w:tcW w:w="678" w:type="dxa"/>
                              </w:tcPr>
                              <w:p w14:paraId="0E266EBB" w14:textId="77777777" w:rsidR="00542489" w:rsidRDefault="00032C29">
                                <w:r>
                                  <w:t>Datum</w:t>
                                </w:r>
                              </w:p>
                            </w:tc>
                            <w:tc>
                              <w:tcPr>
                                <w:tcW w:w="6851" w:type="dxa"/>
                              </w:tcPr>
                              <w:p w14:paraId="0E266EBC" w14:textId="65CBC4B6" w:rsidR="00542489" w:rsidRDefault="00BC230D">
                                <w:r>
                                  <w:t xml:space="preserve"> </w:t>
                                </w:r>
                                <w:r w:rsidR="006640DD">
                                  <w:t>31</w:t>
                                </w:r>
                                <w:r>
                                  <w:t xml:space="preserve"> oktober</w:t>
                                </w:r>
                                <w:r w:rsidR="005D7CAF">
                                  <w:t xml:space="preserve"> </w:t>
                                </w:r>
                                <w:r w:rsidR="00032C29">
                                  <w:t>2024</w:t>
                                </w:r>
                              </w:p>
                            </w:tc>
                          </w:tr>
                          <w:tr w:rsidR="00542489" w14:paraId="0E266EC2" w14:textId="77777777">
                            <w:tc>
                              <w:tcPr>
                                <w:tcW w:w="678" w:type="dxa"/>
                              </w:tcPr>
                              <w:p w14:paraId="0E266EBE" w14:textId="77777777" w:rsidR="00542489" w:rsidRDefault="00032C29">
                                <w:r>
                                  <w:t>Betreft</w:t>
                                </w:r>
                              </w:p>
                              <w:p w14:paraId="0E266EBF" w14:textId="77777777" w:rsidR="00542489" w:rsidRDefault="00542489"/>
                            </w:tc>
                            <w:tc>
                              <w:tcPr>
                                <w:tcW w:w="6851" w:type="dxa"/>
                              </w:tcPr>
                              <w:p w14:paraId="25A8F5E1" w14:textId="77777777" w:rsidR="00172C06" w:rsidRDefault="00172C06" w:rsidP="00172C06">
                                <w:pPr>
                                  <w:spacing w:after="196"/>
                                  <w:ind w:left="-5"/>
                                </w:pPr>
                                <w:r>
                                  <w:t>Bevindingen rapporteurs bij begroting Buitenlandse Handel en Ontwikkelingshulp 2025</w:t>
                                </w:r>
                              </w:p>
                              <w:p w14:paraId="0E266EC1" w14:textId="77777777" w:rsidR="00542489" w:rsidRDefault="00542489"/>
                            </w:tc>
                          </w:tr>
                        </w:tbl>
                        <w:p w14:paraId="0E266EC3" w14:textId="77777777" w:rsidR="00542489" w:rsidRDefault="00542489"/>
                        <w:p w14:paraId="0E266EC4" w14:textId="77777777" w:rsidR="00542489" w:rsidRDefault="00542489"/>
                      </w:txbxContent>
                    </wps:txbx>
                    <wps:bodyPr vert="horz" wrap="square" lIns="0" tIns="0" rIns="0" bIns="0" anchor="t" anchorCtr="0"/>
                  </wps:wsp>
                </a:graphicData>
              </a:graphic>
            </wp:anchor>
          </w:drawing>
        </mc:Choice>
        <mc:Fallback>
          <w:pict>
            <v:shape w14:anchorId="0E266EAE" id="Text Box 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542489" w14:paraId="0E266EBD" w14:textId="77777777">
                      <w:tc>
                        <w:tcPr>
                          <w:tcW w:w="678" w:type="dxa"/>
                        </w:tcPr>
                        <w:p w14:paraId="0E266EBB" w14:textId="77777777" w:rsidR="00542489" w:rsidRDefault="00032C29">
                          <w:r>
                            <w:t>Datum</w:t>
                          </w:r>
                        </w:p>
                      </w:tc>
                      <w:tc>
                        <w:tcPr>
                          <w:tcW w:w="6851" w:type="dxa"/>
                        </w:tcPr>
                        <w:p w14:paraId="0E266EBC" w14:textId="65CBC4B6" w:rsidR="00542489" w:rsidRDefault="00BC230D">
                          <w:r>
                            <w:t xml:space="preserve"> </w:t>
                          </w:r>
                          <w:r w:rsidR="006640DD">
                            <w:t>31</w:t>
                          </w:r>
                          <w:r>
                            <w:t xml:space="preserve"> oktober</w:t>
                          </w:r>
                          <w:r w:rsidR="005D7CAF">
                            <w:t xml:space="preserve"> </w:t>
                          </w:r>
                          <w:r w:rsidR="00032C29">
                            <w:t>2024</w:t>
                          </w:r>
                        </w:p>
                      </w:tc>
                    </w:tr>
                    <w:tr w:rsidR="00542489" w14:paraId="0E266EC2" w14:textId="77777777">
                      <w:tc>
                        <w:tcPr>
                          <w:tcW w:w="678" w:type="dxa"/>
                        </w:tcPr>
                        <w:p w14:paraId="0E266EBE" w14:textId="77777777" w:rsidR="00542489" w:rsidRDefault="00032C29">
                          <w:r>
                            <w:t>Betreft</w:t>
                          </w:r>
                        </w:p>
                        <w:p w14:paraId="0E266EBF" w14:textId="77777777" w:rsidR="00542489" w:rsidRDefault="00542489"/>
                      </w:tc>
                      <w:tc>
                        <w:tcPr>
                          <w:tcW w:w="6851" w:type="dxa"/>
                        </w:tcPr>
                        <w:p w14:paraId="25A8F5E1" w14:textId="77777777" w:rsidR="00172C06" w:rsidRDefault="00172C06" w:rsidP="00172C06">
                          <w:pPr>
                            <w:spacing w:after="196"/>
                            <w:ind w:left="-5"/>
                          </w:pPr>
                          <w:r>
                            <w:t>Bevindingen rapporteurs bij begroting Buitenlandse Handel en Ontwikkelingshulp 2025</w:t>
                          </w:r>
                        </w:p>
                        <w:p w14:paraId="0E266EC1" w14:textId="77777777" w:rsidR="00542489" w:rsidRDefault="00542489"/>
                      </w:tc>
                    </w:tr>
                  </w:tbl>
                  <w:p w14:paraId="0E266EC3" w14:textId="77777777" w:rsidR="00542489" w:rsidRDefault="00542489"/>
                  <w:p w14:paraId="0E266EC4" w14:textId="77777777" w:rsidR="00542489" w:rsidRDefault="00542489"/>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0E266EB0" wp14:editId="6645C168">
              <wp:simplePos x="0" y="0"/>
              <wp:positionH relativeFrom="page">
                <wp:posOffset>5924550</wp:posOffset>
              </wp:positionH>
              <wp:positionV relativeFrom="page">
                <wp:posOffset>1962150</wp:posOffset>
              </wp:positionV>
              <wp:extent cx="1371600"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0E266EC5" w14:textId="77777777" w:rsidR="00542489" w:rsidRDefault="00032C29">
                          <w:pPr>
                            <w:pStyle w:val="Referentiegegevensbold"/>
                          </w:pPr>
                          <w:r>
                            <w:t>Ministerie van Buitenlandse Zaken</w:t>
                          </w:r>
                        </w:p>
                        <w:p w14:paraId="00E2B875" w14:textId="77777777" w:rsidR="00BC230D" w:rsidRPr="00EE5E5D" w:rsidRDefault="00BC230D" w:rsidP="00BC230D">
                          <w:pPr>
                            <w:rPr>
                              <w:sz w:val="13"/>
                              <w:szCs w:val="13"/>
                            </w:rPr>
                          </w:pPr>
                          <w:r>
                            <w:rPr>
                              <w:sz w:val="13"/>
                              <w:szCs w:val="13"/>
                            </w:rPr>
                            <w:t>Rijnstraat 8</w:t>
                          </w:r>
                        </w:p>
                        <w:p w14:paraId="14CB0692" w14:textId="77777777" w:rsidR="00BC230D" w:rsidRPr="00BC230D" w:rsidRDefault="00BC230D" w:rsidP="00BC230D">
                          <w:pPr>
                            <w:rPr>
                              <w:sz w:val="13"/>
                              <w:szCs w:val="13"/>
                            </w:rPr>
                          </w:pPr>
                          <w:r w:rsidRPr="00BC230D">
                            <w:rPr>
                              <w:sz w:val="13"/>
                              <w:szCs w:val="13"/>
                            </w:rPr>
                            <w:t>2515 XP Den Haag</w:t>
                          </w:r>
                        </w:p>
                        <w:p w14:paraId="4BC7CD01" w14:textId="77777777" w:rsidR="00BC230D" w:rsidRPr="00BC230D" w:rsidRDefault="00BC230D" w:rsidP="00BC230D">
                          <w:pPr>
                            <w:rPr>
                              <w:sz w:val="13"/>
                              <w:szCs w:val="13"/>
                            </w:rPr>
                          </w:pPr>
                          <w:r w:rsidRPr="00BC230D">
                            <w:rPr>
                              <w:sz w:val="13"/>
                              <w:szCs w:val="13"/>
                            </w:rPr>
                            <w:t>Postbus 20061</w:t>
                          </w:r>
                        </w:p>
                        <w:p w14:paraId="4B108D05" w14:textId="77777777" w:rsidR="00BC230D" w:rsidRPr="004D3EDD" w:rsidRDefault="00BC230D" w:rsidP="00BC230D">
                          <w:pPr>
                            <w:rPr>
                              <w:sz w:val="13"/>
                              <w:szCs w:val="13"/>
                            </w:rPr>
                          </w:pPr>
                          <w:r w:rsidRPr="004D3EDD">
                            <w:rPr>
                              <w:sz w:val="13"/>
                              <w:szCs w:val="13"/>
                            </w:rPr>
                            <w:t>Nederland</w:t>
                          </w:r>
                        </w:p>
                        <w:p w14:paraId="54FEDF51" w14:textId="77777777" w:rsidR="00BC230D" w:rsidRPr="004D3EDD" w:rsidRDefault="00BC230D" w:rsidP="00BC230D">
                          <w:pPr>
                            <w:rPr>
                              <w:sz w:val="13"/>
                              <w:szCs w:val="13"/>
                            </w:rPr>
                          </w:pPr>
                          <w:r w:rsidRPr="004D3EDD">
                            <w:rPr>
                              <w:sz w:val="13"/>
                              <w:szCs w:val="13"/>
                            </w:rPr>
                            <w:t>www.rijksoverheid.nl</w:t>
                          </w:r>
                        </w:p>
                        <w:p w14:paraId="0E266EC6" w14:textId="77777777" w:rsidR="00542489" w:rsidRDefault="00542489">
                          <w:pPr>
                            <w:pStyle w:val="WitregelW1"/>
                          </w:pPr>
                        </w:p>
                        <w:p w14:paraId="0E266EC9" w14:textId="2B558A30" w:rsidR="00542489" w:rsidRDefault="00032C29" w:rsidP="00BC230D">
                          <w:pPr>
                            <w:pStyle w:val="Referentiegegevens"/>
                          </w:pPr>
                          <w:r>
                            <w:t xml:space="preserve"> </w:t>
                          </w:r>
                        </w:p>
                        <w:p w14:paraId="0E266ECA" w14:textId="77777777" w:rsidR="00542489" w:rsidRDefault="00032C29">
                          <w:pPr>
                            <w:pStyle w:val="Referentiegegevensbold"/>
                          </w:pPr>
                          <w:r>
                            <w:t>Onze referentie</w:t>
                          </w:r>
                        </w:p>
                        <w:p w14:paraId="0E266ECB" w14:textId="77777777" w:rsidR="00542489" w:rsidRDefault="00032C29">
                          <w:pPr>
                            <w:pStyle w:val="Referentiegegevens"/>
                          </w:pPr>
                          <w:r>
                            <w:t>BZ2407345</w:t>
                          </w:r>
                        </w:p>
                        <w:p w14:paraId="360CF98A" w14:textId="77777777" w:rsidR="00BC230D" w:rsidRPr="00BC230D" w:rsidRDefault="00BC230D" w:rsidP="00BC230D"/>
                        <w:p w14:paraId="45A186A4" w14:textId="7772E263" w:rsidR="00BC230D" w:rsidRPr="00BC230D" w:rsidRDefault="00BC230D" w:rsidP="00BC230D">
                          <w:pPr>
                            <w:rPr>
                              <w:b/>
                              <w:bCs/>
                              <w:sz w:val="13"/>
                              <w:szCs w:val="13"/>
                            </w:rPr>
                          </w:pPr>
                          <w:r w:rsidRPr="00BC230D">
                            <w:rPr>
                              <w:b/>
                              <w:bCs/>
                              <w:sz w:val="13"/>
                              <w:szCs w:val="13"/>
                            </w:rPr>
                            <w:t>Uw referentie</w:t>
                          </w:r>
                        </w:p>
                        <w:p w14:paraId="4CD3A106" w14:textId="6DD52EDB" w:rsidR="00BC230D" w:rsidRPr="00BC230D" w:rsidRDefault="00BC230D" w:rsidP="00BC230D">
                          <w:pPr>
                            <w:rPr>
                              <w:sz w:val="13"/>
                              <w:szCs w:val="13"/>
                            </w:rPr>
                          </w:pPr>
                          <w:r w:rsidRPr="00BC230D">
                            <w:rPr>
                              <w:sz w:val="13"/>
                              <w:szCs w:val="13"/>
                            </w:rPr>
                            <w:t>2024Z15187/2024D37937</w:t>
                          </w:r>
                        </w:p>
                        <w:p w14:paraId="0E266ECC" w14:textId="77777777" w:rsidR="00542489" w:rsidRDefault="00542489">
                          <w:pPr>
                            <w:pStyle w:val="WitregelW1"/>
                          </w:pPr>
                        </w:p>
                        <w:p w14:paraId="0E266ECD" w14:textId="77777777" w:rsidR="00542489" w:rsidRDefault="00032C29">
                          <w:pPr>
                            <w:pStyle w:val="Referentiegegevensbold"/>
                          </w:pPr>
                          <w:r>
                            <w:t>Bijlage(n)</w:t>
                          </w:r>
                        </w:p>
                        <w:p w14:paraId="0E266ECE" w14:textId="77777777" w:rsidR="00542489" w:rsidRDefault="00032C29">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0E266EB0" id="Text Box 7" o:spid="_x0000_s1031" type="#_x0000_t202" style="position:absolute;margin-left:466.5pt;margin-top:154.5pt;width:108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zglAEAABUDAAAOAAAAZHJzL2Uyb0RvYy54bWysUsGOEzEMvSPxD1HudKaLWLqjpivBahES&#10;AqSFD0gzSSfSJA52tjPl63GyOy2CG+LiOHH8/Pzs7e0cRnG0SB6ikutVK4WNBnofD0p+/3b/aiMF&#10;ZR17PUK0Sp4sydvdyxfbKXX2CgYYe4uCQSJ1U1JyyDl1TUNmsEHTCpKNHHSAQWe+4qHpUU+MHsbm&#10;qm2vmwmwTwjGEvHr3VNQ7iq+c9bkL86RzWJUkrnlarHafbHNbqu7A+o0ePNMQ/8Di6B95KJnqDud&#10;tXhE/xdU8AaBwOWVgdCAc97Y2gN3s27/6OZh0MnWXlgcSmeZ6P/Bms/Hh/QVRZ7fwcwDLIJMiTri&#10;x9LP7DCUk5kKjrOEp7Nsds7ClKTXb9fXLYcMxzZte7O5qcI2l/SElD9YCKI4SiLPpcqlj58oc0n+&#10;unwp1SLc+3Es7xcuxcvzfha+V/LNwnMP/Ynp8wYy7AD4U4qJp6kk/XjUaKUYP0aWq4x+cXBx9ouj&#10;o+FUJbMUT+77XFdkIcDaV4rPe1KG+/u90rxs8+4XAAAA//8DAFBLAwQUAAYACAAAACEAcGFy2eAA&#10;AAANAQAADwAAAGRycy9kb3ducmV2LnhtbEyPwU7DMBBE70j8g7VI3KhdUgoJcaoKwQkJNQ0Hjk68&#10;TazG6xC7bfh7nBPc3mhHszP5ZrI9O+PojSMJy4UAhtQ4baiV8Fm93T0B80GRVr0jlPCDHjbF9VWu&#10;Mu0uVOJ5H1oWQ8hnSkIXwpBx7psOrfILNyDF28GNVoUox5brUV1iuO35vRBrbpWh+KFTA7502Bz3&#10;Jyth+0Xlq/n+qHfloTRVlQp6Xx+lvL2Zts/AAk7hzwxz/VgditipdifSnvUS0iSJW4KERKQRZsdy&#10;NVMd6eFRrIAXOf+/ovgFAAD//wMAUEsBAi0AFAAGAAgAAAAhALaDOJL+AAAA4QEAABMAAAAAAAAA&#10;AAAAAAAAAAAAAFtDb250ZW50X1R5cGVzXS54bWxQSwECLQAUAAYACAAAACEAOP0h/9YAAACUAQAA&#10;CwAAAAAAAAAAAAAAAAAvAQAAX3JlbHMvLnJlbHNQSwECLQAUAAYACAAAACEApeNM4JQBAAAVAwAA&#10;DgAAAAAAAAAAAAAAAAAuAgAAZHJzL2Uyb0RvYy54bWxQSwECLQAUAAYACAAAACEAcGFy2eAAAAAN&#10;AQAADwAAAAAAAAAAAAAAAADuAwAAZHJzL2Rvd25yZXYueG1sUEsFBgAAAAAEAAQA8wAAAPsEAAAA&#10;AA==&#10;" filled="f" stroked="f">
              <v:textbox inset="0,0,0,0">
                <w:txbxContent>
                  <w:p w14:paraId="0E266EC5" w14:textId="77777777" w:rsidR="00542489" w:rsidRDefault="00032C29">
                    <w:pPr>
                      <w:pStyle w:val="Referentiegegevensbold"/>
                    </w:pPr>
                    <w:r>
                      <w:t>Ministerie van Buitenlandse Zaken</w:t>
                    </w:r>
                  </w:p>
                  <w:p w14:paraId="00E2B875" w14:textId="77777777" w:rsidR="00BC230D" w:rsidRPr="00EE5E5D" w:rsidRDefault="00BC230D" w:rsidP="00BC230D">
                    <w:pPr>
                      <w:rPr>
                        <w:sz w:val="13"/>
                        <w:szCs w:val="13"/>
                      </w:rPr>
                    </w:pPr>
                    <w:r>
                      <w:rPr>
                        <w:sz w:val="13"/>
                        <w:szCs w:val="13"/>
                      </w:rPr>
                      <w:t>Rijnstraat 8</w:t>
                    </w:r>
                  </w:p>
                  <w:p w14:paraId="14CB0692" w14:textId="77777777" w:rsidR="00BC230D" w:rsidRPr="00BC230D" w:rsidRDefault="00BC230D" w:rsidP="00BC230D">
                    <w:pPr>
                      <w:rPr>
                        <w:sz w:val="13"/>
                        <w:szCs w:val="13"/>
                      </w:rPr>
                    </w:pPr>
                    <w:r w:rsidRPr="00BC230D">
                      <w:rPr>
                        <w:sz w:val="13"/>
                        <w:szCs w:val="13"/>
                      </w:rPr>
                      <w:t>2515 XP Den Haag</w:t>
                    </w:r>
                  </w:p>
                  <w:p w14:paraId="4BC7CD01" w14:textId="77777777" w:rsidR="00BC230D" w:rsidRPr="00BC230D" w:rsidRDefault="00BC230D" w:rsidP="00BC230D">
                    <w:pPr>
                      <w:rPr>
                        <w:sz w:val="13"/>
                        <w:szCs w:val="13"/>
                      </w:rPr>
                    </w:pPr>
                    <w:r w:rsidRPr="00BC230D">
                      <w:rPr>
                        <w:sz w:val="13"/>
                        <w:szCs w:val="13"/>
                      </w:rPr>
                      <w:t>Postbus 20061</w:t>
                    </w:r>
                  </w:p>
                  <w:p w14:paraId="4B108D05" w14:textId="77777777" w:rsidR="00BC230D" w:rsidRPr="004D3EDD" w:rsidRDefault="00BC230D" w:rsidP="00BC230D">
                    <w:pPr>
                      <w:rPr>
                        <w:sz w:val="13"/>
                        <w:szCs w:val="13"/>
                      </w:rPr>
                    </w:pPr>
                    <w:r w:rsidRPr="004D3EDD">
                      <w:rPr>
                        <w:sz w:val="13"/>
                        <w:szCs w:val="13"/>
                      </w:rPr>
                      <w:t>Nederland</w:t>
                    </w:r>
                  </w:p>
                  <w:p w14:paraId="54FEDF51" w14:textId="77777777" w:rsidR="00BC230D" w:rsidRPr="004D3EDD" w:rsidRDefault="00BC230D" w:rsidP="00BC230D">
                    <w:pPr>
                      <w:rPr>
                        <w:sz w:val="13"/>
                        <w:szCs w:val="13"/>
                      </w:rPr>
                    </w:pPr>
                    <w:r w:rsidRPr="004D3EDD">
                      <w:rPr>
                        <w:sz w:val="13"/>
                        <w:szCs w:val="13"/>
                      </w:rPr>
                      <w:t>www.rijksoverheid.nl</w:t>
                    </w:r>
                  </w:p>
                  <w:p w14:paraId="0E266EC6" w14:textId="77777777" w:rsidR="00542489" w:rsidRDefault="00542489">
                    <w:pPr>
                      <w:pStyle w:val="WitregelW1"/>
                    </w:pPr>
                  </w:p>
                  <w:p w14:paraId="0E266EC9" w14:textId="2B558A30" w:rsidR="00542489" w:rsidRDefault="00032C29" w:rsidP="00BC230D">
                    <w:pPr>
                      <w:pStyle w:val="Referentiegegevens"/>
                    </w:pPr>
                    <w:r>
                      <w:t xml:space="preserve"> </w:t>
                    </w:r>
                  </w:p>
                  <w:p w14:paraId="0E266ECA" w14:textId="77777777" w:rsidR="00542489" w:rsidRDefault="00032C29">
                    <w:pPr>
                      <w:pStyle w:val="Referentiegegevensbold"/>
                    </w:pPr>
                    <w:r>
                      <w:t>Onze referentie</w:t>
                    </w:r>
                  </w:p>
                  <w:p w14:paraId="0E266ECB" w14:textId="77777777" w:rsidR="00542489" w:rsidRDefault="00032C29">
                    <w:pPr>
                      <w:pStyle w:val="Referentiegegevens"/>
                    </w:pPr>
                    <w:r>
                      <w:t>BZ2407345</w:t>
                    </w:r>
                  </w:p>
                  <w:p w14:paraId="360CF98A" w14:textId="77777777" w:rsidR="00BC230D" w:rsidRPr="00BC230D" w:rsidRDefault="00BC230D" w:rsidP="00BC230D"/>
                  <w:p w14:paraId="45A186A4" w14:textId="7772E263" w:rsidR="00BC230D" w:rsidRPr="00BC230D" w:rsidRDefault="00BC230D" w:rsidP="00BC230D">
                    <w:pPr>
                      <w:rPr>
                        <w:b/>
                        <w:bCs/>
                        <w:sz w:val="13"/>
                        <w:szCs w:val="13"/>
                      </w:rPr>
                    </w:pPr>
                    <w:r w:rsidRPr="00BC230D">
                      <w:rPr>
                        <w:b/>
                        <w:bCs/>
                        <w:sz w:val="13"/>
                        <w:szCs w:val="13"/>
                      </w:rPr>
                      <w:t>Uw referentie</w:t>
                    </w:r>
                  </w:p>
                  <w:p w14:paraId="4CD3A106" w14:textId="6DD52EDB" w:rsidR="00BC230D" w:rsidRPr="00BC230D" w:rsidRDefault="00BC230D" w:rsidP="00BC230D">
                    <w:pPr>
                      <w:rPr>
                        <w:sz w:val="13"/>
                        <w:szCs w:val="13"/>
                      </w:rPr>
                    </w:pPr>
                    <w:r w:rsidRPr="00BC230D">
                      <w:rPr>
                        <w:sz w:val="13"/>
                        <w:szCs w:val="13"/>
                      </w:rPr>
                      <w:t>2024Z15187/2024D37937</w:t>
                    </w:r>
                  </w:p>
                  <w:p w14:paraId="0E266ECC" w14:textId="77777777" w:rsidR="00542489" w:rsidRDefault="00542489">
                    <w:pPr>
                      <w:pStyle w:val="WitregelW1"/>
                    </w:pPr>
                  </w:p>
                  <w:p w14:paraId="0E266ECD" w14:textId="77777777" w:rsidR="00542489" w:rsidRDefault="00032C29">
                    <w:pPr>
                      <w:pStyle w:val="Referentiegegevensbold"/>
                    </w:pPr>
                    <w:r>
                      <w:t>Bijlage(n)</w:t>
                    </w:r>
                  </w:p>
                  <w:p w14:paraId="0E266ECE" w14:textId="77777777" w:rsidR="00542489" w:rsidRDefault="00032C29">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E266EB4" wp14:editId="559FBD14">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E266EDD" w14:textId="77777777" w:rsidR="00032C29" w:rsidRDefault="00032C29"/>
                      </w:txbxContent>
                    </wps:txbx>
                    <wps:bodyPr vert="horz" wrap="square" lIns="0" tIns="0" rIns="0" bIns="0" anchor="t" anchorCtr="0"/>
                  </wps:wsp>
                </a:graphicData>
              </a:graphic>
            </wp:anchor>
          </w:drawing>
        </mc:Choice>
        <mc:Fallback>
          <w:pict>
            <v:shape w14:anchorId="0E266EB4" id="Text Box 9"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0E266EDD" w14:textId="77777777" w:rsidR="00032C29" w:rsidRDefault="00032C29"/>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0E266EB6" wp14:editId="0E266EB7">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E266ED0" w14:textId="318B46F5" w:rsidR="00542489" w:rsidRDefault="00542489">
                          <w:pPr>
                            <w:spacing w:line="240" w:lineRule="auto"/>
                          </w:pPr>
                        </w:p>
                      </w:txbxContent>
                    </wps:txbx>
                    <wps:bodyPr vert="horz" wrap="square" lIns="0" tIns="0" rIns="0" bIns="0" anchor="t" anchorCtr="0"/>
                  </wps:wsp>
                </a:graphicData>
              </a:graphic>
            </wp:anchor>
          </w:drawing>
        </mc:Choice>
        <mc:Fallback>
          <w:pict>
            <v:shape w14:anchorId="0E266EB6" id="Text Box 10"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0E266ED0" w14:textId="318B46F5" w:rsidR="00542489" w:rsidRDefault="00542489">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0E266EB8" wp14:editId="0E266EB9">
              <wp:simplePos x="0" y="0"/>
              <wp:positionH relativeFrom="page">
                <wp:posOffset>3995420</wp:posOffset>
              </wp:positionH>
              <wp:positionV relativeFrom="page">
                <wp:posOffset>0</wp:posOffset>
              </wp:positionV>
              <wp:extent cx="2339975" cy="15836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E266ED1" w14:textId="77777777" w:rsidR="00542489" w:rsidRDefault="00032C29">
                          <w:pPr>
                            <w:spacing w:line="240" w:lineRule="auto"/>
                          </w:pPr>
                          <w:r>
                            <w:rPr>
                              <w:noProof/>
                            </w:rPr>
                            <w:drawing>
                              <wp:inline distT="0" distB="0" distL="0" distR="0" wp14:anchorId="0E266ED9" wp14:editId="0E266EDA">
                                <wp:extent cx="2339975" cy="1582834"/>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266EB8" id="Text Box 12"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E266ED1" w14:textId="77777777" w:rsidR="00542489" w:rsidRDefault="00032C29">
                    <w:pPr>
                      <w:spacing w:line="240" w:lineRule="auto"/>
                    </w:pPr>
                    <w:r>
                      <w:rPr>
                        <w:noProof/>
                      </w:rPr>
                      <w:drawing>
                        <wp:inline distT="0" distB="0" distL="0" distR="0" wp14:anchorId="0E266ED9" wp14:editId="0E266EDA">
                          <wp:extent cx="2339975" cy="1582834"/>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161AAF"/>
    <w:multiLevelType w:val="multilevel"/>
    <w:tmpl w:val="18EF5778"/>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F50B28C7"/>
    <w:multiLevelType w:val="multilevel"/>
    <w:tmpl w:val="0616A254"/>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B915F7"/>
    <w:multiLevelType w:val="hybridMultilevel"/>
    <w:tmpl w:val="A9F6AF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91089D"/>
    <w:multiLevelType w:val="hybridMultilevel"/>
    <w:tmpl w:val="9ADC57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C473C65"/>
    <w:multiLevelType w:val="hybridMultilevel"/>
    <w:tmpl w:val="CF1C23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94A2360"/>
    <w:multiLevelType w:val="multilevel"/>
    <w:tmpl w:val="6F953A47"/>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4E477325"/>
    <w:multiLevelType w:val="multilevel"/>
    <w:tmpl w:val="A9E1DDDE"/>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51B37E47"/>
    <w:multiLevelType w:val="hybridMultilevel"/>
    <w:tmpl w:val="86F61BB4"/>
    <w:lvl w:ilvl="0" w:tplc="52DE9C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2E529E7"/>
    <w:multiLevelType w:val="multilevel"/>
    <w:tmpl w:val="13644D4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769B5C19"/>
    <w:multiLevelType w:val="hybridMultilevel"/>
    <w:tmpl w:val="CF14EE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37483582">
    <w:abstractNumId w:val="0"/>
  </w:num>
  <w:num w:numId="2" w16cid:durableId="1601255640">
    <w:abstractNumId w:val="5"/>
  </w:num>
  <w:num w:numId="3" w16cid:durableId="2121878449">
    <w:abstractNumId w:val="8"/>
  </w:num>
  <w:num w:numId="4" w16cid:durableId="2107261979">
    <w:abstractNumId w:val="6"/>
  </w:num>
  <w:num w:numId="5" w16cid:durableId="11997663">
    <w:abstractNumId w:val="1"/>
  </w:num>
  <w:num w:numId="6" w16cid:durableId="696587575">
    <w:abstractNumId w:val="9"/>
  </w:num>
  <w:num w:numId="7" w16cid:durableId="1362852690">
    <w:abstractNumId w:val="2"/>
  </w:num>
  <w:num w:numId="8" w16cid:durableId="1073241901">
    <w:abstractNumId w:val="7"/>
  </w:num>
  <w:num w:numId="9" w16cid:durableId="1175611939">
    <w:abstractNumId w:val="4"/>
  </w:num>
  <w:num w:numId="10" w16cid:durableId="687100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45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489"/>
    <w:rsid w:val="00011952"/>
    <w:rsid w:val="00015F4E"/>
    <w:rsid w:val="00032C29"/>
    <w:rsid w:val="0003386F"/>
    <w:rsid w:val="00035748"/>
    <w:rsid w:val="00035FA1"/>
    <w:rsid w:val="00044B0E"/>
    <w:rsid w:val="000533EB"/>
    <w:rsid w:val="000722EF"/>
    <w:rsid w:val="000765E9"/>
    <w:rsid w:val="000776C7"/>
    <w:rsid w:val="000A1773"/>
    <w:rsid w:val="000A591F"/>
    <w:rsid w:val="000B131D"/>
    <w:rsid w:val="000C3D6B"/>
    <w:rsid w:val="000C5F0A"/>
    <w:rsid w:val="000C616C"/>
    <w:rsid w:val="000C7151"/>
    <w:rsid w:val="000D419C"/>
    <w:rsid w:val="000F3285"/>
    <w:rsid w:val="00114906"/>
    <w:rsid w:val="00161743"/>
    <w:rsid w:val="00163EEA"/>
    <w:rsid w:val="00163F63"/>
    <w:rsid w:val="00172C06"/>
    <w:rsid w:val="00177B22"/>
    <w:rsid w:val="00183FF0"/>
    <w:rsid w:val="00191BC2"/>
    <w:rsid w:val="00191DC9"/>
    <w:rsid w:val="00195C16"/>
    <w:rsid w:val="001974AC"/>
    <w:rsid w:val="001A5B8A"/>
    <w:rsid w:val="001B5774"/>
    <w:rsid w:val="001E0AAD"/>
    <w:rsid w:val="001E3033"/>
    <w:rsid w:val="001F1BCB"/>
    <w:rsid w:val="00205961"/>
    <w:rsid w:val="00205C44"/>
    <w:rsid w:val="00205FD2"/>
    <w:rsid w:val="00210BFD"/>
    <w:rsid w:val="002144DD"/>
    <w:rsid w:val="002373BF"/>
    <w:rsid w:val="002422FA"/>
    <w:rsid w:val="00243071"/>
    <w:rsid w:val="002523A3"/>
    <w:rsid w:val="0025578B"/>
    <w:rsid w:val="0026373B"/>
    <w:rsid w:val="00265560"/>
    <w:rsid w:val="00270DE0"/>
    <w:rsid w:val="00272600"/>
    <w:rsid w:val="0027285C"/>
    <w:rsid w:val="002843B0"/>
    <w:rsid w:val="0029632C"/>
    <w:rsid w:val="002B0C7C"/>
    <w:rsid w:val="002C3DDB"/>
    <w:rsid w:val="002C54FB"/>
    <w:rsid w:val="002F7FA6"/>
    <w:rsid w:val="00315DBA"/>
    <w:rsid w:val="00326000"/>
    <w:rsid w:val="0033307D"/>
    <w:rsid w:val="003421EF"/>
    <w:rsid w:val="003438FB"/>
    <w:rsid w:val="00343A41"/>
    <w:rsid w:val="00350F6B"/>
    <w:rsid w:val="00354016"/>
    <w:rsid w:val="0038660A"/>
    <w:rsid w:val="003902CA"/>
    <w:rsid w:val="003907C1"/>
    <w:rsid w:val="0039116A"/>
    <w:rsid w:val="003C09C0"/>
    <w:rsid w:val="003C0EE4"/>
    <w:rsid w:val="003C218D"/>
    <w:rsid w:val="003C7ED5"/>
    <w:rsid w:val="003D42F8"/>
    <w:rsid w:val="003E0454"/>
    <w:rsid w:val="003F2019"/>
    <w:rsid w:val="003F384D"/>
    <w:rsid w:val="003F463C"/>
    <w:rsid w:val="003F7597"/>
    <w:rsid w:val="0040673B"/>
    <w:rsid w:val="00421A9A"/>
    <w:rsid w:val="00426BA3"/>
    <w:rsid w:val="004342FB"/>
    <w:rsid w:val="00445924"/>
    <w:rsid w:val="00447E6C"/>
    <w:rsid w:val="00460959"/>
    <w:rsid w:val="0047458A"/>
    <w:rsid w:val="00474CF4"/>
    <w:rsid w:val="00480F81"/>
    <w:rsid w:val="00482B88"/>
    <w:rsid w:val="00483625"/>
    <w:rsid w:val="004A12D8"/>
    <w:rsid w:val="004A785B"/>
    <w:rsid w:val="004C487F"/>
    <w:rsid w:val="004C6B9F"/>
    <w:rsid w:val="004D3EDD"/>
    <w:rsid w:val="004E1061"/>
    <w:rsid w:val="004F43C3"/>
    <w:rsid w:val="005071E3"/>
    <w:rsid w:val="00526728"/>
    <w:rsid w:val="005421BE"/>
    <w:rsid w:val="00542489"/>
    <w:rsid w:val="0055315D"/>
    <w:rsid w:val="00557E6D"/>
    <w:rsid w:val="005673AA"/>
    <w:rsid w:val="005721CB"/>
    <w:rsid w:val="0057722C"/>
    <w:rsid w:val="005900EC"/>
    <w:rsid w:val="00594A04"/>
    <w:rsid w:val="005A0CC1"/>
    <w:rsid w:val="005A3205"/>
    <w:rsid w:val="005D245A"/>
    <w:rsid w:val="005D7CAF"/>
    <w:rsid w:val="005E3BB4"/>
    <w:rsid w:val="005E5DC9"/>
    <w:rsid w:val="005F66DC"/>
    <w:rsid w:val="005F6C1D"/>
    <w:rsid w:val="006147A9"/>
    <w:rsid w:val="00630BBF"/>
    <w:rsid w:val="0063665B"/>
    <w:rsid w:val="00641AE7"/>
    <w:rsid w:val="00645446"/>
    <w:rsid w:val="00651314"/>
    <w:rsid w:val="00656A38"/>
    <w:rsid w:val="00656AC0"/>
    <w:rsid w:val="006640DD"/>
    <w:rsid w:val="00664765"/>
    <w:rsid w:val="006648AA"/>
    <w:rsid w:val="006730EA"/>
    <w:rsid w:val="00674C90"/>
    <w:rsid w:val="00685F51"/>
    <w:rsid w:val="00696D6A"/>
    <w:rsid w:val="006A6911"/>
    <w:rsid w:val="006A7146"/>
    <w:rsid w:val="006B4681"/>
    <w:rsid w:val="006D01A3"/>
    <w:rsid w:val="006D44BD"/>
    <w:rsid w:val="006D66E4"/>
    <w:rsid w:val="006F376E"/>
    <w:rsid w:val="00700D6C"/>
    <w:rsid w:val="007136BA"/>
    <w:rsid w:val="00726241"/>
    <w:rsid w:val="007328D8"/>
    <w:rsid w:val="00735913"/>
    <w:rsid w:val="007378CC"/>
    <w:rsid w:val="00755506"/>
    <w:rsid w:val="00756C70"/>
    <w:rsid w:val="007575AD"/>
    <w:rsid w:val="00761E2B"/>
    <w:rsid w:val="00764C14"/>
    <w:rsid w:val="00774C63"/>
    <w:rsid w:val="00797CCC"/>
    <w:rsid w:val="007A52DB"/>
    <w:rsid w:val="00803837"/>
    <w:rsid w:val="00811F0A"/>
    <w:rsid w:val="00812C96"/>
    <w:rsid w:val="00813AA1"/>
    <w:rsid w:val="0081692B"/>
    <w:rsid w:val="00821B27"/>
    <w:rsid w:val="0082308B"/>
    <w:rsid w:val="00827FF3"/>
    <w:rsid w:val="008363FC"/>
    <w:rsid w:val="008444D8"/>
    <w:rsid w:val="008603C2"/>
    <w:rsid w:val="00866214"/>
    <w:rsid w:val="00866228"/>
    <w:rsid w:val="00871389"/>
    <w:rsid w:val="0087283A"/>
    <w:rsid w:val="00883365"/>
    <w:rsid w:val="008A2FF7"/>
    <w:rsid w:val="008B26EB"/>
    <w:rsid w:val="008B58A6"/>
    <w:rsid w:val="008B67BA"/>
    <w:rsid w:val="008C5923"/>
    <w:rsid w:val="008D51D8"/>
    <w:rsid w:val="008E212A"/>
    <w:rsid w:val="008F1A38"/>
    <w:rsid w:val="00913C25"/>
    <w:rsid w:val="0092262D"/>
    <w:rsid w:val="00923C28"/>
    <w:rsid w:val="00935DE1"/>
    <w:rsid w:val="009539ED"/>
    <w:rsid w:val="00954755"/>
    <w:rsid w:val="00954FF9"/>
    <w:rsid w:val="009637C0"/>
    <w:rsid w:val="00971B05"/>
    <w:rsid w:val="009770AC"/>
    <w:rsid w:val="009904D2"/>
    <w:rsid w:val="009918A3"/>
    <w:rsid w:val="00995B13"/>
    <w:rsid w:val="009A4C0E"/>
    <w:rsid w:val="009B2AB5"/>
    <w:rsid w:val="009B50FC"/>
    <w:rsid w:val="009C06C9"/>
    <w:rsid w:val="009C3373"/>
    <w:rsid w:val="009C3909"/>
    <w:rsid w:val="009C5808"/>
    <w:rsid w:val="009D1812"/>
    <w:rsid w:val="009E5C72"/>
    <w:rsid w:val="009F03DD"/>
    <w:rsid w:val="009F041D"/>
    <w:rsid w:val="009F164A"/>
    <w:rsid w:val="009F4030"/>
    <w:rsid w:val="00A148A0"/>
    <w:rsid w:val="00A168A7"/>
    <w:rsid w:val="00A27B04"/>
    <w:rsid w:val="00A319FC"/>
    <w:rsid w:val="00A407B3"/>
    <w:rsid w:val="00A41C6B"/>
    <w:rsid w:val="00A56C52"/>
    <w:rsid w:val="00A61E30"/>
    <w:rsid w:val="00A672B5"/>
    <w:rsid w:val="00A81FA8"/>
    <w:rsid w:val="00A8235C"/>
    <w:rsid w:val="00A90DD4"/>
    <w:rsid w:val="00A95FBA"/>
    <w:rsid w:val="00AA68D0"/>
    <w:rsid w:val="00AB28CA"/>
    <w:rsid w:val="00AB3522"/>
    <w:rsid w:val="00AC1BDE"/>
    <w:rsid w:val="00AC5557"/>
    <w:rsid w:val="00B008CC"/>
    <w:rsid w:val="00B120F9"/>
    <w:rsid w:val="00B455DF"/>
    <w:rsid w:val="00B5269E"/>
    <w:rsid w:val="00B6700D"/>
    <w:rsid w:val="00B70A21"/>
    <w:rsid w:val="00B7146D"/>
    <w:rsid w:val="00B91A52"/>
    <w:rsid w:val="00B97443"/>
    <w:rsid w:val="00BC0027"/>
    <w:rsid w:val="00BC230D"/>
    <w:rsid w:val="00BC2ADF"/>
    <w:rsid w:val="00BC4DD1"/>
    <w:rsid w:val="00BC5968"/>
    <w:rsid w:val="00BD73B3"/>
    <w:rsid w:val="00BE794F"/>
    <w:rsid w:val="00BF20C0"/>
    <w:rsid w:val="00BF3516"/>
    <w:rsid w:val="00C151F0"/>
    <w:rsid w:val="00C36DE6"/>
    <w:rsid w:val="00C413D9"/>
    <w:rsid w:val="00C502DA"/>
    <w:rsid w:val="00C503F9"/>
    <w:rsid w:val="00C50877"/>
    <w:rsid w:val="00C50C91"/>
    <w:rsid w:val="00C5507D"/>
    <w:rsid w:val="00C5711A"/>
    <w:rsid w:val="00C76547"/>
    <w:rsid w:val="00C7702C"/>
    <w:rsid w:val="00C77D14"/>
    <w:rsid w:val="00C80930"/>
    <w:rsid w:val="00C835FD"/>
    <w:rsid w:val="00CA0CF0"/>
    <w:rsid w:val="00CB6F42"/>
    <w:rsid w:val="00CE24D3"/>
    <w:rsid w:val="00CE356E"/>
    <w:rsid w:val="00CE710B"/>
    <w:rsid w:val="00CF33F7"/>
    <w:rsid w:val="00CF5391"/>
    <w:rsid w:val="00D00AFE"/>
    <w:rsid w:val="00D0110B"/>
    <w:rsid w:val="00D0258D"/>
    <w:rsid w:val="00D07B4F"/>
    <w:rsid w:val="00D17990"/>
    <w:rsid w:val="00D320B4"/>
    <w:rsid w:val="00D36801"/>
    <w:rsid w:val="00D52B92"/>
    <w:rsid w:val="00DA060D"/>
    <w:rsid w:val="00DA29F1"/>
    <w:rsid w:val="00DA29F7"/>
    <w:rsid w:val="00DD5AA6"/>
    <w:rsid w:val="00DF3B80"/>
    <w:rsid w:val="00DF58F3"/>
    <w:rsid w:val="00E00CD1"/>
    <w:rsid w:val="00E02151"/>
    <w:rsid w:val="00E20443"/>
    <w:rsid w:val="00E23E1E"/>
    <w:rsid w:val="00E244E1"/>
    <w:rsid w:val="00E4503B"/>
    <w:rsid w:val="00E4548D"/>
    <w:rsid w:val="00E5536F"/>
    <w:rsid w:val="00E64212"/>
    <w:rsid w:val="00E83373"/>
    <w:rsid w:val="00E84B08"/>
    <w:rsid w:val="00E924C5"/>
    <w:rsid w:val="00E93E24"/>
    <w:rsid w:val="00EC19F9"/>
    <w:rsid w:val="00ED4349"/>
    <w:rsid w:val="00ED49DB"/>
    <w:rsid w:val="00ED60EC"/>
    <w:rsid w:val="00EE2145"/>
    <w:rsid w:val="00EE2E0D"/>
    <w:rsid w:val="00EE37A6"/>
    <w:rsid w:val="00EE6282"/>
    <w:rsid w:val="00EE7F69"/>
    <w:rsid w:val="00EF702D"/>
    <w:rsid w:val="00EF7080"/>
    <w:rsid w:val="00F01F9E"/>
    <w:rsid w:val="00F06F5F"/>
    <w:rsid w:val="00F12DAF"/>
    <w:rsid w:val="00F26B33"/>
    <w:rsid w:val="00F309A1"/>
    <w:rsid w:val="00F32521"/>
    <w:rsid w:val="00F32D93"/>
    <w:rsid w:val="00F40AC7"/>
    <w:rsid w:val="00F50602"/>
    <w:rsid w:val="00F50FE5"/>
    <w:rsid w:val="00F60D64"/>
    <w:rsid w:val="00F619F0"/>
    <w:rsid w:val="00F65EB5"/>
    <w:rsid w:val="00F713CB"/>
    <w:rsid w:val="00F769E3"/>
    <w:rsid w:val="00FA1D7F"/>
    <w:rsid w:val="00FB4102"/>
    <w:rsid w:val="00FB65DA"/>
    <w:rsid w:val="00FB6929"/>
    <w:rsid w:val="00FC212D"/>
    <w:rsid w:val="00FC6325"/>
    <w:rsid w:val="00FE3A39"/>
    <w:rsid w:val="00FF680C"/>
    <w:rsid w:val="02F72A94"/>
    <w:rsid w:val="057D82FA"/>
    <w:rsid w:val="19D55BF6"/>
    <w:rsid w:val="1AA41B87"/>
    <w:rsid w:val="1BCE1CB3"/>
    <w:rsid w:val="1BFB1A35"/>
    <w:rsid w:val="1DD3C73C"/>
    <w:rsid w:val="233605BB"/>
    <w:rsid w:val="24BC575C"/>
    <w:rsid w:val="25639151"/>
    <w:rsid w:val="300DF223"/>
    <w:rsid w:val="33F4B962"/>
    <w:rsid w:val="37F1CACA"/>
    <w:rsid w:val="3F5214CD"/>
    <w:rsid w:val="41A457D7"/>
    <w:rsid w:val="42A28BE7"/>
    <w:rsid w:val="505A53E3"/>
    <w:rsid w:val="538EC1E6"/>
    <w:rsid w:val="56116B69"/>
    <w:rsid w:val="57B983F8"/>
    <w:rsid w:val="59D58E49"/>
    <w:rsid w:val="5C8B6AB4"/>
    <w:rsid w:val="5D7F894E"/>
    <w:rsid w:val="5F0D8541"/>
    <w:rsid w:val="61310ADC"/>
    <w:rsid w:val="634F22BF"/>
    <w:rsid w:val="69A5C930"/>
    <w:rsid w:val="6DB5CE2E"/>
    <w:rsid w:val="75425A0E"/>
    <w:rsid w:val="7545CCBD"/>
    <w:rsid w:val="7C06F170"/>
    <w:rsid w:val="7D9B3A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0E266E98"/>
  <w15:docId w15:val="{FA567743-F3D1-4A45-8F37-F21FF9D5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032C29"/>
    <w:pPr>
      <w:tabs>
        <w:tab w:val="center" w:pos="4513"/>
        <w:tab w:val="right" w:pos="9026"/>
      </w:tabs>
      <w:spacing w:line="240" w:lineRule="auto"/>
    </w:pPr>
  </w:style>
  <w:style w:type="character" w:customStyle="1" w:styleId="HeaderChar">
    <w:name w:val="Header Char"/>
    <w:basedOn w:val="DefaultParagraphFont"/>
    <w:link w:val="Header"/>
    <w:uiPriority w:val="99"/>
    <w:rsid w:val="00032C29"/>
    <w:rPr>
      <w:rFonts w:ascii="Verdana" w:hAnsi="Verdana"/>
      <w:color w:val="000000"/>
      <w:sz w:val="18"/>
      <w:szCs w:val="18"/>
    </w:rPr>
  </w:style>
  <w:style w:type="paragraph" w:styleId="Footer">
    <w:name w:val="footer"/>
    <w:basedOn w:val="Normal"/>
    <w:link w:val="FooterChar"/>
    <w:uiPriority w:val="99"/>
    <w:unhideWhenUsed/>
    <w:rsid w:val="00032C29"/>
    <w:pPr>
      <w:tabs>
        <w:tab w:val="center" w:pos="4513"/>
        <w:tab w:val="right" w:pos="9026"/>
      </w:tabs>
      <w:spacing w:line="240" w:lineRule="auto"/>
    </w:pPr>
  </w:style>
  <w:style w:type="character" w:customStyle="1" w:styleId="FooterChar">
    <w:name w:val="Footer Char"/>
    <w:basedOn w:val="DefaultParagraphFont"/>
    <w:link w:val="Footer"/>
    <w:uiPriority w:val="99"/>
    <w:rsid w:val="00032C29"/>
    <w:rPr>
      <w:rFonts w:ascii="Verdana" w:hAnsi="Verdana"/>
      <w:color w:val="000000"/>
      <w:sz w:val="18"/>
      <w:szCs w:val="18"/>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172C06"/>
    <w:pPr>
      <w:autoSpaceDN/>
      <w:spacing w:line="240" w:lineRule="auto"/>
      <w:ind w:left="720"/>
      <w:contextualSpacing/>
      <w:textAlignment w:val="auto"/>
    </w:pPr>
    <w:rPr>
      <w:rFonts w:eastAsia="Calibri" w:cs="Times New Roman"/>
      <w:color w:val="auto"/>
      <w:szCs w:val="22"/>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34"/>
    <w:qFormat/>
    <w:locked/>
    <w:rsid w:val="00172C06"/>
    <w:rPr>
      <w:rFonts w:ascii="Verdana" w:eastAsia="Calibri" w:hAnsi="Verdana" w:cs="Times New Roman"/>
      <w:sz w:val="18"/>
      <w:szCs w:val="22"/>
      <w:lang w:eastAsia="en-US"/>
    </w:rPr>
  </w:style>
  <w:style w:type="character" w:styleId="CommentReference">
    <w:name w:val="annotation reference"/>
    <w:basedOn w:val="DefaultParagraphFont"/>
    <w:uiPriority w:val="99"/>
    <w:semiHidden/>
    <w:unhideWhenUsed/>
    <w:rsid w:val="00177B22"/>
    <w:rPr>
      <w:sz w:val="16"/>
      <w:szCs w:val="16"/>
    </w:rPr>
  </w:style>
  <w:style w:type="paragraph" w:styleId="CommentText">
    <w:name w:val="annotation text"/>
    <w:basedOn w:val="Normal"/>
    <w:link w:val="CommentTextChar"/>
    <w:uiPriority w:val="99"/>
    <w:unhideWhenUsed/>
    <w:rsid w:val="00177B22"/>
    <w:pPr>
      <w:spacing w:line="240" w:lineRule="auto"/>
    </w:pPr>
    <w:rPr>
      <w:sz w:val="20"/>
      <w:szCs w:val="20"/>
    </w:rPr>
  </w:style>
  <w:style w:type="character" w:customStyle="1" w:styleId="CommentTextChar">
    <w:name w:val="Comment Text Char"/>
    <w:basedOn w:val="DefaultParagraphFont"/>
    <w:link w:val="CommentText"/>
    <w:uiPriority w:val="99"/>
    <w:rsid w:val="00177B2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77B22"/>
    <w:rPr>
      <w:b/>
      <w:bCs/>
    </w:rPr>
  </w:style>
  <w:style w:type="character" w:customStyle="1" w:styleId="CommentSubjectChar">
    <w:name w:val="Comment Subject Char"/>
    <w:basedOn w:val="CommentTextChar"/>
    <w:link w:val="CommentSubject"/>
    <w:uiPriority w:val="99"/>
    <w:semiHidden/>
    <w:rsid w:val="00177B22"/>
    <w:rPr>
      <w:rFonts w:ascii="Verdana" w:hAnsi="Verdana"/>
      <w:b/>
      <w:bCs/>
      <w:color w:val="000000"/>
    </w:rPr>
  </w:style>
  <w:style w:type="paragraph" w:styleId="Revision">
    <w:name w:val="Revision"/>
    <w:hidden/>
    <w:uiPriority w:val="99"/>
    <w:semiHidden/>
    <w:rsid w:val="00272600"/>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3F463C"/>
    <w:rPr>
      <w:color w:val="605E5C"/>
      <w:shd w:val="clear" w:color="auto" w:fill="E1DFDD"/>
    </w:rPr>
  </w:style>
  <w:style w:type="character" w:customStyle="1" w:styleId="cf01">
    <w:name w:val="cf01"/>
    <w:basedOn w:val="DefaultParagraphFont"/>
    <w:rsid w:val="00C835FD"/>
    <w:rPr>
      <w:rFonts w:ascii="Segoe UI" w:hAnsi="Segoe UI" w:cs="Segoe UI" w:hint="default"/>
      <w:sz w:val="18"/>
      <w:szCs w:val="18"/>
    </w:rPr>
  </w:style>
  <w:style w:type="paragraph" w:customStyle="1" w:styleId="pf0">
    <w:name w:val="pf0"/>
    <w:basedOn w:val="Normal"/>
    <w:rsid w:val="009539ED"/>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21">
    <w:name w:val="cf21"/>
    <w:basedOn w:val="DefaultParagraphFont"/>
    <w:rsid w:val="009770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3120">
      <w:bodyDiv w:val="1"/>
      <w:marLeft w:val="0"/>
      <w:marRight w:val="0"/>
      <w:marTop w:val="0"/>
      <w:marBottom w:val="0"/>
      <w:divBdr>
        <w:top w:val="none" w:sz="0" w:space="0" w:color="auto"/>
        <w:left w:val="none" w:sz="0" w:space="0" w:color="auto"/>
        <w:bottom w:val="none" w:sz="0" w:space="0" w:color="auto"/>
        <w:right w:val="none" w:sz="0" w:space="0" w:color="auto"/>
      </w:divBdr>
    </w:div>
    <w:div w:id="395326579">
      <w:bodyDiv w:val="1"/>
      <w:marLeft w:val="0"/>
      <w:marRight w:val="0"/>
      <w:marTop w:val="0"/>
      <w:marBottom w:val="0"/>
      <w:divBdr>
        <w:top w:val="none" w:sz="0" w:space="0" w:color="auto"/>
        <w:left w:val="none" w:sz="0" w:space="0" w:color="auto"/>
        <w:bottom w:val="none" w:sz="0" w:space="0" w:color="auto"/>
        <w:right w:val="none" w:sz="0" w:space="0" w:color="auto"/>
      </w:divBdr>
    </w:div>
    <w:div w:id="1275751924">
      <w:bodyDiv w:val="1"/>
      <w:marLeft w:val="0"/>
      <w:marRight w:val="0"/>
      <w:marTop w:val="0"/>
      <w:marBottom w:val="0"/>
      <w:divBdr>
        <w:top w:val="none" w:sz="0" w:space="0" w:color="auto"/>
        <w:left w:val="none" w:sz="0" w:space="0" w:color="auto"/>
        <w:bottom w:val="none" w:sz="0" w:space="0" w:color="auto"/>
        <w:right w:val="none" w:sz="0" w:space="0" w:color="auto"/>
      </w:divBdr>
    </w:div>
    <w:div w:id="1334869578">
      <w:bodyDiv w:val="1"/>
      <w:marLeft w:val="0"/>
      <w:marRight w:val="0"/>
      <w:marTop w:val="0"/>
      <w:marBottom w:val="0"/>
      <w:divBdr>
        <w:top w:val="none" w:sz="0" w:space="0" w:color="auto"/>
        <w:left w:val="none" w:sz="0" w:space="0" w:color="auto"/>
        <w:bottom w:val="none" w:sz="0" w:space="0" w:color="auto"/>
        <w:right w:val="none" w:sz="0" w:space="0" w:color="auto"/>
      </w:divBdr>
    </w:div>
    <w:div w:id="1677270652">
      <w:bodyDiv w:val="1"/>
      <w:marLeft w:val="0"/>
      <w:marRight w:val="0"/>
      <w:marTop w:val="0"/>
      <w:marBottom w:val="0"/>
      <w:divBdr>
        <w:top w:val="none" w:sz="0" w:space="0" w:color="auto"/>
        <w:left w:val="none" w:sz="0" w:space="0" w:color="auto"/>
        <w:bottom w:val="none" w:sz="0" w:space="0" w:color="auto"/>
        <w:right w:val="none" w:sz="0" w:space="0" w:color="auto"/>
      </w:divBdr>
    </w:div>
    <w:div w:id="1682777126">
      <w:bodyDiv w:val="1"/>
      <w:marLeft w:val="0"/>
      <w:marRight w:val="0"/>
      <w:marTop w:val="0"/>
      <w:marBottom w:val="0"/>
      <w:divBdr>
        <w:top w:val="none" w:sz="0" w:space="0" w:color="auto"/>
        <w:left w:val="none" w:sz="0" w:space="0" w:color="auto"/>
        <w:bottom w:val="none" w:sz="0" w:space="0" w:color="auto"/>
        <w:right w:val="none" w:sz="0" w:space="0" w:color="auto"/>
      </w:divBdr>
    </w:div>
    <w:div w:id="1922641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1514</ap:Words>
  <ap:Characters>8327</ap:Characters>
  <ap:DocSecurity>0</ap:DocSecurity>
  <ap:Lines>69</ap:Lines>
  <ap:Paragraphs>19</ap:Paragraphs>
  <ap:ScaleCrop>false</ap:ScaleCrop>
  <ap:HeadingPairs>
    <vt:vector baseType="variant" size="2">
      <vt:variant>
        <vt:lpstr>Title</vt:lpstr>
      </vt:variant>
      <vt:variant>
        <vt:i4>1</vt:i4>
      </vt:variant>
    </vt:vector>
  </ap:HeadingPairs>
  <ap:TitlesOfParts>
    <vt:vector baseType="lpstr" size="1">
      <vt:lpstr>Plan van aanpak Verantwoordingssystematiek</vt:lpstr>
    </vt:vector>
  </ap:TitlesOfParts>
  <ap:LinksUpToDate>false</ap:LinksUpToDate>
  <ap:CharactersWithSpaces>9822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2024-10-25T13:04:00.0000000Z</lastPrinted>
  <dcterms:created xsi:type="dcterms:W3CDTF">2024-10-31T10:26:00.0000000Z</dcterms:created>
  <dcterms:modified xsi:type="dcterms:W3CDTF">2024-10-31T10:26:00.0000000Z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_dlc_DocIdItemGuid">
    <vt:lpwstr>d274388b-7595-48e3-9a84-83f7015d8915</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87;#Informatie voorziening|8edfc6d5-9fe4-8b19-f842-4a06399853cd</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