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BAB3" w14:textId="77777777" w:rsidR="00B5596B" w:rsidRPr="00B5596B" w:rsidRDefault="00B5596B" w:rsidP="00B5596B">
      <w:r w:rsidRPr="00B5596B">
        <w:t>PQRef: 35164/24</w:t>
      </w:r>
    </w:p>
    <w:p w14:paraId="4D032876" w14:textId="77777777" w:rsidR="00B5596B" w:rsidRPr="00B5596B" w:rsidRDefault="00B5596B" w:rsidP="00B5596B">
      <w:r w:rsidRPr="00B5596B">
        <w:t>Deputy Holly Cairns</w:t>
      </w:r>
    </w:p>
    <w:p w14:paraId="242F21DF" w14:textId="77777777" w:rsidR="00B5596B" w:rsidRPr="00B5596B" w:rsidRDefault="00B5596B" w:rsidP="00B5596B">
      <w:r w:rsidRPr="00B5596B">
        <w:rPr>
          <w:b/>
          <w:bCs/>
        </w:rPr>
        <w:t>Question:</w:t>
      </w:r>
    </w:p>
    <w:p w14:paraId="3F33394F" w14:textId="77777777" w:rsidR="00B5596B" w:rsidRPr="00B5596B" w:rsidRDefault="00B5596B" w:rsidP="00B5596B">
      <w:r w:rsidRPr="00B5596B">
        <w:rPr>
          <w:i/>
          <w:iCs/>
        </w:rPr>
        <w:t>'To ask the Minister for Further and Higher Education; Research; Innovation and Science the total level of funding provided by Taighde Éireann; the breakdown of the level of funding provided to different categories of research for example, basic and applied; and the institution associated with each research project in receipt of funding, in tabular form.'</w:t>
      </w:r>
    </w:p>
    <w:p w14:paraId="22BD49C1" w14:textId="77777777" w:rsidR="004847A5" w:rsidRDefault="004847A5" w:rsidP="004847A5">
      <w:pPr>
        <w:rPr>
          <w:lang w:val="en-GB"/>
        </w:rPr>
      </w:pPr>
    </w:p>
    <w:p w14:paraId="3E38F274" w14:textId="65DE49E4" w:rsidR="0090399B" w:rsidRDefault="0090399B" w:rsidP="004847A5">
      <w:pPr>
        <w:rPr>
          <w:lang w:val="en-GB"/>
        </w:rPr>
      </w:pPr>
      <w:r>
        <w:rPr>
          <w:lang w:val="en-GB"/>
        </w:rPr>
        <w:t xml:space="preserve">Total level of funding provided </w:t>
      </w:r>
      <w:r w:rsidR="00B5596B">
        <w:rPr>
          <w:lang w:val="en-GB"/>
        </w:rPr>
        <w:t xml:space="preserve">by SFI </w:t>
      </w:r>
      <w:r>
        <w:rPr>
          <w:lang w:val="en-GB"/>
        </w:rPr>
        <w:t xml:space="preserve">in 2023: </w:t>
      </w:r>
      <w:r w:rsidR="00F03FC2">
        <w:rPr>
          <w:lang w:val="en-GB"/>
        </w:rPr>
        <w:t>€</w:t>
      </w:r>
      <w:r w:rsidR="0034629B">
        <w:rPr>
          <w:lang w:val="en-GB"/>
        </w:rPr>
        <w:t>225,780,000</w:t>
      </w:r>
    </w:p>
    <w:p w14:paraId="3BA90276" w14:textId="77777777" w:rsidR="00052B64" w:rsidRDefault="00052B64" w:rsidP="004847A5">
      <w:pPr>
        <w:rPr>
          <w:lang w:val="en-GB"/>
        </w:rPr>
      </w:pPr>
    </w:p>
    <w:p w14:paraId="656508D2" w14:textId="0F447D82" w:rsidR="00052B64" w:rsidRDefault="00052B64" w:rsidP="004847A5">
      <w:pPr>
        <w:rPr>
          <w:lang w:val="en-GB"/>
        </w:rPr>
      </w:pPr>
      <w:r>
        <w:rPr>
          <w:lang w:val="en-GB"/>
        </w:rPr>
        <w:t>Level of funding provided to different categories of research:</w:t>
      </w:r>
    </w:p>
    <w:p w14:paraId="0F7066E6" w14:textId="77777777" w:rsidR="00052B64" w:rsidRDefault="00052B64" w:rsidP="004847A5">
      <w:pPr>
        <w:rPr>
          <w:lang w:val="en-GB"/>
        </w:rPr>
      </w:pPr>
    </w:p>
    <w:p w14:paraId="4B81E14C" w14:textId="3D4D617F" w:rsidR="00052B64" w:rsidRDefault="00052B64" w:rsidP="004847A5">
      <w:pPr>
        <w:rPr>
          <w:lang w:val="en-GB"/>
        </w:rPr>
      </w:pPr>
      <w:r w:rsidRPr="00E44E63">
        <w:rPr>
          <w:noProof/>
        </w:rPr>
        <w:drawing>
          <wp:inline distT="0" distB="0" distL="0" distR="0" wp14:anchorId="5CA20772" wp14:editId="4FFE94E7">
            <wp:extent cx="6645910" cy="4523979"/>
            <wp:effectExtent l="19050" t="19050" r="21590" b="10160"/>
            <wp:docPr id="938460077" name="Picture 2" descr="A colorful pie char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60077" name="Picture 2" descr="A colorful pie chart with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4"/>
                    <a:stretch/>
                  </pic:blipFill>
                  <pic:spPr bwMode="auto">
                    <a:xfrm>
                      <a:off x="0" y="0"/>
                      <a:ext cx="6645910" cy="45239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99ABE7" w14:textId="325D8053" w:rsidR="00052B64" w:rsidRPr="00E44E63" w:rsidRDefault="00052B64" w:rsidP="00052B64">
      <w:pPr>
        <w:rPr>
          <w:lang w:val="en-GB"/>
        </w:rPr>
      </w:pPr>
      <w:r>
        <w:t xml:space="preserve">*Above </w:t>
      </w:r>
      <w:r w:rsidR="0078680E">
        <w:t>graph</w:t>
      </w:r>
      <w:r>
        <w:t xml:space="preserve"> b</w:t>
      </w:r>
      <w:r w:rsidRPr="005A2E9F">
        <w:t>ased on payments issued and scheduled from 1/1/2023 to 31/12/202</w:t>
      </w:r>
      <w:r>
        <w:t>6 as at 31/12/2023</w:t>
      </w:r>
    </w:p>
    <w:p w14:paraId="612502DA" w14:textId="77777777" w:rsidR="00052B64" w:rsidRDefault="00052B64" w:rsidP="00AB29EE">
      <w:pPr>
        <w:rPr>
          <w:lang w:val="en-GB"/>
        </w:rPr>
      </w:pPr>
    </w:p>
    <w:p w14:paraId="692903B6" w14:textId="7386F77A" w:rsidR="00CB7982" w:rsidRPr="00CB7982" w:rsidRDefault="005C1E15" w:rsidP="00CB7982">
      <w:pPr>
        <w:rPr>
          <w:rFonts w:ascii="Aptos Narrow" w:eastAsia="Times New Roman" w:hAnsi="Aptos Narrow" w:cs="Times New Roman"/>
          <w:color w:val="000000"/>
          <w:kern w:val="0"/>
          <w:lang w:eastAsia="en-IE"/>
          <w14:ligatures w14:val="none"/>
        </w:rPr>
      </w:pPr>
      <w:r>
        <w:rPr>
          <w:lang w:val="en-GB"/>
        </w:rPr>
        <w:t xml:space="preserve">Level of funding provided to </w:t>
      </w:r>
      <w:r w:rsidRPr="7BA78A23">
        <w:rPr>
          <w:b/>
          <w:lang w:val="en-GB"/>
        </w:rPr>
        <w:t xml:space="preserve">basic </w:t>
      </w:r>
      <w:r>
        <w:rPr>
          <w:lang w:val="en-GB"/>
        </w:rPr>
        <w:t xml:space="preserve">research </w:t>
      </w:r>
      <w:r w:rsidR="00B5596B">
        <w:rPr>
          <w:lang w:val="en-GB"/>
        </w:rPr>
        <w:t xml:space="preserve">by SFI </w:t>
      </w:r>
      <w:r>
        <w:rPr>
          <w:lang w:val="en-GB"/>
        </w:rPr>
        <w:t xml:space="preserve">in 2023: </w:t>
      </w:r>
      <w:r w:rsidR="00CB7982" w:rsidRPr="7268B0E1">
        <w:rPr>
          <w:rFonts w:ascii="Aptos Narrow" w:eastAsia="Times New Roman" w:hAnsi="Aptos Narrow" w:cs="Times New Roman"/>
          <w:b/>
          <w:color w:val="000000"/>
          <w:kern w:val="0"/>
          <w:lang w:eastAsia="en-IE"/>
          <w14:ligatures w14:val="none"/>
        </w:rPr>
        <w:t>€129,144</w:t>
      </w:r>
      <w:r w:rsidR="00F35806" w:rsidRPr="7268B0E1">
        <w:rPr>
          <w:rFonts w:ascii="Aptos Narrow" w:eastAsia="Times New Roman" w:hAnsi="Aptos Narrow" w:cs="Times New Roman"/>
          <w:b/>
          <w:color w:val="000000"/>
          <w:kern w:val="0"/>
          <w:lang w:eastAsia="en-IE"/>
          <w14:ligatures w14:val="none"/>
        </w:rPr>
        <w:t>,000</w:t>
      </w:r>
    </w:p>
    <w:p w14:paraId="5AFAE9FA" w14:textId="0B270096" w:rsidR="00426764" w:rsidRPr="00426764" w:rsidRDefault="008114DE" w:rsidP="00426764">
      <w:pPr>
        <w:rPr>
          <w:rFonts w:ascii="Aptos Narrow" w:eastAsia="Times New Roman" w:hAnsi="Aptos Narrow" w:cs="Times New Roman"/>
          <w:color w:val="000000"/>
          <w:kern w:val="0"/>
          <w:lang w:eastAsia="en-IE"/>
          <w14:ligatures w14:val="none"/>
        </w:rPr>
      </w:pPr>
      <w:r>
        <w:rPr>
          <w:lang w:val="en-GB"/>
        </w:rPr>
        <w:t xml:space="preserve">Level of funding provided to </w:t>
      </w:r>
      <w:r w:rsidRPr="05FC164E">
        <w:rPr>
          <w:b/>
          <w:lang w:val="en-GB"/>
        </w:rPr>
        <w:t xml:space="preserve">applied </w:t>
      </w:r>
      <w:r>
        <w:rPr>
          <w:lang w:val="en-GB"/>
        </w:rPr>
        <w:t xml:space="preserve">research </w:t>
      </w:r>
      <w:r w:rsidR="00B5596B">
        <w:rPr>
          <w:lang w:val="en-GB"/>
        </w:rPr>
        <w:t xml:space="preserve">by SFI </w:t>
      </w:r>
      <w:r>
        <w:rPr>
          <w:lang w:val="en-GB"/>
        </w:rPr>
        <w:t xml:space="preserve">in 2023: </w:t>
      </w:r>
      <w:r w:rsidR="00426764" w:rsidRPr="3A5DDD6B">
        <w:rPr>
          <w:rFonts w:ascii="Aptos Narrow" w:eastAsia="Times New Roman" w:hAnsi="Aptos Narrow" w:cs="Times New Roman"/>
          <w:b/>
          <w:color w:val="000000"/>
          <w:kern w:val="0"/>
          <w:lang w:eastAsia="en-IE"/>
          <w14:ligatures w14:val="none"/>
        </w:rPr>
        <w:t>€67,576,236.91</w:t>
      </w:r>
    </w:p>
    <w:p w14:paraId="331C6551" w14:textId="18472DC1" w:rsidR="00156D59" w:rsidRPr="00156D59" w:rsidRDefault="00156D59" w:rsidP="00156D59">
      <w:pPr>
        <w:rPr>
          <w:rFonts w:ascii="Aptos Narrow" w:eastAsia="Times New Roman" w:hAnsi="Aptos Narrow" w:cs="Times New Roman"/>
          <w:color w:val="000000"/>
          <w:kern w:val="0"/>
          <w:lang w:eastAsia="en-IE"/>
          <w14:ligatures w14:val="none"/>
        </w:rPr>
      </w:pPr>
    </w:p>
    <w:p w14:paraId="661636EE" w14:textId="6EAAFCC3" w:rsidR="0090399B" w:rsidRPr="00052B64" w:rsidRDefault="003F0082" w:rsidP="004847A5">
      <w:pPr>
        <w:rPr>
          <w:b/>
          <w:bCs/>
          <w:lang w:val="en-GB"/>
        </w:rPr>
      </w:pPr>
      <w:r w:rsidRPr="00052B64">
        <w:rPr>
          <w:b/>
          <w:bCs/>
          <w:lang w:val="en-GB"/>
        </w:rPr>
        <w:t>Notes / caveats</w:t>
      </w:r>
    </w:p>
    <w:p w14:paraId="15798BFE" w14:textId="68538FF2" w:rsidR="00EB1866" w:rsidRDefault="00CE78AD" w:rsidP="0082345A">
      <w:pPr>
        <w:pStyle w:val="ListParagraph"/>
        <w:numPr>
          <w:ilvl w:val="0"/>
          <w:numId w:val="3"/>
        </w:numPr>
        <w:rPr>
          <w:lang w:val="en-GB"/>
        </w:rPr>
      </w:pPr>
      <w:r w:rsidRPr="00CE78AD">
        <w:rPr>
          <w:lang w:val="en-GB"/>
        </w:rPr>
        <w:lastRenderedPageBreak/>
        <w:t>The above figures are estimates only</w:t>
      </w:r>
      <w:r>
        <w:rPr>
          <w:lang w:val="en-GB"/>
        </w:rPr>
        <w:t>; t</w:t>
      </w:r>
      <w:r w:rsidR="00DA7A49" w:rsidRPr="00CE78AD">
        <w:rPr>
          <w:lang w:val="en-GB"/>
        </w:rPr>
        <w:t>here is no hard line between basic and applied research</w:t>
      </w:r>
      <w:r w:rsidR="0082345A">
        <w:rPr>
          <w:lang w:val="en-GB"/>
        </w:rPr>
        <w:t xml:space="preserve">. As such, </w:t>
      </w:r>
      <w:r w:rsidR="00EB1866">
        <w:rPr>
          <w:lang w:val="en-GB"/>
        </w:rPr>
        <w:t xml:space="preserve">it is impossible to definitively classify an individual award as </w:t>
      </w:r>
      <w:r w:rsidR="008300DA">
        <w:rPr>
          <w:lang w:val="en-GB"/>
        </w:rPr>
        <w:t>solely</w:t>
      </w:r>
      <w:r w:rsidR="00EB1866">
        <w:rPr>
          <w:lang w:val="en-GB"/>
        </w:rPr>
        <w:t xml:space="preserve"> basic or applied</w:t>
      </w:r>
      <w:r w:rsidR="0082345A">
        <w:rPr>
          <w:lang w:val="en-GB"/>
        </w:rPr>
        <w:t>.</w:t>
      </w:r>
    </w:p>
    <w:p w14:paraId="0EA99184" w14:textId="2FD94631" w:rsidR="0060501C" w:rsidRPr="00EB1866" w:rsidRDefault="00E417F3" w:rsidP="00EB1866">
      <w:pPr>
        <w:pStyle w:val="ListParagraph"/>
        <w:numPr>
          <w:ilvl w:val="0"/>
          <w:numId w:val="3"/>
        </w:numPr>
        <w:rPr>
          <w:lang w:val="en-GB"/>
        </w:rPr>
      </w:pPr>
      <w:r w:rsidRPr="00EB1866">
        <w:rPr>
          <w:lang w:val="en-GB"/>
        </w:rPr>
        <w:t>All SFI programmes fund aspects of both basic and applied research</w:t>
      </w:r>
      <w:r w:rsidR="003E0B46">
        <w:rPr>
          <w:lang w:val="en-GB"/>
        </w:rPr>
        <w:t>.</w:t>
      </w:r>
    </w:p>
    <w:p w14:paraId="23970DC4" w14:textId="70CC8F9C" w:rsidR="006911C5" w:rsidRDefault="005D496D" w:rsidP="003F008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Classifying research </w:t>
      </w:r>
      <w:r w:rsidR="006911C5">
        <w:rPr>
          <w:lang w:val="en-GB"/>
        </w:rPr>
        <w:t>appropriately is</w:t>
      </w:r>
      <w:r w:rsidR="00F519CD">
        <w:rPr>
          <w:lang w:val="en-GB"/>
        </w:rPr>
        <w:t xml:space="preserve"> particularly </w:t>
      </w:r>
      <w:r w:rsidR="006911C5">
        <w:rPr>
          <w:lang w:val="en-GB"/>
        </w:rPr>
        <w:t xml:space="preserve">difficult </w:t>
      </w:r>
      <w:r w:rsidR="00B4622A">
        <w:rPr>
          <w:lang w:val="en-GB"/>
        </w:rPr>
        <w:t>for</w:t>
      </w:r>
      <w:r w:rsidR="006911C5">
        <w:rPr>
          <w:lang w:val="en-GB"/>
        </w:rPr>
        <w:t xml:space="preserve"> large scale awards such as the</w:t>
      </w:r>
      <w:r w:rsidR="00F519CD">
        <w:rPr>
          <w:lang w:val="en-GB"/>
        </w:rPr>
        <w:t xml:space="preserve"> SFI Research Centres</w:t>
      </w:r>
      <w:r w:rsidR="006911C5">
        <w:rPr>
          <w:lang w:val="en-GB"/>
        </w:rPr>
        <w:t xml:space="preserve">. These </w:t>
      </w:r>
      <w:r w:rsidR="00EB1866">
        <w:rPr>
          <w:lang w:val="en-GB"/>
        </w:rPr>
        <w:t xml:space="preserve">Centres, </w:t>
      </w:r>
      <w:r w:rsidR="006911C5">
        <w:rPr>
          <w:lang w:val="en-GB"/>
        </w:rPr>
        <w:t>by design</w:t>
      </w:r>
      <w:r w:rsidR="00EB1866">
        <w:rPr>
          <w:lang w:val="en-GB"/>
        </w:rPr>
        <w:t>,</w:t>
      </w:r>
      <w:r w:rsidR="00F519CD">
        <w:rPr>
          <w:lang w:val="en-GB"/>
        </w:rPr>
        <w:t xml:space="preserve"> </w:t>
      </w:r>
      <w:r w:rsidR="00AD727C">
        <w:rPr>
          <w:lang w:val="en-GB"/>
        </w:rPr>
        <w:t xml:space="preserve">combine </w:t>
      </w:r>
      <w:r w:rsidR="006911C5">
        <w:rPr>
          <w:lang w:val="en-GB"/>
        </w:rPr>
        <w:t>b</w:t>
      </w:r>
      <w:r w:rsidR="00AD727C">
        <w:rPr>
          <w:lang w:val="en-GB"/>
        </w:rPr>
        <w:t xml:space="preserve">asic research </w:t>
      </w:r>
      <w:r w:rsidR="006911C5">
        <w:rPr>
          <w:lang w:val="en-GB"/>
        </w:rPr>
        <w:t>and ap</w:t>
      </w:r>
      <w:r w:rsidR="00AD727C">
        <w:rPr>
          <w:lang w:val="en-GB"/>
        </w:rPr>
        <w:t xml:space="preserve">plied </w:t>
      </w:r>
      <w:r w:rsidR="005C21D8">
        <w:rPr>
          <w:lang w:val="en-GB"/>
        </w:rPr>
        <w:t>research.</w:t>
      </w:r>
    </w:p>
    <w:p w14:paraId="2431945D" w14:textId="7FE0A245" w:rsidR="00032ECA" w:rsidRDefault="00517394" w:rsidP="003F0082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As per its legislation, </w:t>
      </w:r>
      <w:r w:rsidR="00425DE1">
        <w:rPr>
          <w:lang w:val="en-GB"/>
        </w:rPr>
        <w:t>SFI funds ori</w:t>
      </w:r>
      <w:r w:rsidR="00CA3E84">
        <w:rPr>
          <w:lang w:val="en-GB"/>
        </w:rPr>
        <w:t>ented basic research and applied research</w:t>
      </w:r>
      <w:r w:rsidR="008300DA">
        <w:rPr>
          <w:lang w:val="en-GB"/>
        </w:rPr>
        <w:t>; this response is to be read in that context.</w:t>
      </w:r>
    </w:p>
    <w:p w14:paraId="04D6B0EB" w14:textId="74FF78DB" w:rsidR="00E417F3" w:rsidRDefault="00E417F3" w:rsidP="00E417F3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Some </w:t>
      </w:r>
      <w:r w:rsidR="008300DA">
        <w:rPr>
          <w:lang w:val="en-GB"/>
        </w:rPr>
        <w:t xml:space="preserve">SFI </w:t>
      </w:r>
      <w:r w:rsidR="00803E66">
        <w:rPr>
          <w:lang w:val="en-GB"/>
        </w:rPr>
        <w:t>programmes</w:t>
      </w:r>
      <w:r>
        <w:rPr>
          <w:lang w:val="en-GB"/>
        </w:rPr>
        <w:t xml:space="preserve"> </w:t>
      </w:r>
      <w:r w:rsidR="000A6794">
        <w:rPr>
          <w:lang w:val="en-GB"/>
        </w:rPr>
        <w:t xml:space="preserve">don’t </w:t>
      </w:r>
      <w:r w:rsidR="001C3582">
        <w:rPr>
          <w:lang w:val="en-GB"/>
        </w:rPr>
        <w:t>direct</w:t>
      </w:r>
      <w:r w:rsidR="000A6794">
        <w:rPr>
          <w:lang w:val="en-GB"/>
        </w:rPr>
        <w:t>ly fund research</w:t>
      </w:r>
      <w:r w:rsidR="00ED5954">
        <w:rPr>
          <w:lang w:val="en-GB"/>
        </w:rPr>
        <w:t xml:space="preserve"> (e.g. Research Infrastructure</w:t>
      </w:r>
      <w:r w:rsidR="00D52EE1">
        <w:rPr>
          <w:lang w:val="en-GB"/>
        </w:rPr>
        <w:t>, Education and Public Engagement</w:t>
      </w:r>
      <w:r w:rsidR="00ED5954">
        <w:rPr>
          <w:lang w:val="en-GB"/>
        </w:rPr>
        <w:t>)</w:t>
      </w:r>
      <w:r w:rsidR="00D12ED9">
        <w:rPr>
          <w:lang w:val="en-GB"/>
        </w:rPr>
        <w:t>. For example, Research Infrastructure awards</w:t>
      </w:r>
      <w:r w:rsidR="00803E66">
        <w:rPr>
          <w:lang w:val="en-GB"/>
        </w:rPr>
        <w:t xml:space="preserve"> facilitate </w:t>
      </w:r>
      <w:r w:rsidR="00ED5954">
        <w:rPr>
          <w:lang w:val="en-GB"/>
        </w:rPr>
        <w:t xml:space="preserve">and enable </w:t>
      </w:r>
      <w:r w:rsidR="00803E66">
        <w:rPr>
          <w:lang w:val="en-GB"/>
        </w:rPr>
        <w:t>other research awards</w:t>
      </w:r>
      <w:r w:rsidR="000A6794">
        <w:rPr>
          <w:lang w:val="en-GB"/>
        </w:rPr>
        <w:t xml:space="preserve">. These </w:t>
      </w:r>
      <w:r w:rsidR="000373F8">
        <w:rPr>
          <w:lang w:val="en-GB"/>
        </w:rPr>
        <w:t>“</w:t>
      </w:r>
      <w:r w:rsidR="000A6794">
        <w:rPr>
          <w:lang w:val="en-GB"/>
        </w:rPr>
        <w:t>support awards</w:t>
      </w:r>
      <w:r w:rsidR="000373F8">
        <w:rPr>
          <w:lang w:val="en-GB"/>
        </w:rPr>
        <w:t>”</w:t>
      </w:r>
      <w:r>
        <w:rPr>
          <w:lang w:val="en-GB"/>
        </w:rPr>
        <w:t xml:space="preserve"> are neither basic nor applied</w:t>
      </w:r>
      <w:r w:rsidR="000C043F">
        <w:rPr>
          <w:lang w:val="en-GB"/>
        </w:rPr>
        <w:t>. As a result,</w:t>
      </w:r>
      <w:r>
        <w:rPr>
          <w:lang w:val="en-GB"/>
        </w:rPr>
        <w:t xml:space="preserve"> the basic and applied levels </w:t>
      </w:r>
      <w:r w:rsidR="000C043F">
        <w:rPr>
          <w:lang w:val="en-GB"/>
        </w:rPr>
        <w:t xml:space="preserve">stated above </w:t>
      </w:r>
      <w:r>
        <w:rPr>
          <w:lang w:val="en-GB"/>
        </w:rPr>
        <w:t>do not sum to the total</w:t>
      </w:r>
      <w:r w:rsidR="006A2B59">
        <w:rPr>
          <w:lang w:val="en-GB"/>
        </w:rPr>
        <w:t>.</w:t>
      </w:r>
    </w:p>
    <w:p w14:paraId="2426C883" w14:textId="77777777" w:rsidR="00964D84" w:rsidRDefault="00964D84" w:rsidP="004847A5">
      <w:pPr>
        <w:rPr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744E7" w14:paraId="006A9D22" w14:textId="77777777" w:rsidTr="005A2E9F">
        <w:trPr>
          <w:jc w:val="center"/>
        </w:trPr>
        <w:tc>
          <w:tcPr>
            <w:tcW w:w="4508" w:type="dxa"/>
            <w:shd w:val="clear" w:color="auto" w:fill="A5C9EB" w:themeFill="text2" w:themeFillTint="40"/>
            <w:vAlign w:val="bottom"/>
          </w:tcPr>
          <w:p w14:paraId="3A02C695" w14:textId="4035B62E" w:rsidR="00F744E7" w:rsidRDefault="00C65E16" w:rsidP="00F744E7">
            <w:pPr>
              <w:rPr>
                <w:lang w:val="en-GB"/>
              </w:rPr>
            </w:pPr>
            <w:bookmarkStart w:id="0" w:name="Institutional_payments_2023!A1:B1"/>
            <w:r w:rsidRPr="00C65E16">
              <w:rPr>
                <w:rFonts w:ascii="Aptos Narrow" w:hAnsi="Aptos Narrow"/>
                <w:b/>
                <w:bCs/>
                <w:color w:val="000000"/>
              </w:rPr>
              <w:t>2023 Payments by Institution</w:t>
            </w:r>
            <w:bookmarkEnd w:id="0"/>
          </w:p>
        </w:tc>
        <w:tc>
          <w:tcPr>
            <w:tcW w:w="4508" w:type="dxa"/>
            <w:shd w:val="clear" w:color="auto" w:fill="A5C9EB" w:themeFill="text2" w:themeFillTint="40"/>
            <w:vAlign w:val="bottom"/>
          </w:tcPr>
          <w:p w14:paraId="17891155" w14:textId="5C9FE3FE" w:rsidR="00F744E7" w:rsidRDefault="00F744E7" w:rsidP="00F744E7">
            <w:pPr>
              <w:rPr>
                <w:lang w:val="en-GB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€000's</w:t>
            </w:r>
          </w:p>
        </w:tc>
      </w:tr>
      <w:tr w:rsidR="00972577" w14:paraId="0F4D8146" w14:textId="77777777" w:rsidTr="005A2E9F">
        <w:trPr>
          <w:jc w:val="center"/>
        </w:trPr>
        <w:tc>
          <w:tcPr>
            <w:tcW w:w="4508" w:type="dxa"/>
            <w:vAlign w:val="bottom"/>
          </w:tcPr>
          <w:p w14:paraId="151ADE1F" w14:textId="7CFA787D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Trinity College Dublin </w:t>
            </w:r>
          </w:p>
        </w:tc>
        <w:tc>
          <w:tcPr>
            <w:tcW w:w="4508" w:type="dxa"/>
            <w:vAlign w:val="bottom"/>
          </w:tcPr>
          <w:p w14:paraId="42C80AA7" w14:textId="13495E67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€46,067</w:t>
            </w:r>
          </w:p>
        </w:tc>
      </w:tr>
      <w:tr w:rsidR="00972577" w14:paraId="1A8461BE" w14:textId="77777777" w:rsidTr="005A2E9F">
        <w:trPr>
          <w:jc w:val="center"/>
        </w:trPr>
        <w:tc>
          <w:tcPr>
            <w:tcW w:w="4508" w:type="dxa"/>
            <w:vAlign w:val="bottom"/>
          </w:tcPr>
          <w:p w14:paraId="2B651912" w14:textId="3B9143AE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University College Dublin </w:t>
            </w:r>
          </w:p>
        </w:tc>
        <w:tc>
          <w:tcPr>
            <w:tcW w:w="4508" w:type="dxa"/>
            <w:vAlign w:val="bottom"/>
          </w:tcPr>
          <w:p w14:paraId="607F9BAF" w14:textId="1653FE40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€37,709</w:t>
            </w:r>
          </w:p>
        </w:tc>
      </w:tr>
      <w:tr w:rsidR="00972577" w14:paraId="3F5525D9" w14:textId="77777777" w:rsidTr="005A2E9F">
        <w:trPr>
          <w:jc w:val="center"/>
        </w:trPr>
        <w:tc>
          <w:tcPr>
            <w:tcW w:w="4508" w:type="dxa"/>
            <w:vAlign w:val="bottom"/>
          </w:tcPr>
          <w:p w14:paraId="63A66F57" w14:textId="40839148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University College Cork </w:t>
            </w:r>
          </w:p>
        </w:tc>
        <w:tc>
          <w:tcPr>
            <w:tcW w:w="4508" w:type="dxa"/>
            <w:vAlign w:val="bottom"/>
          </w:tcPr>
          <w:p w14:paraId="030A5B17" w14:textId="4D4BB187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€33,157</w:t>
            </w:r>
          </w:p>
        </w:tc>
      </w:tr>
      <w:tr w:rsidR="00972577" w14:paraId="1B807B82" w14:textId="77777777" w:rsidTr="005A2E9F">
        <w:trPr>
          <w:jc w:val="center"/>
        </w:trPr>
        <w:tc>
          <w:tcPr>
            <w:tcW w:w="4508" w:type="dxa"/>
            <w:vAlign w:val="bottom"/>
          </w:tcPr>
          <w:p w14:paraId="4099BAEB" w14:textId="6DCAF301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University of Galway </w:t>
            </w:r>
          </w:p>
        </w:tc>
        <w:tc>
          <w:tcPr>
            <w:tcW w:w="4508" w:type="dxa"/>
            <w:vAlign w:val="bottom"/>
          </w:tcPr>
          <w:p w14:paraId="64A4A5FB" w14:textId="024145EA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€26,098</w:t>
            </w:r>
          </w:p>
        </w:tc>
      </w:tr>
      <w:tr w:rsidR="00972577" w14:paraId="0F676871" w14:textId="77777777" w:rsidTr="005A2E9F">
        <w:trPr>
          <w:jc w:val="center"/>
        </w:trPr>
        <w:tc>
          <w:tcPr>
            <w:tcW w:w="4508" w:type="dxa"/>
            <w:vAlign w:val="bottom"/>
          </w:tcPr>
          <w:p w14:paraId="2B0EDE3A" w14:textId="36E8E10B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University of Limerick </w:t>
            </w:r>
          </w:p>
        </w:tc>
        <w:tc>
          <w:tcPr>
            <w:tcW w:w="4508" w:type="dxa"/>
            <w:vAlign w:val="bottom"/>
          </w:tcPr>
          <w:p w14:paraId="74703328" w14:textId="0265CBDD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€22,817</w:t>
            </w:r>
          </w:p>
        </w:tc>
      </w:tr>
      <w:tr w:rsidR="00972577" w14:paraId="041338FF" w14:textId="77777777" w:rsidTr="005A2E9F">
        <w:trPr>
          <w:jc w:val="center"/>
        </w:trPr>
        <w:tc>
          <w:tcPr>
            <w:tcW w:w="4508" w:type="dxa"/>
            <w:vAlign w:val="bottom"/>
          </w:tcPr>
          <w:p w14:paraId="0D1E618A" w14:textId="0196C007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Tyndall National Institute </w:t>
            </w:r>
          </w:p>
        </w:tc>
        <w:tc>
          <w:tcPr>
            <w:tcW w:w="4508" w:type="dxa"/>
            <w:vAlign w:val="bottom"/>
          </w:tcPr>
          <w:p w14:paraId="61909E3B" w14:textId="45C5B8D5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€21,879</w:t>
            </w:r>
          </w:p>
        </w:tc>
      </w:tr>
      <w:tr w:rsidR="00972577" w14:paraId="17925B4A" w14:textId="77777777" w:rsidTr="005A2E9F">
        <w:trPr>
          <w:jc w:val="center"/>
        </w:trPr>
        <w:tc>
          <w:tcPr>
            <w:tcW w:w="4508" w:type="dxa"/>
            <w:vAlign w:val="bottom"/>
          </w:tcPr>
          <w:p w14:paraId="707E2FE7" w14:textId="45D6E3E9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Maynooth University </w:t>
            </w:r>
          </w:p>
        </w:tc>
        <w:tc>
          <w:tcPr>
            <w:tcW w:w="4508" w:type="dxa"/>
            <w:vAlign w:val="bottom"/>
          </w:tcPr>
          <w:p w14:paraId="3400A3A2" w14:textId="29C5F258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€6,967</w:t>
            </w:r>
          </w:p>
        </w:tc>
      </w:tr>
      <w:tr w:rsidR="00972577" w14:paraId="51BD43CA" w14:textId="77777777" w:rsidTr="005A2E9F">
        <w:trPr>
          <w:jc w:val="center"/>
        </w:trPr>
        <w:tc>
          <w:tcPr>
            <w:tcW w:w="4508" w:type="dxa"/>
            <w:vAlign w:val="bottom"/>
          </w:tcPr>
          <w:p w14:paraId="64C4ECC3" w14:textId="6AEDC519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Dublin City University </w:t>
            </w:r>
          </w:p>
        </w:tc>
        <w:tc>
          <w:tcPr>
            <w:tcW w:w="4508" w:type="dxa"/>
            <w:vAlign w:val="bottom"/>
          </w:tcPr>
          <w:p w14:paraId="71BBEE98" w14:textId="4BF2C191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€6,930</w:t>
            </w:r>
          </w:p>
        </w:tc>
      </w:tr>
      <w:tr w:rsidR="00972577" w14:paraId="0F366FF3" w14:textId="77777777" w:rsidTr="005A2E9F">
        <w:trPr>
          <w:jc w:val="center"/>
        </w:trPr>
        <w:tc>
          <w:tcPr>
            <w:tcW w:w="4508" w:type="dxa"/>
            <w:vAlign w:val="bottom"/>
          </w:tcPr>
          <w:p w14:paraId="64DE7EE9" w14:textId="63497910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The Royal Society </w:t>
            </w:r>
          </w:p>
        </w:tc>
        <w:tc>
          <w:tcPr>
            <w:tcW w:w="4508" w:type="dxa"/>
            <w:vAlign w:val="bottom"/>
          </w:tcPr>
          <w:p w14:paraId="46B7AB61" w14:textId="6FA83EAD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€5,119</w:t>
            </w:r>
          </w:p>
        </w:tc>
      </w:tr>
      <w:tr w:rsidR="00972577" w14:paraId="403594EC" w14:textId="77777777" w:rsidTr="005A2E9F">
        <w:trPr>
          <w:jc w:val="center"/>
        </w:trPr>
        <w:tc>
          <w:tcPr>
            <w:tcW w:w="4508" w:type="dxa"/>
            <w:vAlign w:val="bottom"/>
          </w:tcPr>
          <w:p w14:paraId="36716A3C" w14:textId="2F564217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RCSI University of Medicine and Health Science </w:t>
            </w:r>
          </w:p>
        </w:tc>
        <w:tc>
          <w:tcPr>
            <w:tcW w:w="4508" w:type="dxa"/>
            <w:vAlign w:val="bottom"/>
          </w:tcPr>
          <w:p w14:paraId="3805590A" w14:textId="62118D89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€4,922</w:t>
            </w:r>
          </w:p>
        </w:tc>
      </w:tr>
      <w:tr w:rsidR="00972577" w14:paraId="1C9C56D3" w14:textId="77777777" w:rsidTr="005A2E9F">
        <w:trPr>
          <w:jc w:val="center"/>
        </w:trPr>
        <w:tc>
          <w:tcPr>
            <w:tcW w:w="4508" w:type="dxa"/>
            <w:vAlign w:val="bottom"/>
          </w:tcPr>
          <w:p w14:paraId="629EF5BA" w14:textId="6E075405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Technological University Dublin </w:t>
            </w:r>
          </w:p>
        </w:tc>
        <w:tc>
          <w:tcPr>
            <w:tcW w:w="4508" w:type="dxa"/>
            <w:vAlign w:val="bottom"/>
          </w:tcPr>
          <w:p w14:paraId="0745D22A" w14:textId="17A70981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€4,448</w:t>
            </w:r>
          </w:p>
        </w:tc>
      </w:tr>
      <w:tr w:rsidR="00972577" w14:paraId="2D0C6D65" w14:textId="77777777" w:rsidTr="005A2E9F">
        <w:trPr>
          <w:jc w:val="center"/>
        </w:trPr>
        <w:tc>
          <w:tcPr>
            <w:tcW w:w="4508" w:type="dxa"/>
            <w:vAlign w:val="bottom"/>
          </w:tcPr>
          <w:p w14:paraId="34BB8DA8" w14:textId="724E65C4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Teagasc </w:t>
            </w:r>
          </w:p>
        </w:tc>
        <w:tc>
          <w:tcPr>
            <w:tcW w:w="4508" w:type="dxa"/>
            <w:vAlign w:val="bottom"/>
          </w:tcPr>
          <w:p w14:paraId="1A3637EE" w14:textId="525BACE8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€4,015</w:t>
            </w:r>
          </w:p>
        </w:tc>
      </w:tr>
      <w:tr w:rsidR="00972577" w14:paraId="6F17FFA4" w14:textId="77777777" w:rsidTr="005A2E9F">
        <w:trPr>
          <w:jc w:val="center"/>
        </w:trPr>
        <w:tc>
          <w:tcPr>
            <w:tcW w:w="4508" w:type="dxa"/>
            <w:vAlign w:val="bottom"/>
          </w:tcPr>
          <w:p w14:paraId="50CD7D8D" w14:textId="3B9CFB6D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Munster Technological University </w:t>
            </w:r>
          </w:p>
        </w:tc>
        <w:tc>
          <w:tcPr>
            <w:tcW w:w="4508" w:type="dxa"/>
            <w:vAlign w:val="bottom"/>
          </w:tcPr>
          <w:p w14:paraId="76567D76" w14:textId="380471BB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€2,225</w:t>
            </w:r>
          </w:p>
        </w:tc>
      </w:tr>
      <w:tr w:rsidR="00972577" w14:paraId="3E64EB9D" w14:textId="77777777" w:rsidTr="005A2E9F">
        <w:trPr>
          <w:jc w:val="center"/>
        </w:trPr>
        <w:tc>
          <w:tcPr>
            <w:tcW w:w="4508" w:type="dxa"/>
            <w:vAlign w:val="bottom"/>
          </w:tcPr>
          <w:p w14:paraId="06B72673" w14:textId="42DFD93F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Dublin Institute for Advanced Studies </w:t>
            </w:r>
          </w:p>
        </w:tc>
        <w:tc>
          <w:tcPr>
            <w:tcW w:w="4508" w:type="dxa"/>
            <w:vAlign w:val="bottom"/>
          </w:tcPr>
          <w:p w14:paraId="3B4AC499" w14:textId="17F6A86C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€1,768</w:t>
            </w:r>
          </w:p>
        </w:tc>
      </w:tr>
      <w:tr w:rsidR="00972577" w14:paraId="04B069EE" w14:textId="77777777" w:rsidTr="005A2E9F">
        <w:trPr>
          <w:jc w:val="center"/>
        </w:trPr>
        <w:tc>
          <w:tcPr>
            <w:tcW w:w="4508" w:type="dxa"/>
            <w:vAlign w:val="bottom"/>
          </w:tcPr>
          <w:p w14:paraId="40AFAB32" w14:textId="6DA9CEF0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Atlantic Technological University </w:t>
            </w:r>
          </w:p>
        </w:tc>
        <w:tc>
          <w:tcPr>
            <w:tcW w:w="4508" w:type="dxa"/>
            <w:vAlign w:val="bottom"/>
          </w:tcPr>
          <w:p w14:paraId="2E4769BE" w14:textId="002C2212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€1,615</w:t>
            </w:r>
          </w:p>
        </w:tc>
      </w:tr>
      <w:tr w:rsidR="00972577" w14:paraId="0CF8F548" w14:textId="77777777" w:rsidTr="005A2E9F">
        <w:trPr>
          <w:jc w:val="center"/>
        </w:trPr>
        <w:tc>
          <w:tcPr>
            <w:tcW w:w="4508" w:type="dxa"/>
            <w:vAlign w:val="bottom"/>
          </w:tcPr>
          <w:p w14:paraId="7EDC8302" w14:textId="679402B2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The National Institute for Bioprocessing Research and Training </w:t>
            </w:r>
          </w:p>
        </w:tc>
        <w:tc>
          <w:tcPr>
            <w:tcW w:w="4508" w:type="dxa"/>
            <w:vAlign w:val="bottom"/>
          </w:tcPr>
          <w:p w14:paraId="6C9AE2BA" w14:textId="4DC6B3EC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€495</w:t>
            </w:r>
          </w:p>
        </w:tc>
      </w:tr>
      <w:tr w:rsidR="00972577" w14:paraId="68C26A31" w14:textId="77777777" w:rsidTr="005A2E9F">
        <w:trPr>
          <w:jc w:val="center"/>
        </w:trPr>
        <w:tc>
          <w:tcPr>
            <w:tcW w:w="4508" w:type="dxa"/>
            <w:vAlign w:val="bottom"/>
          </w:tcPr>
          <w:p w14:paraId="45E67A70" w14:textId="6E657725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Technological University of the Shannon </w:t>
            </w:r>
          </w:p>
        </w:tc>
        <w:tc>
          <w:tcPr>
            <w:tcW w:w="4508" w:type="dxa"/>
            <w:vAlign w:val="bottom"/>
          </w:tcPr>
          <w:p w14:paraId="35F3E5C4" w14:textId="7211B50F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€464</w:t>
            </w:r>
          </w:p>
        </w:tc>
      </w:tr>
      <w:tr w:rsidR="00972577" w14:paraId="367B8639" w14:textId="77777777" w:rsidTr="005A2E9F">
        <w:trPr>
          <w:jc w:val="center"/>
        </w:trPr>
        <w:tc>
          <w:tcPr>
            <w:tcW w:w="4508" w:type="dxa"/>
            <w:vAlign w:val="bottom"/>
          </w:tcPr>
          <w:p w14:paraId="0570B96A" w14:textId="0C778E41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Dundalk Institute of Technology </w:t>
            </w:r>
          </w:p>
        </w:tc>
        <w:tc>
          <w:tcPr>
            <w:tcW w:w="4508" w:type="dxa"/>
            <w:vAlign w:val="bottom"/>
          </w:tcPr>
          <w:p w14:paraId="5085C24B" w14:textId="5C420A13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€426</w:t>
            </w:r>
          </w:p>
        </w:tc>
      </w:tr>
      <w:tr w:rsidR="00972577" w14:paraId="2ED8D3A1" w14:textId="77777777" w:rsidTr="005A2E9F">
        <w:trPr>
          <w:jc w:val="center"/>
        </w:trPr>
        <w:tc>
          <w:tcPr>
            <w:tcW w:w="4508" w:type="dxa"/>
            <w:vAlign w:val="bottom"/>
          </w:tcPr>
          <w:p w14:paraId="3BD8FD6B" w14:textId="4505824C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Kinia </w:t>
            </w:r>
          </w:p>
        </w:tc>
        <w:tc>
          <w:tcPr>
            <w:tcW w:w="4508" w:type="dxa"/>
            <w:vAlign w:val="bottom"/>
          </w:tcPr>
          <w:p w14:paraId="0E7EBB01" w14:textId="6DEED2E3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€307</w:t>
            </w:r>
          </w:p>
        </w:tc>
      </w:tr>
      <w:tr w:rsidR="00972577" w14:paraId="15733D00" w14:textId="77777777" w:rsidTr="005A2E9F">
        <w:trPr>
          <w:jc w:val="center"/>
        </w:trPr>
        <w:tc>
          <w:tcPr>
            <w:tcW w:w="4508" w:type="dxa"/>
            <w:vAlign w:val="bottom"/>
          </w:tcPr>
          <w:p w14:paraId="4F3B9F27" w14:textId="4C3EA8D6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RTÉ </w:t>
            </w:r>
          </w:p>
        </w:tc>
        <w:tc>
          <w:tcPr>
            <w:tcW w:w="4508" w:type="dxa"/>
            <w:vAlign w:val="bottom"/>
          </w:tcPr>
          <w:p w14:paraId="3D5588F0" w14:textId="44C48EDA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€302</w:t>
            </w:r>
          </w:p>
        </w:tc>
      </w:tr>
      <w:tr w:rsidR="00972577" w14:paraId="498C6B7C" w14:textId="77777777" w:rsidTr="005A2E9F">
        <w:trPr>
          <w:jc w:val="center"/>
        </w:trPr>
        <w:tc>
          <w:tcPr>
            <w:tcW w:w="4508" w:type="dxa"/>
            <w:vAlign w:val="bottom"/>
          </w:tcPr>
          <w:p w14:paraId="00F7EC5D" w14:textId="1E5C581C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South East Technological University </w:t>
            </w:r>
          </w:p>
        </w:tc>
        <w:tc>
          <w:tcPr>
            <w:tcW w:w="4508" w:type="dxa"/>
            <w:vAlign w:val="bottom"/>
          </w:tcPr>
          <w:p w14:paraId="42336A93" w14:textId="4956BBC0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€270</w:t>
            </w:r>
          </w:p>
        </w:tc>
      </w:tr>
      <w:tr w:rsidR="00972577" w14:paraId="7A6D5B62" w14:textId="77777777" w:rsidTr="005A2E9F">
        <w:trPr>
          <w:jc w:val="center"/>
        </w:trPr>
        <w:tc>
          <w:tcPr>
            <w:tcW w:w="4508" w:type="dxa"/>
            <w:vAlign w:val="bottom"/>
          </w:tcPr>
          <w:p w14:paraId="2B04506F" w14:textId="225A85F4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National College of Ireland </w:t>
            </w:r>
          </w:p>
        </w:tc>
        <w:tc>
          <w:tcPr>
            <w:tcW w:w="4508" w:type="dxa"/>
            <w:vAlign w:val="bottom"/>
          </w:tcPr>
          <w:p w14:paraId="5F8E8ABD" w14:textId="4BD867F0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€255</w:t>
            </w:r>
          </w:p>
        </w:tc>
      </w:tr>
      <w:tr w:rsidR="00972577" w14:paraId="0A6F66B9" w14:textId="77777777" w:rsidTr="005A2E9F">
        <w:trPr>
          <w:jc w:val="center"/>
        </w:trPr>
        <w:tc>
          <w:tcPr>
            <w:tcW w:w="4508" w:type="dxa"/>
            <w:vAlign w:val="bottom"/>
          </w:tcPr>
          <w:p w14:paraId="5057BFED" w14:textId="59C1B2FA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Junior Achievement Ireland Ltd. </w:t>
            </w:r>
          </w:p>
        </w:tc>
        <w:tc>
          <w:tcPr>
            <w:tcW w:w="4508" w:type="dxa"/>
            <w:vAlign w:val="bottom"/>
          </w:tcPr>
          <w:p w14:paraId="516AD4B8" w14:textId="644AEFA5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€239</w:t>
            </w:r>
          </w:p>
        </w:tc>
      </w:tr>
      <w:tr w:rsidR="00972577" w14:paraId="77FA7C0C" w14:textId="77777777" w:rsidTr="005A2E9F">
        <w:trPr>
          <w:jc w:val="center"/>
        </w:trPr>
        <w:tc>
          <w:tcPr>
            <w:tcW w:w="4508" w:type="dxa"/>
            <w:vAlign w:val="bottom"/>
          </w:tcPr>
          <w:p w14:paraId="6EC46C72" w14:textId="3BC63753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Marine Institute </w:t>
            </w:r>
          </w:p>
        </w:tc>
        <w:tc>
          <w:tcPr>
            <w:tcW w:w="4508" w:type="dxa"/>
            <w:vAlign w:val="bottom"/>
          </w:tcPr>
          <w:p w14:paraId="008135D2" w14:textId="70CBB738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€236</w:t>
            </w:r>
          </w:p>
        </w:tc>
      </w:tr>
      <w:tr w:rsidR="00972577" w14:paraId="4B2110E0" w14:textId="77777777" w:rsidTr="005A2E9F">
        <w:trPr>
          <w:jc w:val="center"/>
        </w:trPr>
        <w:tc>
          <w:tcPr>
            <w:tcW w:w="4508" w:type="dxa"/>
            <w:vAlign w:val="bottom"/>
          </w:tcPr>
          <w:p w14:paraId="5F75D27E" w14:textId="039F8880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Cosmos Education Ltd. t/a Blackrock Castle Observatory </w:t>
            </w:r>
          </w:p>
        </w:tc>
        <w:tc>
          <w:tcPr>
            <w:tcW w:w="4508" w:type="dxa"/>
            <w:vAlign w:val="bottom"/>
          </w:tcPr>
          <w:p w14:paraId="46191400" w14:textId="1ADBB17E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€171</w:t>
            </w:r>
          </w:p>
        </w:tc>
      </w:tr>
      <w:tr w:rsidR="00972577" w14:paraId="1EC595B9" w14:textId="77777777" w:rsidTr="005A2E9F">
        <w:trPr>
          <w:jc w:val="center"/>
        </w:trPr>
        <w:tc>
          <w:tcPr>
            <w:tcW w:w="4508" w:type="dxa"/>
            <w:vAlign w:val="bottom"/>
          </w:tcPr>
          <w:p w14:paraId="4E914926" w14:textId="47C899A6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Mary Immaculate College </w:t>
            </w:r>
          </w:p>
        </w:tc>
        <w:tc>
          <w:tcPr>
            <w:tcW w:w="4508" w:type="dxa"/>
            <w:vAlign w:val="bottom"/>
          </w:tcPr>
          <w:p w14:paraId="36B02699" w14:textId="7EA74E19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€163</w:t>
            </w:r>
          </w:p>
        </w:tc>
      </w:tr>
      <w:tr w:rsidR="00972577" w14:paraId="11FAC786" w14:textId="77777777" w:rsidTr="005A2E9F">
        <w:trPr>
          <w:jc w:val="center"/>
        </w:trPr>
        <w:tc>
          <w:tcPr>
            <w:tcW w:w="4508" w:type="dxa"/>
            <w:vAlign w:val="bottom"/>
          </w:tcPr>
          <w:p w14:paraId="1D0DA164" w14:textId="2E568A6D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Cork City Council t/a Lifetime Lab </w:t>
            </w:r>
          </w:p>
        </w:tc>
        <w:tc>
          <w:tcPr>
            <w:tcW w:w="4508" w:type="dxa"/>
            <w:vAlign w:val="bottom"/>
          </w:tcPr>
          <w:p w14:paraId="2EF5423C" w14:textId="12B8F772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€148</w:t>
            </w:r>
          </w:p>
        </w:tc>
      </w:tr>
      <w:tr w:rsidR="00972577" w14:paraId="53F56069" w14:textId="77777777" w:rsidTr="005A2E9F">
        <w:trPr>
          <w:jc w:val="center"/>
        </w:trPr>
        <w:tc>
          <w:tcPr>
            <w:tcW w:w="4508" w:type="dxa"/>
            <w:vAlign w:val="bottom"/>
          </w:tcPr>
          <w:p w14:paraId="5CC51D58" w14:textId="014D37FD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The Institution of Engineering and Technology </w:t>
            </w:r>
          </w:p>
        </w:tc>
        <w:tc>
          <w:tcPr>
            <w:tcW w:w="4508" w:type="dxa"/>
            <w:vAlign w:val="bottom"/>
          </w:tcPr>
          <w:p w14:paraId="1103A59E" w14:textId="6ADE1827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€146</w:t>
            </w:r>
          </w:p>
        </w:tc>
      </w:tr>
      <w:tr w:rsidR="00972577" w14:paraId="1D639C50" w14:textId="77777777" w:rsidTr="005A2E9F">
        <w:trPr>
          <w:jc w:val="center"/>
        </w:trPr>
        <w:tc>
          <w:tcPr>
            <w:tcW w:w="4508" w:type="dxa"/>
            <w:vAlign w:val="bottom"/>
          </w:tcPr>
          <w:p w14:paraId="078076F6" w14:textId="1235868D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The Rediscovery Centre </w:t>
            </w:r>
          </w:p>
        </w:tc>
        <w:tc>
          <w:tcPr>
            <w:tcW w:w="4508" w:type="dxa"/>
            <w:vAlign w:val="bottom"/>
          </w:tcPr>
          <w:p w14:paraId="66607489" w14:textId="0447A7D5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€126</w:t>
            </w:r>
          </w:p>
        </w:tc>
      </w:tr>
      <w:tr w:rsidR="00972577" w14:paraId="0067A517" w14:textId="77777777" w:rsidTr="005A2E9F">
        <w:trPr>
          <w:jc w:val="center"/>
        </w:trPr>
        <w:tc>
          <w:tcPr>
            <w:tcW w:w="4508" w:type="dxa"/>
            <w:vAlign w:val="bottom"/>
          </w:tcPr>
          <w:p w14:paraId="11707C29" w14:textId="48719105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Royal Dublin Society </w:t>
            </w:r>
          </w:p>
        </w:tc>
        <w:tc>
          <w:tcPr>
            <w:tcW w:w="4508" w:type="dxa"/>
            <w:vAlign w:val="bottom"/>
          </w:tcPr>
          <w:p w14:paraId="2357F53B" w14:textId="76138057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€122</w:t>
            </w:r>
          </w:p>
        </w:tc>
      </w:tr>
      <w:tr w:rsidR="00972577" w14:paraId="4EB551AB" w14:textId="77777777" w:rsidTr="005A2E9F">
        <w:trPr>
          <w:jc w:val="center"/>
        </w:trPr>
        <w:tc>
          <w:tcPr>
            <w:tcW w:w="4508" w:type="dxa"/>
            <w:vAlign w:val="bottom"/>
          </w:tcPr>
          <w:p w14:paraId="23350FDD" w14:textId="5B1187AB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 xml:space="preserve">National Youth Council of Ireland </w:t>
            </w:r>
          </w:p>
        </w:tc>
        <w:tc>
          <w:tcPr>
            <w:tcW w:w="4508" w:type="dxa"/>
            <w:vAlign w:val="bottom"/>
          </w:tcPr>
          <w:p w14:paraId="45AE6714" w14:textId="6887E165" w:rsidR="00972577" w:rsidRDefault="00972577" w:rsidP="00972577">
            <w:pPr>
              <w:rPr>
                <w:lang w:val="en-GB"/>
              </w:rPr>
            </w:pPr>
            <w:r>
              <w:rPr>
                <w:rFonts w:ascii="Aptos Narrow" w:hAnsi="Aptos Narrow"/>
                <w:color w:val="000000"/>
              </w:rPr>
              <w:t>€90</w:t>
            </w:r>
          </w:p>
        </w:tc>
      </w:tr>
      <w:tr w:rsidR="00AF6047" w14:paraId="536E7FC9" w14:textId="77777777" w:rsidTr="005A2E9F">
        <w:trPr>
          <w:jc w:val="center"/>
        </w:trPr>
        <w:tc>
          <w:tcPr>
            <w:tcW w:w="4508" w:type="dxa"/>
            <w:vAlign w:val="bottom"/>
          </w:tcPr>
          <w:p w14:paraId="3675AF23" w14:textId="668007D5" w:rsidR="00AF6047" w:rsidRDefault="00AF6047" w:rsidP="0097257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Other</w:t>
            </w:r>
          </w:p>
        </w:tc>
        <w:tc>
          <w:tcPr>
            <w:tcW w:w="4508" w:type="dxa"/>
            <w:vAlign w:val="bottom"/>
          </w:tcPr>
          <w:p w14:paraId="5BCC9B4B" w14:textId="02ED1FC2" w:rsidR="00AF6047" w:rsidRDefault="00A35577" w:rsidP="00972577">
            <w:pPr>
              <w:rPr>
                <w:rFonts w:ascii="Aptos Narrow" w:hAnsi="Aptos Narrow"/>
                <w:color w:val="000000"/>
              </w:rPr>
            </w:pPr>
            <w:r w:rsidRPr="0B43DE54">
              <w:rPr>
                <w:rFonts w:ascii="Aptos Narrow" w:hAnsi="Aptos Narrow"/>
                <w:color w:val="000000" w:themeColor="text1"/>
              </w:rPr>
              <w:t>€</w:t>
            </w:r>
            <w:r w:rsidR="72065E43" w:rsidRPr="6F335ED4">
              <w:rPr>
                <w:rFonts w:ascii="Aptos Narrow" w:hAnsi="Aptos Narrow"/>
                <w:color w:val="000000" w:themeColor="text1"/>
              </w:rPr>
              <w:t>705</w:t>
            </w:r>
          </w:p>
        </w:tc>
      </w:tr>
      <w:tr w:rsidR="00C01959" w14:paraId="769829E3" w14:textId="77777777" w:rsidTr="005A2E9F">
        <w:trPr>
          <w:jc w:val="center"/>
        </w:trPr>
        <w:tc>
          <w:tcPr>
            <w:tcW w:w="4508" w:type="dxa"/>
            <w:vAlign w:val="bottom"/>
          </w:tcPr>
          <w:p w14:paraId="5AE37FCA" w14:textId="5050575B" w:rsidR="00C01959" w:rsidRDefault="0072493A" w:rsidP="0097257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Reimbursements from co-funding partners</w:t>
            </w:r>
          </w:p>
        </w:tc>
        <w:tc>
          <w:tcPr>
            <w:tcW w:w="4508" w:type="dxa"/>
            <w:vAlign w:val="bottom"/>
          </w:tcPr>
          <w:p w14:paraId="64AA5BFF" w14:textId="2BD6516C" w:rsidR="00C01959" w:rsidRPr="0B43DE54" w:rsidRDefault="00971043" w:rsidP="00972577">
            <w:pPr>
              <w:rPr>
                <w:rFonts w:ascii="Aptos Narrow" w:hAnsi="Aptos Narrow"/>
                <w:color w:val="000000" w:themeColor="text1"/>
              </w:rPr>
            </w:pPr>
            <w:r>
              <w:rPr>
                <w:rFonts w:ascii="Aptos Narrow" w:hAnsi="Aptos Narrow"/>
                <w:color w:val="000000" w:themeColor="text1"/>
              </w:rPr>
              <w:t>-€</w:t>
            </w:r>
            <w:r w:rsidR="00E9094E">
              <w:rPr>
                <w:rFonts w:ascii="Aptos Narrow" w:hAnsi="Aptos Narrow"/>
                <w:color w:val="000000" w:themeColor="text1"/>
              </w:rPr>
              <w:t>4,621</w:t>
            </w:r>
          </w:p>
        </w:tc>
      </w:tr>
      <w:tr w:rsidR="00F744E7" w14:paraId="6667CBAC" w14:textId="77777777" w:rsidTr="005A2E9F">
        <w:trPr>
          <w:jc w:val="center"/>
        </w:trPr>
        <w:tc>
          <w:tcPr>
            <w:tcW w:w="4508" w:type="dxa"/>
            <w:vAlign w:val="bottom"/>
          </w:tcPr>
          <w:p w14:paraId="1017A0CE" w14:textId="3ED7C37A" w:rsidR="00F744E7" w:rsidRPr="00F744E7" w:rsidRDefault="00C65E16" w:rsidP="00F744E7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Grand </w:t>
            </w:r>
            <w:r w:rsidR="00F744E7">
              <w:rPr>
                <w:rFonts w:ascii="Aptos Narrow" w:hAnsi="Aptos Narrow"/>
                <w:b/>
                <w:bCs/>
                <w:color w:val="000000"/>
              </w:rPr>
              <w:t>Total</w:t>
            </w:r>
          </w:p>
        </w:tc>
        <w:tc>
          <w:tcPr>
            <w:tcW w:w="4508" w:type="dxa"/>
            <w:vAlign w:val="bottom"/>
          </w:tcPr>
          <w:p w14:paraId="7580B9E0" w14:textId="6BC39EC0" w:rsidR="00F744E7" w:rsidRPr="00A35577" w:rsidRDefault="00490A50" w:rsidP="00F744E7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A35577">
              <w:rPr>
                <w:rFonts w:ascii="Aptos Narrow" w:hAnsi="Aptos Narrow"/>
                <w:b/>
                <w:bCs/>
                <w:color w:val="000000"/>
              </w:rPr>
              <w:t>€225,780</w:t>
            </w:r>
          </w:p>
        </w:tc>
      </w:tr>
    </w:tbl>
    <w:p w14:paraId="11F6627D" w14:textId="4133A2D9" w:rsidR="004847A5" w:rsidRDefault="00C65E16" w:rsidP="005A2E9F">
      <w:pPr>
        <w:ind w:firstLine="720"/>
        <w:rPr>
          <w:lang w:val="en-GB"/>
        </w:rPr>
      </w:pPr>
      <w:r>
        <w:rPr>
          <w:lang w:val="en-GB"/>
        </w:rPr>
        <w:t xml:space="preserve">Table note: </w:t>
      </w:r>
    </w:p>
    <w:p w14:paraId="49723C7B" w14:textId="0999ED33" w:rsidR="00C65E16" w:rsidRDefault="00C65E16" w:rsidP="00C65E1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The ‘Other’ category represents</w:t>
      </w:r>
      <w:r w:rsidR="000068CB">
        <w:rPr>
          <w:lang w:val="en-GB"/>
        </w:rPr>
        <w:t xml:space="preserve"> smaller</w:t>
      </w:r>
      <w:r w:rsidR="00721DB9">
        <w:rPr>
          <w:lang w:val="en-GB"/>
        </w:rPr>
        <w:t xml:space="preserve"> payments made to </w:t>
      </w:r>
      <w:r w:rsidR="1B4FBD6A" w:rsidRPr="02572047">
        <w:rPr>
          <w:lang w:val="en-GB"/>
        </w:rPr>
        <w:t>3</w:t>
      </w:r>
      <w:r w:rsidR="0050746E" w:rsidRPr="02572047">
        <w:rPr>
          <w:lang w:val="en-GB"/>
        </w:rPr>
        <w:t>1</w:t>
      </w:r>
      <w:r w:rsidR="0050746E">
        <w:rPr>
          <w:lang w:val="en-GB"/>
        </w:rPr>
        <w:t xml:space="preserve"> </w:t>
      </w:r>
      <w:r w:rsidR="000068CB">
        <w:rPr>
          <w:lang w:val="en-GB"/>
        </w:rPr>
        <w:t xml:space="preserve">other </w:t>
      </w:r>
      <w:r w:rsidR="0050746E">
        <w:rPr>
          <w:lang w:val="en-GB"/>
        </w:rPr>
        <w:t>institutions</w:t>
      </w:r>
      <w:r w:rsidR="000068CB">
        <w:rPr>
          <w:lang w:val="en-GB"/>
        </w:rPr>
        <w:t>.</w:t>
      </w:r>
    </w:p>
    <w:p w14:paraId="5D74E11F" w14:textId="06EFEC6A" w:rsidR="00E44E63" w:rsidRPr="00E44E63" w:rsidRDefault="00E44E63" w:rsidP="4CDACD9C">
      <w:pPr>
        <w:spacing w:after="0"/>
        <w:rPr>
          <w:lang w:val="en-GB"/>
        </w:rPr>
      </w:pPr>
    </w:p>
    <w:sectPr w:rsidR="00E44E63" w:rsidRPr="00E44E63" w:rsidSect="006C2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71B"/>
    <w:multiLevelType w:val="hybridMultilevel"/>
    <w:tmpl w:val="AC6C44EC"/>
    <w:lvl w:ilvl="0" w:tplc="1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6A3459"/>
    <w:multiLevelType w:val="hybridMultilevel"/>
    <w:tmpl w:val="F258A47A"/>
    <w:lvl w:ilvl="0" w:tplc="21760D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27A01"/>
    <w:multiLevelType w:val="hybridMultilevel"/>
    <w:tmpl w:val="8C7629C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760692">
    <w:abstractNumId w:val="1"/>
  </w:num>
  <w:num w:numId="2" w16cid:durableId="390616051">
    <w:abstractNumId w:val="0"/>
  </w:num>
  <w:num w:numId="3" w16cid:durableId="218130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20"/>
    <w:rsid w:val="00000258"/>
    <w:rsid w:val="000068CB"/>
    <w:rsid w:val="00013D0B"/>
    <w:rsid w:val="00016982"/>
    <w:rsid w:val="00025FF4"/>
    <w:rsid w:val="00032ECA"/>
    <w:rsid w:val="00035D38"/>
    <w:rsid w:val="000373F8"/>
    <w:rsid w:val="00052B64"/>
    <w:rsid w:val="00097E1E"/>
    <w:rsid w:val="000A6794"/>
    <w:rsid w:val="000C043F"/>
    <w:rsid w:val="000D5D39"/>
    <w:rsid w:val="00102269"/>
    <w:rsid w:val="00102609"/>
    <w:rsid w:val="0011732C"/>
    <w:rsid w:val="00156D59"/>
    <w:rsid w:val="001A14C6"/>
    <w:rsid w:val="001C3582"/>
    <w:rsid w:val="001E4305"/>
    <w:rsid w:val="00205B31"/>
    <w:rsid w:val="0023011B"/>
    <w:rsid w:val="00260F98"/>
    <w:rsid w:val="00284CA9"/>
    <w:rsid w:val="002E6EE4"/>
    <w:rsid w:val="002F0666"/>
    <w:rsid w:val="003236EE"/>
    <w:rsid w:val="0034629B"/>
    <w:rsid w:val="0039511C"/>
    <w:rsid w:val="00397E86"/>
    <w:rsid w:val="003C11BB"/>
    <w:rsid w:val="003E0B46"/>
    <w:rsid w:val="003F0082"/>
    <w:rsid w:val="003F507E"/>
    <w:rsid w:val="00422473"/>
    <w:rsid w:val="00425DE1"/>
    <w:rsid w:val="00426764"/>
    <w:rsid w:val="0047528B"/>
    <w:rsid w:val="00475756"/>
    <w:rsid w:val="004847A5"/>
    <w:rsid w:val="00490A50"/>
    <w:rsid w:val="004C6AD7"/>
    <w:rsid w:val="004E5C01"/>
    <w:rsid w:val="0050746E"/>
    <w:rsid w:val="00517394"/>
    <w:rsid w:val="00531601"/>
    <w:rsid w:val="005A2E9F"/>
    <w:rsid w:val="005B3184"/>
    <w:rsid w:val="005B3BE8"/>
    <w:rsid w:val="005C1E15"/>
    <w:rsid w:val="005C21D8"/>
    <w:rsid w:val="005C2F9C"/>
    <w:rsid w:val="005D496D"/>
    <w:rsid w:val="0060501C"/>
    <w:rsid w:val="006911C5"/>
    <w:rsid w:val="006A2B59"/>
    <w:rsid w:val="006A5BB2"/>
    <w:rsid w:val="006C2D61"/>
    <w:rsid w:val="006D1A0E"/>
    <w:rsid w:val="006D4153"/>
    <w:rsid w:val="006E543B"/>
    <w:rsid w:val="00721DB9"/>
    <w:rsid w:val="0072493A"/>
    <w:rsid w:val="00751286"/>
    <w:rsid w:val="00781643"/>
    <w:rsid w:val="0078680E"/>
    <w:rsid w:val="007939DA"/>
    <w:rsid w:val="007A531E"/>
    <w:rsid w:val="007C73AD"/>
    <w:rsid w:val="00803E66"/>
    <w:rsid w:val="008114DE"/>
    <w:rsid w:val="0082345A"/>
    <w:rsid w:val="008300DA"/>
    <w:rsid w:val="00897B82"/>
    <w:rsid w:val="008B7AD0"/>
    <w:rsid w:val="008C3E20"/>
    <w:rsid w:val="0090399B"/>
    <w:rsid w:val="00903EB8"/>
    <w:rsid w:val="00917FAA"/>
    <w:rsid w:val="00964D84"/>
    <w:rsid w:val="00971043"/>
    <w:rsid w:val="00972577"/>
    <w:rsid w:val="00993460"/>
    <w:rsid w:val="009B5350"/>
    <w:rsid w:val="00A224B4"/>
    <w:rsid w:val="00A35577"/>
    <w:rsid w:val="00A44C30"/>
    <w:rsid w:val="00A6530C"/>
    <w:rsid w:val="00AB29EE"/>
    <w:rsid w:val="00AD3D0C"/>
    <w:rsid w:val="00AD727C"/>
    <w:rsid w:val="00AF6047"/>
    <w:rsid w:val="00B4622A"/>
    <w:rsid w:val="00B46CFF"/>
    <w:rsid w:val="00B5596B"/>
    <w:rsid w:val="00B76DB4"/>
    <w:rsid w:val="00BF2EBF"/>
    <w:rsid w:val="00C01959"/>
    <w:rsid w:val="00C167A5"/>
    <w:rsid w:val="00C3623D"/>
    <w:rsid w:val="00C4399C"/>
    <w:rsid w:val="00C454D7"/>
    <w:rsid w:val="00C643CC"/>
    <w:rsid w:val="00C6496B"/>
    <w:rsid w:val="00C65E16"/>
    <w:rsid w:val="00C7480F"/>
    <w:rsid w:val="00C919FB"/>
    <w:rsid w:val="00CA35AF"/>
    <w:rsid w:val="00CA3E84"/>
    <w:rsid w:val="00CB54AC"/>
    <w:rsid w:val="00CB7982"/>
    <w:rsid w:val="00CE78AD"/>
    <w:rsid w:val="00D12ED9"/>
    <w:rsid w:val="00D25A5D"/>
    <w:rsid w:val="00D33029"/>
    <w:rsid w:val="00D3464A"/>
    <w:rsid w:val="00D359FE"/>
    <w:rsid w:val="00D42480"/>
    <w:rsid w:val="00D52EE1"/>
    <w:rsid w:val="00D74C34"/>
    <w:rsid w:val="00DA49F2"/>
    <w:rsid w:val="00DA7A49"/>
    <w:rsid w:val="00DB61F9"/>
    <w:rsid w:val="00E417F3"/>
    <w:rsid w:val="00E44E63"/>
    <w:rsid w:val="00E45450"/>
    <w:rsid w:val="00E9094E"/>
    <w:rsid w:val="00E941D5"/>
    <w:rsid w:val="00EA5632"/>
    <w:rsid w:val="00EA7D16"/>
    <w:rsid w:val="00EB1866"/>
    <w:rsid w:val="00ED5954"/>
    <w:rsid w:val="00ED6354"/>
    <w:rsid w:val="00F03FC2"/>
    <w:rsid w:val="00F35806"/>
    <w:rsid w:val="00F519CD"/>
    <w:rsid w:val="00F744E7"/>
    <w:rsid w:val="01B03FBD"/>
    <w:rsid w:val="02572047"/>
    <w:rsid w:val="05FC164E"/>
    <w:rsid w:val="0B43DE54"/>
    <w:rsid w:val="0B835E65"/>
    <w:rsid w:val="153E1081"/>
    <w:rsid w:val="1B4FBD6A"/>
    <w:rsid w:val="1D77FF8A"/>
    <w:rsid w:val="2350CB43"/>
    <w:rsid w:val="271EF92F"/>
    <w:rsid w:val="2A8F060B"/>
    <w:rsid w:val="33C4F8F9"/>
    <w:rsid w:val="3A5DDD6B"/>
    <w:rsid w:val="46997517"/>
    <w:rsid w:val="4CDACD9C"/>
    <w:rsid w:val="4E60F511"/>
    <w:rsid w:val="52C0C308"/>
    <w:rsid w:val="5CEDB65A"/>
    <w:rsid w:val="6F335ED4"/>
    <w:rsid w:val="72065E43"/>
    <w:rsid w:val="7268B0E1"/>
    <w:rsid w:val="7BA78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8A60"/>
  <w15:chartTrackingRefBased/>
  <w15:docId w15:val="{A3C363D5-7336-43D6-9C2F-1FA054C6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E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4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E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BDC74BF1D194B8692D5D95B9BF683" ma:contentTypeVersion="0" ma:contentTypeDescription="Create a new document." ma:contentTypeScope="" ma:versionID="042dc37030c6c04c7bd5e1bc82af36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6f5abb23fbc677d5d63aee22b060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BE8F6-5C00-48E1-B20B-16455A512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3DC4D-9E74-416C-9C1E-E672B267D0B4}">
  <ds:schemaRefs>
    <ds:schemaRef ds:uri="http://schemas.microsoft.com/office/2006/metadata/properties"/>
    <ds:schemaRef ds:uri="http://schemas.microsoft.com/office/infopath/2007/PartnerControls"/>
    <ds:schemaRef ds:uri="ca62ac98-1543-4448-bf59-b370ced7bbad"/>
    <ds:schemaRef ds:uri="9b4e45ba-112e-4ab8-8f55-4515d8d5c224"/>
  </ds:schemaRefs>
</ds:datastoreItem>
</file>

<file path=customXml/itemProps3.xml><?xml version="1.0" encoding="utf-8"?>
<ds:datastoreItem xmlns:ds="http://schemas.openxmlformats.org/officeDocument/2006/customXml" ds:itemID="{46F18650-510D-40E0-A54D-2B0952F3A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Chubb</dc:creator>
  <cp:keywords/>
  <dc:description/>
  <cp:lastModifiedBy>Molloy, Aoife</cp:lastModifiedBy>
  <cp:revision>2</cp:revision>
  <dcterms:created xsi:type="dcterms:W3CDTF">2024-09-03T17:19:00Z</dcterms:created>
  <dcterms:modified xsi:type="dcterms:W3CDTF">2024-09-03T17:19:00Z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0x010100D07BDC74BF1D194B8692D5D95B9BF683</vt:lpwstr>
  </property>
  <property fmtid="{D5CDD505-2E9C-101B-9397-08002B2CF9AE}" pid="3" name="MediaServiceImageTags">
    <vt:lpwstr/>
  </property>
</Properties>
</file>