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2152E" w14:textId="010731B3" w:rsidR="00977A86" w:rsidRPr="00EF795E" w:rsidRDefault="00671357" w:rsidP="000B46F0">
      <w:pPr>
        <w:autoSpaceDE w:val="0"/>
        <w:autoSpaceDN w:val="0"/>
        <w:adjustRightInd w:val="0"/>
        <w:spacing w:after="0" w:line="240" w:lineRule="auto"/>
        <w:jc w:val="center"/>
        <w:rPr>
          <w:rFonts w:cstheme="minorHAnsi"/>
          <w:color w:val="000000" w:themeColor="text1"/>
        </w:rPr>
      </w:pPr>
      <w:r w:rsidRPr="00EF795E">
        <w:rPr>
          <w:rFonts w:cstheme="minorHAnsi"/>
          <w:b/>
          <w:bCs/>
          <w:color w:val="000000" w:themeColor="text1"/>
        </w:rPr>
        <w:t>P</w:t>
      </w:r>
      <w:r w:rsidR="00977A86" w:rsidRPr="00EF795E">
        <w:rPr>
          <w:rFonts w:cstheme="minorHAnsi"/>
          <w:b/>
          <w:bCs/>
          <w:color w:val="000000" w:themeColor="text1"/>
        </w:rPr>
        <w:t xml:space="preserve">rogramme for Government - </w:t>
      </w:r>
      <w:r w:rsidR="00977A86" w:rsidRPr="00EF795E">
        <w:rPr>
          <w:rFonts w:cstheme="minorHAnsi"/>
          <w:b/>
          <w:bCs/>
          <w:i/>
          <w:iCs/>
          <w:color w:val="000000" w:themeColor="text1"/>
        </w:rPr>
        <w:t>Our Shared Future</w:t>
      </w:r>
    </w:p>
    <w:p w14:paraId="5F19D5B3" w14:textId="5D0B11EA" w:rsidR="00977A86" w:rsidRPr="00EF795E" w:rsidRDefault="00977A86" w:rsidP="000B46F0">
      <w:pPr>
        <w:autoSpaceDE w:val="0"/>
        <w:autoSpaceDN w:val="0"/>
        <w:adjustRightInd w:val="0"/>
        <w:spacing w:after="0" w:line="240" w:lineRule="auto"/>
        <w:jc w:val="center"/>
        <w:rPr>
          <w:rFonts w:cstheme="minorHAnsi"/>
          <w:b/>
          <w:color w:val="000000" w:themeColor="text1"/>
        </w:rPr>
      </w:pPr>
      <w:r w:rsidRPr="00EF795E">
        <w:rPr>
          <w:rFonts w:cstheme="minorHAnsi"/>
          <w:b/>
          <w:color w:val="000000" w:themeColor="text1"/>
        </w:rPr>
        <w:t xml:space="preserve">Department of Rural and Community Development Updates </w:t>
      </w:r>
      <w:r w:rsidR="00900B92" w:rsidRPr="00EF795E">
        <w:rPr>
          <w:rFonts w:cstheme="minorHAnsi"/>
          <w:b/>
          <w:color w:val="000000" w:themeColor="text1"/>
        </w:rPr>
        <w:t>September</w:t>
      </w:r>
      <w:r w:rsidRPr="00EF795E">
        <w:rPr>
          <w:rFonts w:cstheme="minorHAnsi"/>
          <w:b/>
          <w:color w:val="000000" w:themeColor="text1"/>
        </w:rPr>
        <w:t xml:space="preserve"> 2024</w:t>
      </w:r>
    </w:p>
    <w:p w14:paraId="7240BEBE" w14:textId="0A608702" w:rsidR="00977A86" w:rsidRPr="00EF795E" w:rsidRDefault="00977A86" w:rsidP="000B46F0">
      <w:pPr>
        <w:jc w:val="center"/>
        <w:rPr>
          <w:rFonts w:cstheme="minorHAnsi"/>
          <w:b/>
          <w:color w:val="000000" w:themeColor="text1"/>
        </w:rPr>
      </w:pPr>
    </w:p>
    <w:tbl>
      <w:tblPr>
        <w:tblStyle w:val="TableGrid"/>
        <w:tblW w:w="19739" w:type="dxa"/>
        <w:tblInd w:w="-113" w:type="dxa"/>
        <w:shd w:val="clear" w:color="auto" w:fill="C5E0B3" w:themeFill="accent6" w:themeFillTint="66"/>
        <w:tblLook w:val="04A0" w:firstRow="1" w:lastRow="0" w:firstColumn="1" w:lastColumn="0" w:noHBand="0" w:noVBand="1"/>
      </w:tblPr>
      <w:tblGrid>
        <w:gridCol w:w="4928"/>
        <w:gridCol w:w="12118"/>
        <w:gridCol w:w="2693"/>
      </w:tblGrid>
      <w:tr w:rsidR="000B46F0" w:rsidRPr="00EF795E" w14:paraId="01B67E74" w14:textId="77777777" w:rsidTr="00CF1A37">
        <w:trPr>
          <w:trHeight w:val="107"/>
        </w:trPr>
        <w:tc>
          <w:tcPr>
            <w:tcW w:w="4928" w:type="dxa"/>
            <w:shd w:val="clear" w:color="auto" w:fill="C5E0B3" w:themeFill="accent6" w:themeFillTint="66"/>
          </w:tcPr>
          <w:p w14:paraId="64882232" w14:textId="77777777" w:rsidR="000B46F0" w:rsidRPr="00EF795E" w:rsidRDefault="000B46F0" w:rsidP="000B46F0">
            <w:pPr>
              <w:autoSpaceDE w:val="0"/>
              <w:autoSpaceDN w:val="0"/>
              <w:adjustRightInd w:val="0"/>
              <w:jc w:val="center"/>
              <w:rPr>
                <w:rFonts w:cstheme="minorHAnsi"/>
                <w:b/>
                <w:color w:val="000000" w:themeColor="text1"/>
              </w:rPr>
            </w:pPr>
            <w:r w:rsidRPr="00EF795E">
              <w:rPr>
                <w:rFonts w:cstheme="minorHAnsi"/>
                <w:b/>
                <w:color w:val="000000" w:themeColor="text1"/>
              </w:rPr>
              <w:t>Action</w:t>
            </w:r>
          </w:p>
        </w:tc>
        <w:tc>
          <w:tcPr>
            <w:tcW w:w="12118" w:type="dxa"/>
            <w:shd w:val="clear" w:color="auto" w:fill="C5E0B3" w:themeFill="accent6" w:themeFillTint="66"/>
          </w:tcPr>
          <w:p w14:paraId="5594B839" w14:textId="77777777" w:rsidR="000B46F0" w:rsidRPr="00EF795E" w:rsidRDefault="000B46F0" w:rsidP="000B46F0">
            <w:pPr>
              <w:autoSpaceDE w:val="0"/>
              <w:autoSpaceDN w:val="0"/>
              <w:adjustRightInd w:val="0"/>
              <w:jc w:val="center"/>
              <w:rPr>
                <w:rFonts w:cstheme="minorHAnsi"/>
                <w:color w:val="000000" w:themeColor="text1"/>
              </w:rPr>
            </w:pPr>
            <w:r w:rsidRPr="00EF795E">
              <w:rPr>
                <w:rFonts w:cstheme="minorHAnsi"/>
                <w:b/>
                <w:color w:val="000000" w:themeColor="text1"/>
              </w:rPr>
              <w:t>Update</w:t>
            </w:r>
          </w:p>
        </w:tc>
        <w:tc>
          <w:tcPr>
            <w:tcW w:w="2693" w:type="dxa"/>
            <w:shd w:val="clear" w:color="auto" w:fill="C5E0B3" w:themeFill="accent6" w:themeFillTint="66"/>
          </w:tcPr>
          <w:p w14:paraId="4459FCB3" w14:textId="77777777" w:rsidR="000B46F0" w:rsidRPr="00EF795E" w:rsidRDefault="000B46F0" w:rsidP="008E1F38">
            <w:pPr>
              <w:jc w:val="center"/>
              <w:rPr>
                <w:rFonts w:cstheme="minorHAnsi"/>
                <w:b/>
                <w:color w:val="000000" w:themeColor="text1"/>
              </w:rPr>
            </w:pPr>
            <w:r w:rsidRPr="00EF795E">
              <w:rPr>
                <w:rFonts w:cstheme="minorHAnsi"/>
                <w:b/>
                <w:color w:val="000000" w:themeColor="text1"/>
              </w:rPr>
              <w:t>Status</w:t>
            </w:r>
          </w:p>
          <w:p w14:paraId="63926195" w14:textId="1689ED1C" w:rsidR="000B46F0" w:rsidRPr="00EF795E" w:rsidRDefault="000B46F0" w:rsidP="008E1F38">
            <w:pPr>
              <w:jc w:val="center"/>
              <w:rPr>
                <w:rFonts w:cstheme="minorHAnsi"/>
                <w:b/>
                <w:color w:val="000000" w:themeColor="text1"/>
              </w:rPr>
            </w:pPr>
          </w:p>
        </w:tc>
      </w:tr>
      <w:tr w:rsidR="000B46F0" w:rsidRPr="00EF795E" w14:paraId="37B55F0E" w14:textId="77777777" w:rsidTr="00CF1A37">
        <w:tc>
          <w:tcPr>
            <w:tcW w:w="4928" w:type="dxa"/>
            <w:shd w:val="clear" w:color="auto" w:fill="C5E0B3" w:themeFill="accent6" w:themeFillTint="66"/>
          </w:tcPr>
          <w:p w14:paraId="01932D2C"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 xml:space="preserve">Bring forward an expanded Town and Village Renewal Scheme to bring vacant and derelict buildings back into use and promote residential occupancy. </w:t>
            </w:r>
          </w:p>
          <w:p w14:paraId="06389E2C"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 xml:space="preserve"> </w:t>
            </w:r>
          </w:p>
        </w:tc>
        <w:tc>
          <w:tcPr>
            <w:tcW w:w="12118" w:type="dxa"/>
            <w:shd w:val="clear" w:color="auto" w:fill="C5E0B3" w:themeFill="accent6" w:themeFillTint="66"/>
          </w:tcPr>
          <w:p w14:paraId="30084A06" w14:textId="77777777" w:rsidR="000B46F0" w:rsidRPr="00EF795E" w:rsidRDefault="000B46F0" w:rsidP="008E1F38">
            <w:pPr>
              <w:rPr>
                <w:rFonts w:cstheme="minorHAnsi"/>
                <w:color w:val="000000"/>
              </w:rPr>
            </w:pPr>
            <w:r w:rsidRPr="00EF795E">
              <w:rPr>
                <w:rFonts w:cstheme="minorHAnsi"/>
                <w:color w:val="000000"/>
              </w:rPr>
              <w:t xml:space="preserve">The 2021 Town and Village Renewal (TVRS) scheme prioritised tackling vacancy and bringing vacant and derelict buildings back into use as multi-purpose community spaces. </w:t>
            </w:r>
          </w:p>
          <w:p w14:paraId="27735D0B" w14:textId="77777777" w:rsidR="000B46F0" w:rsidRPr="00EF795E" w:rsidRDefault="000B46F0" w:rsidP="008E1F38">
            <w:pPr>
              <w:rPr>
                <w:rFonts w:cstheme="minorHAnsi"/>
              </w:rPr>
            </w:pPr>
            <w:r w:rsidRPr="00EF795E">
              <w:rPr>
                <w:rFonts w:cstheme="minorHAnsi"/>
                <w:color w:val="000000"/>
              </w:rPr>
              <w:t xml:space="preserve">A new Building Acquisition Measure (BAM) was introduced under the 2022 TVRS </w:t>
            </w:r>
            <w:r w:rsidRPr="00EF795E">
              <w:rPr>
                <w:rFonts w:cstheme="minorHAnsi"/>
              </w:rPr>
              <w:t xml:space="preserve">to support local authorities to purchase vacant and derelict buildings for future development as community facilities, and over </w:t>
            </w:r>
            <w:r w:rsidRPr="00EF795E">
              <w:rPr>
                <w:rFonts w:cstheme="minorHAnsi"/>
                <w:color w:val="000000"/>
              </w:rPr>
              <w:t>€6m facilitated the purchase of 29 properties.</w:t>
            </w:r>
            <w:r w:rsidRPr="00EF795E">
              <w:rPr>
                <w:rFonts w:cstheme="minorHAnsi"/>
              </w:rPr>
              <w:t xml:space="preserve"> </w:t>
            </w:r>
          </w:p>
          <w:p w14:paraId="1D03B6AE" w14:textId="77777777" w:rsidR="000B46F0" w:rsidRPr="00EF795E" w:rsidRDefault="000B46F0" w:rsidP="008E1F38">
            <w:pPr>
              <w:rPr>
                <w:rFonts w:cstheme="minorHAnsi"/>
              </w:rPr>
            </w:pPr>
            <w:r w:rsidRPr="00EF795E">
              <w:rPr>
                <w:rFonts w:cstheme="minorHAnsi"/>
              </w:rPr>
              <w:t xml:space="preserve">The BAM was made available to local authorities again in 2023 and just over €4.6m facilitated the purchase of 24 properties. The 2023 TVRS had a renewed focus on town centre economic and social vibrancy which was achieved by bringing vacant and derelict buildings back into use as community multi-purpose spaces through refurbishment and renovation. €20.4 million in funding was announced for 82 successful projects under the 2023 Scheme. </w:t>
            </w:r>
          </w:p>
          <w:p w14:paraId="6A2B10BE" w14:textId="77777777" w:rsidR="000B46F0" w:rsidRDefault="000B46F0" w:rsidP="008E1F38">
            <w:pPr>
              <w:rPr>
                <w:rFonts w:cstheme="minorHAnsi"/>
              </w:rPr>
            </w:pPr>
            <w:r w:rsidRPr="00EF795E">
              <w:rPr>
                <w:rFonts w:cstheme="minorHAnsi"/>
              </w:rPr>
              <w:t>The priorities and focus of the 2024 scheme are currently being reviewed and it is scheduled to launch in October this year. </w:t>
            </w:r>
          </w:p>
          <w:p w14:paraId="45189F67" w14:textId="66807C3D" w:rsidR="008E7B5A" w:rsidRPr="00EF795E" w:rsidRDefault="008E7B5A" w:rsidP="008E1F38">
            <w:pPr>
              <w:rPr>
                <w:rFonts w:cstheme="minorHAnsi"/>
                <w:color w:val="000000"/>
              </w:rPr>
            </w:pPr>
          </w:p>
        </w:tc>
        <w:tc>
          <w:tcPr>
            <w:tcW w:w="2693" w:type="dxa"/>
            <w:shd w:val="clear" w:color="auto" w:fill="C5E0B3" w:themeFill="accent6" w:themeFillTint="66"/>
          </w:tcPr>
          <w:p w14:paraId="5CA81834" w14:textId="1418DB5D" w:rsidR="000B46F0" w:rsidRPr="00EF795E" w:rsidRDefault="000B46F0" w:rsidP="008E1F38">
            <w:pPr>
              <w:shd w:val="clear" w:color="auto" w:fill="C5E0B3" w:themeFill="accent6" w:themeFillTint="66"/>
              <w:autoSpaceDE w:val="0"/>
              <w:autoSpaceDN w:val="0"/>
              <w:adjustRightInd w:val="0"/>
              <w:jc w:val="center"/>
              <w:rPr>
                <w:rFonts w:cstheme="minorHAnsi"/>
                <w:color w:val="000000" w:themeColor="text1"/>
              </w:rPr>
            </w:pPr>
            <w:r w:rsidRPr="00EF795E">
              <w:rPr>
                <w:rFonts w:cstheme="minorHAnsi"/>
                <w:color w:val="000000" w:themeColor="text1"/>
              </w:rPr>
              <w:t>Completed</w:t>
            </w:r>
          </w:p>
        </w:tc>
      </w:tr>
      <w:tr w:rsidR="000B46F0" w:rsidRPr="00EF795E" w14:paraId="66D83C39" w14:textId="77777777" w:rsidTr="00CF1A37">
        <w:tc>
          <w:tcPr>
            <w:tcW w:w="4928" w:type="dxa"/>
            <w:shd w:val="clear" w:color="auto" w:fill="C5E0B3" w:themeFill="accent6" w:themeFillTint="66"/>
          </w:tcPr>
          <w:p w14:paraId="29BC3D4F"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Develop a new National Outdoor Recreation Strategy</w:t>
            </w:r>
          </w:p>
        </w:tc>
        <w:tc>
          <w:tcPr>
            <w:tcW w:w="12118" w:type="dxa"/>
            <w:shd w:val="clear" w:color="auto" w:fill="C5E0B3" w:themeFill="accent6" w:themeFillTint="66"/>
          </w:tcPr>
          <w:p w14:paraId="0986189D" w14:textId="69CF9DBC" w:rsidR="000B46F0" w:rsidRDefault="000B46F0" w:rsidP="000B46F0">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 xml:space="preserve">The National Outdoor Recreation Strategy: </w:t>
            </w:r>
            <w:hyperlink r:id="rId11" w:anchor="introduction" w:history="1">
              <w:r w:rsidRPr="008E7B5A">
                <w:rPr>
                  <w:rStyle w:val="Hyperlink"/>
                  <w:rFonts w:cstheme="minorHAnsi"/>
                </w:rPr>
                <w:t>Embracing Ireland’s Outdoors, the National Outdoor Recreation Strategy 2023-2027</w:t>
              </w:r>
            </w:hyperlink>
            <w:r w:rsidRPr="00EF795E">
              <w:rPr>
                <w:rFonts w:cstheme="minorHAnsi"/>
                <w:color w:val="000000" w:themeColor="text1"/>
              </w:rPr>
              <w:t xml:space="preserve"> was launched in November 2022 and work is ongoing to deliver the 95 agreed actions over the lifetime of the Strategy.</w:t>
            </w:r>
          </w:p>
          <w:p w14:paraId="3588D98A" w14:textId="69DACA0C" w:rsidR="008E7B5A" w:rsidRPr="00EF795E" w:rsidRDefault="008E7B5A" w:rsidP="000B46F0">
            <w:pPr>
              <w:shd w:val="clear" w:color="auto" w:fill="C5E0B3" w:themeFill="accent6" w:themeFillTint="66"/>
              <w:autoSpaceDE w:val="0"/>
              <w:autoSpaceDN w:val="0"/>
              <w:adjustRightInd w:val="0"/>
              <w:rPr>
                <w:rFonts w:cstheme="minorHAnsi"/>
                <w:color w:val="000000" w:themeColor="text1"/>
              </w:rPr>
            </w:pPr>
          </w:p>
        </w:tc>
        <w:tc>
          <w:tcPr>
            <w:tcW w:w="2693" w:type="dxa"/>
            <w:shd w:val="clear" w:color="auto" w:fill="C5E0B3" w:themeFill="accent6" w:themeFillTint="66"/>
          </w:tcPr>
          <w:p w14:paraId="5E0E54CE" w14:textId="77777777" w:rsidR="000B46F0" w:rsidRPr="00EF795E" w:rsidRDefault="000B46F0" w:rsidP="008E1F38">
            <w:pPr>
              <w:shd w:val="clear" w:color="auto" w:fill="C5E0B3" w:themeFill="accent6" w:themeFillTint="66"/>
              <w:autoSpaceDE w:val="0"/>
              <w:autoSpaceDN w:val="0"/>
              <w:adjustRightInd w:val="0"/>
              <w:jc w:val="center"/>
              <w:rPr>
                <w:rFonts w:cstheme="minorHAnsi"/>
                <w:color w:val="000000" w:themeColor="text1"/>
              </w:rPr>
            </w:pPr>
            <w:r w:rsidRPr="00EF795E">
              <w:rPr>
                <w:rFonts w:cstheme="minorHAnsi"/>
              </w:rPr>
              <w:t>Completed</w:t>
            </w:r>
          </w:p>
        </w:tc>
      </w:tr>
      <w:tr w:rsidR="000B46F0" w:rsidRPr="00EF795E" w14:paraId="67A20436" w14:textId="77777777" w:rsidTr="00CF1A37">
        <w:tc>
          <w:tcPr>
            <w:tcW w:w="4928" w:type="dxa"/>
            <w:shd w:val="clear" w:color="auto" w:fill="C5E0B3" w:themeFill="accent6" w:themeFillTint="66"/>
          </w:tcPr>
          <w:p w14:paraId="4BA23792" w14:textId="77777777" w:rsidR="000B46F0"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Expand the Walks Scheme to achieve a target of 80 trails.</w:t>
            </w:r>
          </w:p>
          <w:p w14:paraId="4AD46E5D" w14:textId="10C75F5D" w:rsidR="00BC5A4D" w:rsidRPr="00EF795E" w:rsidRDefault="00BC5A4D" w:rsidP="008E1F38">
            <w:pPr>
              <w:shd w:val="clear" w:color="auto" w:fill="C5E0B3" w:themeFill="accent6" w:themeFillTint="66"/>
              <w:autoSpaceDE w:val="0"/>
              <w:autoSpaceDN w:val="0"/>
              <w:adjustRightInd w:val="0"/>
              <w:rPr>
                <w:rFonts w:cstheme="minorHAnsi"/>
                <w:color w:val="000000" w:themeColor="text1"/>
              </w:rPr>
            </w:pPr>
          </w:p>
        </w:tc>
        <w:tc>
          <w:tcPr>
            <w:tcW w:w="12118" w:type="dxa"/>
            <w:shd w:val="clear" w:color="auto" w:fill="C5E0B3" w:themeFill="accent6" w:themeFillTint="66"/>
          </w:tcPr>
          <w:p w14:paraId="529AB1C3"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 xml:space="preserve">Target now exceeded with over 140 trails now approved for Walks Scheme. </w:t>
            </w:r>
          </w:p>
          <w:p w14:paraId="13A266BA"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p>
        </w:tc>
        <w:tc>
          <w:tcPr>
            <w:tcW w:w="2693" w:type="dxa"/>
            <w:shd w:val="clear" w:color="auto" w:fill="C5E0B3" w:themeFill="accent6" w:themeFillTint="66"/>
          </w:tcPr>
          <w:p w14:paraId="584B9BBA" w14:textId="77777777" w:rsidR="000B46F0" w:rsidRPr="00EF795E" w:rsidRDefault="000B46F0" w:rsidP="008E1F38">
            <w:pPr>
              <w:shd w:val="clear" w:color="auto" w:fill="C5E0B3" w:themeFill="accent6" w:themeFillTint="66"/>
              <w:autoSpaceDE w:val="0"/>
              <w:autoSpaceDN w:val="0"/>
              <w:adjustRightInd w:val="0"/>
              <w:jc w:val="center"/>
              <w:rPr>
                <w:rFonts w:cstheme="minorHAnsi"/>
                <w:color w:val="000000" w:themeColor="text1"/>
              </w:rPr>
            </w:pPr>
            <w:r w:rsidRPr="00EF795E">
              <w:rPr>
                <w:rFonts w:cstheme="minorHAnsi"/>
              </w:rPr>
              <w:t>Completed</w:t>
            </w:r>
          </w:p>
        </w:tc>
      </w:tr>
      <w:tr w:rsidR="000B46F0" w:rsidRPr="00EF795E" w14:paraId="0F7E21DA" w14:textId="77777777" w:rsidTr="00CF1A37">
        <w:tc>
          <w:tcPr>
            <w:tcW w:w="4928" w:type="dxa"/>
            <w:shd w:val="clear" w:color="auto" w:fill="C5E0B3" w:themeFill="accent6" w:themeFillTint="66"/>
          </w:tcPr>
          <w:p w14:paraId="00ADED0D" w14:textId="77777777" w:rsidR="000B46F0" w:rsidRDefault="000B46F0" w:rsidP="00CF1A37">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 xml:space="preserve">Ensure that the Rural Regeneration and Development Fund supports the development of </w:t>
            </w:r>
            <w:r w:rsidR="00CF1A37" w:rsidRPr="00EF795E">
              <w:rPr>
                <w:rFonts w:cstheme="minorHAnsi"/>
                <w:color w:val="000000" w:themeColor="text1"/>
              </w:rPr>
              <w:t>(water)</w:t>
            </w:r>
            <w:r w:rsidRPr="00EF795E">
              <w:rPr>
                <w:rFonts w:cstheme="minorHAnsi"/>
                <w:color w:val="000000" w:themeColor="text1"/>
              </w:rPr>
              <w:t xml:space="preserve"> projects. </w:t>
            </w:r>
          </w:p>
          <w:p w14:paraId="08328271" w14:textId="58BA5DD0" w:rsidR="00BC5A4D" w:rsidRPr="00EF795E" w:rsidRDefault="00BC5A4D" w:rsidP="00CF1A37">
            <w:pPr>
              <w:shd w:val="clear" w:color="auto" w:fill="C5E0B3" w:themeFill="accent6" w:themeFillTint="66"/>
              <w:autoSpaceDE w:val="0"/>
              <w:autoSpaceDN w:val="0"/>
              <w:adjustRightInd w:val="0"/>
              <w:rPr>
                <w:rFonts w:cstheme="minorHAnsi"/>
                <w:color w:val="000000" w:themeColor="text1"/>
              </w:rPr>
            </w:pPr>
          </w:p>
        </w:tc>
        <w:tc>
          <w:tcPr>
            <w:tcW w:w="12118" w:type="dxa"/>
            <w:shd w:val="clear" w:color="auto" w:fill="C5E0B3" w:themeFill="accent6" w:themeFillTint="66"/>
          </w:tcPr>
          <w:p w14:paraId="14C2E24D" w14:textId="3019FCAC"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 xml:space="preserve">Applications are not limited in terms of sector </w:t>
            </w:r>
            <w:r w:rsidRPr="00EF795E">
              <w:rPr>
                <w:rFonts w:cstheme="minorHAnsi"/>
                <w:color w:val="000000" w:themeColor="text1"/>
                <w:lang w:val="en-US"/>
              </w:rPr>
              <w:t>and a</w:t>
            </w:r>
            <w:r w:rsidRPr="00EF795E">
              <w:rPr>
                <w:rFonts w:cstheme="minorHAnsi"/>
                <w:color w:val="000000" w:themeColor="text1"/>
              </w:rPr>
              <w:t xml:space="preserve"> local authority or other body eligible under the rules of the Fund can make an application in relation to a water or wastewater project.</w:t>
            </w:r>
          </w:p>
          <w:p w14:paraId="13704EC2"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p>
        </w:tc>
        <w:tc>
          <w:tcPr>
            <w:tcW w:w="2693" w:type="dxa"/>
            <w:shd w:val="clear" w:color="auto" w:fill="C5E0B3" w:themeFill="accent6" w:themeFillTint="66"/>
          </w:tcPr>
          <w:p w14:paraId="568A3773" w14:textId="77777777" w:rsidR="000B46F0" w:rsidRPr="00EF795E" w:rsidRDefault="000B46F0" w:rsidP="008E1F38">
            <w:pPr>
              <w:shd w:val="clear" w:color="auto" w:fill="C5E0B3" w:themeFill="accent6" w:themeFillTint="66"/>
              <w:autoSpaceDE w:val="0"/>
              <w:autoSpaceDN w:val="0"/>
              <w:adjustRightInd w:val="0"/>
              <w:jc w:val="center"/>
              <w:rPr>
                <w:rFonts w:cstheme="minorHAnsi"/>
                <w:color w:val="000000" w:themeColor="text1"/>
              </w:rPr>
            </w:pPr>
            <w:r w:rsidRPr="00EF795E">
              <w:rPr>
                <w:rFonts w:cstheme="minorHAnsi"/>
                <w:color w:val="000000" w:themeColor="text1"/>
              </w:rPr>
              <w:t>Completed</w:t>
            </w:r>
          </w:p>
        </w:tc>
      </w:tr>
      <w:tr w:rsidR="000B46F0" w:rsidRPr="00EF795E" w14:paraId="2CCFE5A7" w14:textId="77777777" w:rsidTr="00CF1A37">
        <w:tc>
          <w:tcPr>
            <w:tcW w:w="4928" w:type="dxa"/>
            <w:shd w:val="clear" w:color="auto" w:fill="C5E0B3" w:themeFill="accent6" w:themeFillTint="66"/>
          </w:tcPr>
          <w:p w14:paraId="350967B1" w14:textId="77777777" w:rsidR="000B46F0"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Publish and implement a new Rural Policy to build on the progress of the Action Plan for Rural Development to promote rural recovery and development in the wake of the COVID-19 crisis.</w:t>
            </w:r>
          </w:p>
          <w:p w14:paraId="213961C9" w14:textId="31EEE664" w:rsidR="00BC5A4D" w:rsidRPr="00EF795E" w:rsidRDefault="00BC5A4D" w:rsidP="008E1F38">
            <w:pPr>
              <w:shd w:val="clear" w:color="auto" w:fill="C5E0B3" w:themeFill="accent6" w:themeFillTint="66"/>
              <w:autoSpaceDE w:val="0"/>
              <w:autoSpaceDN w:val="0"/>
              <w:adjustRightInd w:val="0"/>
              <w:rPr>
                <w:rFonts w:cstheme="minorHAnsi"/>
                <w:color w:val="000000" w:themeColor="text1"/>
              </w:rPr>
            </w:pPr>
          </w:p>
        </w:tc>
        <w:tc>
          <w:tcPr>
            <w:tcW w:w="12118" w:type="dxa"/>
            <w:shd w:val="clear" w:color="auto" w:fill="C5E0B3" w:themeFill="accent6" w:themeFillTint="66"/>
          </w:tcPr>
          <w:p w14:paraId="48ACEA53" w14:textId="6E162FEF" w:rsidR="00CF1A37" w:rsidRDefault="00BF25B9" w:rsidP="008E7B5A">
            <w:pPr>
              <w:shd w:val="clear" w:color="auto" w:fill="C5E0B3" w:themeFill="accent6" w:themeFillTint="66"/>
              <w:autoSpaceDE w:val="0"/>
              <w:autoSpaceDN w:val="0"/>
              <w:adjustRightInd w:val="0"/>
              <w:rPr>
                <w:rFonts w:cstheme="minorHAnsi"/>
                <w:color w:val="000000" w:themeColor="text1"/>
              </w:rPr>
            </w:pPr>
            <w:hyperlink r:id="rId12" w:anchor="our-rural-future-rural-development-policy-2021-2025" w:history="1">
              <w:r w:rsidR="008E7B5A" w:rsidRPr="008E7B5A">
                <w:rPr>
                  <w:rStyle w:val="Hyperlink"/>
                  <w:rFonts w:cstheme="minorHAnsi"/>
                </w:rPr>
                <w:t>Our Rural Future</w:t>
              </w:r>
            </w:hyperlink>
            <w:r w:rsidR="008E7B5A" w:rsidRPr="008E7B5A">
              <w:rPr>
                <w:rFonts w:cstheme="minorHAnsi"/>
                <w:color w:val="000000" w:themeColor="text1"/>
              </w:rPr>
              <w:t xml:space="preserve">: Rural Development Policy 2021-2025 </w:t>
            </w:r>
            <w:r w:rsidR="000B46F0" w:rsidRPr="00EF795E">
              <w:rPr>
                <w:rFonts w:cstheme="minorHAnsi"/>
                <w:color w:val="000000" w:themeColor="text1"/>
              </w:rPr>
              <w:t xml:space="preserve">was published in 2021.  </w:t>
            </w:r>
          </w:p>
          <w:p w14:paraId="6439D916" w14:textId="287E2F8B" w:rsidR="00BC5A4D" w:rsidRPr="00EF795E" w:rsidRDefault="00BC5A4D" w:rsidP="008E7B5A">
            <w:pPr>
              <w:shd w:val="clear" w:color="auto" w:fill="C5E0B3" w:themeFill="accent6" w:themeFillTint="66"/>
              <w:autoSpaceDE w:val="0"/>
              <w:autoSpaceDN w:val="0"/>
              <w:adjustRightInd w:val="0"/>
              <w:rPr>
                <w:rFonts w:cstheme="minorHAnsi"/>
                <w:color w:val="000000" w:themeColor="text1"/>
              </w:rPr>
            </w:pPr>
            <w:r w:rsidRPr="00BC5A4D">
              <w:rPr>
                <w:rFonts w:cstheme="minorHAnsi"/>
                <w:color w:val="000000" w:themeColor="text1"/>
              </w:rPr>
              <w:t xml:space="preserve">Our Rural Future represents the Irish Government’s blueprint for a post-COVID-19 recovery and development of rural Ireland over the </w:t>
            </w:r>
            <w:r>
              <w:rPr>
                <w:rFonts w:cstheme="minorHAnsi"/>
                <w:color w:val="000000" w:themeColor="text1"/>
              </w:rPr>
              <w:t>years ahead</w:t>
            </w:r>
            <w:r w:rsidRPr="00BC5A4D">
              <w:rPr>
                <w:rFonts w:cstheme="minorHAnsi"/>
                <w:color w:val="000000" w:themeColor="text1"/>
              </w:rPr>
              <w:t>. It provides the framework to achieve the vision of transforming the quality of life and opportunity for people living in rural areas.</w:t>
            </w:r>
          </w:p>
          <w:p w14:paraId="04261DC3" w14:textId="77777777" w:rsidR="000B46F0" w:rsidRDefault="000B46F0" w:rsidP="008E1F38">
            <w:pPr>
              <w:shd w:val="clear" w:color="auto" w:fill="C5E0B3" w:themeFill="accent6" w:themeFillTint="66"/>
              <w:autoSpaceDE w:val="0"/>
              <w:autoSpaceDN w:val="0"/>
              <w:adjustRightInd w:val="0"/>
              <w:rPr>
                <w:rFonts w:cstheme="minorHAnsi"/>
                <w:color w:val="0000FF"/>
                <w:u w:val="single"/>
              </w:rPr>
            </w:pPr>
            <w:r w:rsidRPr="00EF795E">
              <w:rPr>
                <w:rFonts w:cstheme="minorHAnsi"/>
                <w:color w:val="000000" w:themeColor="text1"/>
              </w:rPr>
              <w:t xml:space="preserve">Bi—annual progress reports and annual work programmes are published on </w:t>
            </w:r>
            <w:r w:rsidRPr="00EF795E">
              <w:rPr>
                <w:rFonts w:cstheme="minorHAnsi"/>
              </w:rPr>
              <w:t xml:space="preserve"> </w:t>
            </w:r>
            <w:hyperlink r:id="rId13" w:history="1">
              <w:r w:rsidRPr="00EF795E">
                <w:rPr>
                  <w:rFonts w:cstheme="minorHAnsi"/>
                  <w:color w:val="0000FF"/>
                  <w:u w:val="single"/>
                </w:rPr>
                <w:t>gov - Our Rural Future: Annual work programmes and progress reports (www.gov.ie)</w:t>
              </w:r>
            </w:hyperlink>
          </w:p>
          <w:p w14:paraId="31690D66" w14:textId="024AA199" w:rsidR="00BC5A4D" w:rsidRPr="00EF795E" w:rsidRDefault="00BC5A4D" w:rsidP="008E1F38">
            <w:pPr>
              <w:shd w:val="clear" w:color="auto" w:fill="C5E0B3" w:themeFill="accent6" w:themeFillTint="66"/>
              <w:autoSpaceDE w:val="0"/>
              <w:autoSpaceDN w:val="0"/>
              <w:adjustRightInd w:val="0"/>
              <w:rPr>
                <w:rFonts w:cstheme="minorHAnsi"/>
                <w:color w:val="000000" w:themeColor="text1"/>
              </w:rPr>
            </w:pPr>
          </w:p>
        </w:tc>
        <w:tc>
          <w:tcPr>
            <w:tcW w:w="2693" w:type="dxa"/>
            <w:shd w:val="clear" w:color="auto" w:fill="C5E0B3" w:themeFill="accent6" w:themeFillTint="66"/>
          </w:tcPr>
          <w:p w14:paraId="2633D06E" w14:textId="77777777" w:rsidR="000B46F0" w:rsidRPr="00EF795E" w:rsidRDefault="000B46F0" w:rsidP="008E1F38">
            <w:pPr>
              <w:shd w:val="clear" w:color="auto" w:fill="C5E0B3" w:themeFill="accent6" w:themeFillTint="66"/>
              <w:autoSpaceDE w:val="0"/>
              <w:autoSpaceDN w:val="0"/>
              <w:adjustRightInd w:val="0"/>
              <w:jc w:val="center"/>
              <w:rPr>
                <w:rFonts w:cstheme="minorHAnsi"/>
                <w:color w:val="000000" w:themeColor="text1"/>
              </w:rPr>
            </w:pPr>
            <w:r w:rsidRPr="00EF795E">
              <w:rPr>
                <w:rFonts w:cstheme="minorHAnsi"/>
                <w:color w:val="000000" w:themeColor="text1"/>
              </w:rPr>
              <w:t>Completed</w:t>
            </w:r>
          </w:p>
        </w:tc>
      </w:tr>
      <w:tr w:rsidR="000B46F0" w:rsidRPr="00EF795E" w14:paraId="341FB9FA" w14:textId="77777777" w:rsidTr="00CF1A37">
        <w:tc>
          <w:tcPr>
            <w:tcW w:w="4928" w:type="dxa"/>
            <w:shd w:val="clear" w:color="auto" w:fill="C5E0B3" w:themeFill="accent6" w:themeFillTint="66"/>
          </w:tcPr>
          <w:p w14:paraId="6FFC8A0E" w14:textId="77777777" w:rsidR="000B46F0"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Initiate a regular series of Rural Ideas Fora to foster ongoing contributions from communities to inform rural policy development and innovation.</w:t>
            </w:r>
          </w:p>
          <w:p w14:paraId="1A1E800D" w14:textId="0DEA48EE" w:rsidR="008E7B5A" w:rsidRPr="00EF795E" w:rsidRDefault="008E7B5A" w:rsidP="008E1F38">
            <w:pPr>
              <w:shd w:val="clear" w:color="auto" w:fill="C5E0B3" w:themeFill="accent6" w:themeFillTint="66"/>
              <w:autoSpaceDE w:val="0"/>
              <w:autoSpaceDN w:val="0"/>
              <w:adjustRightInd w:val="0"/>
              <w:rPr>
                <w:rFonts w:cstheme="minorHAnsi"/>
                <w:color w:val="000000" w:themeColor="text1"/>
              </w:rPr>
            </w:pPr>
          </w:p>
        </w:tc>
        <w:tc>
          <w:tcPr>
            <w:tcW w:w="12118" w:type="dxa"/>
            <w:shd w:val="clear" w:color="auto" w:fill="C5E0B3" w:themeFill="accent6" w:themeFillTint="66"/>
          </w:tcPr>
          <w:p w14:paraId="1F234033"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 xml:space="preserve">Two Rural Ideas for per year have taken place on a range of themes which are material to rural development.  </w:t>
            </w:r>
          </w:p>
        </w:tc>
        <w:tc>
          <w:tcPr>
            <w:tcW w:w="2693" w:type="dxa"/>
            <w:shd w:val="clear" w:color="auto" w:fill="C5E0B3" w:themeFill="accent6" w:themeFillTint="66"/>
          </w:tcPr>
          <w:p w14:paraId="2662B753" w14:textId="77777777" w:rsidR="000B46F0" w:rsidRPr="00EF795E" w:rsidRDefault="000B46F0" w:rsidP="008E1F38">
            <w:pPr>
              <w:shd w:val="clear" w:color="auto" w:fill="C5E0B3" w:themeFill="accent6" w:themeFillTint="66"/>
              <w:autoSpaceDE w:val="0"/>
              <w:autoSpaceDN w:val="0"/>
              <w:adjustRightInd w:val="0"/>
              <w:jc w:val="center"/>
              <w:rPr>
                <w:rFonts w:cstheme="minorHAnsi"/>
                <w:color w:val="000000" w:themeColor="text1"/>
              </w:rPr>
            </w:pPr>
            <w:r w:rsidRPr="00EF795E">
              <w:rPr>
                <w:rFonts w:cstheme="minorHAnsi"/>
                <w:color w:val="000000" w:themeColor="text1"/>
              </w:rPr>
              <w:t>Completed</w:t>
            </w:r>
          </w:p>
        </w:tc>
      </w:tr>
      <w:tr w:rsidR="000B46F0" w:rsidRPr="00EF795E" w14:paraId="19F5DC7C" w14:textId="77777777" w:rsidTr="00CF1A37">
        <w:tc>
          <w:tcPr>
            <w:tcW w:w="4928" w:type="dxa"/>
            <w:shd w:val="clear" w:color="auto" w:fill="C5E0B3" w:themeFill="accent6" w:themeFillTint="66"/>
          </w:tcPr>
          <w:p w14:paraId="7404510E" w14:textId="77777777" w:rsidR="00EF795E" w:rsidRPr="00EF795E" w:rsidRDefault="00EF795E" w:rsidP="00EF795E">
            <w:pPr>
              <w:shd w:val="clear" w:color="auto" w:fill="C5E0B3" w:themeFill="accent6" w:themeFillTint="66"/>
              <w:autoSpaceDE w:val="0"/>
              <w:autoSpaceDN w:val="0"/>
              <w:adjustRightInd w:val="0"/>
              <w:contextualSpacing/>
              <w:jc w:val="both"/>
              <w:rPr>
                <w:rFonts w:cstheme="minorHAnsi"/>
                <w:color w:val="000000" w:themeColor="text1"/>
              </w:rPr>
            </w:pPr>
            <w:r w:rsidRPr="00EF795E">
              <w:rPr>
                <w:rFonts w:cstheme="minorHAnsi"/>
                <w:color w:val="000000" w:themeColor="text1"/>
              </w:rPr>
              <w:t>LEADER</w:t>
            </w:r>
          </w:p>
          <w:p w14:paraId="5448F060" w14:textId="4684E9A6" w:rsidR="000B46F0" w:rsidRPr="00EF795E" w:rsidRDefault="000B46F0" w:rsidP="00EF795E">
            <w:pPr>
              <w:pStyle w:val="ListParagraph"/>
              <w:numPr>
                <w:ilvl w:val="0"/>
                <w:numId w:val="55"/>
              </w:numPr>
              <w:shd w:val="clear" w:color="auto" w:fill="C5E0B3" w:themeFill="accent6" w:themeFillTint="66"/>
              <w:autoSpaceDE w:val="0"/>
              <w:autoSpaceDN w:val="0"/>
              <w:adjustRightInd w:val="0"/>
              <w:spacing w:line="240" w:lineRule="auto"/>
              <w:ind w:left="414" w:hanging="357"/>
              <w:rPr>
                <w:rFonts w:cstheme="minorHAnsi"/>
                <w:color w:val="000000" w:themeColor="text1"/>
              </w:rPr>
            </w:pPr>
            <w:r w:rsidRPr="00EF795E">
              <w:rPr>
                <w:rFonts w:cstheme="minorHAnsi"/>
                <w:color w:val="000000" w:themeColor="text1"/>
              </w:rPr>
              <w:t xml:space="preserve">Prioritise a state-led Rural Development Programme to bridge the gap between the wind-up of the existing LEADER Programme and implementation of the new programme. </w:t>
            </w:r>
          </w:p>
          <w:p w14:paraId="0D3A76C2" w14:textId="77777777" w:rsidR="000B46F0" w:rsidRPr="00EF795E" w:rsidRDefault="000B46F0" w:rsidP="00EF795E">
            <w:pPr>
              <w:numPr>
                <w:ilvl w:val="0"/>
                <w:numId w:val="55"/>
              </w:numPr>
              <w:shd w:val="clear" w:color="auto" w:fill="C5E0B3" w:themeFill="accent6" w:themeFillTint="66"/>
              <w:autoSpaceDE w:val="0"/>
              <w:autoSpaceDN w:val="0"/>
              <w:adjustRightInd w:val="0"/>
              <w:ind w:left="414" w:hanging="357"/>
              <w:contextualSpacing/>
              <w:jc w:val="both"/>
              <w:rPr>
                <w:rFonts w:cstheme="minorHAnsi"/>
                <w:color w:val="000000" w:themeColor="text1"/>
              </w:rPr>
            </w:pPr>
            <w:r w:rsidRPr="00EF795E">
              <w:rPr>
                <w:rFonts w:cstheme="minorHAnsi"/>
                <w:color w:val="000000" w:themeColor="text1"/>
              </w:rPr>
              <w:t xml:space="preserve">Simplify and reduce bureaucracy and promote the role of independent Local Action Groups (LAGs), while ensuring that strong accountability and transparency mechanisms are in place to protect taxpayers’ money. </w:t>
            </w:r>
          </w:p>
          <w:p w14:paraId="16EAA8D3" w14:textId="77777777" w:rsidR="000B46F0" w:rsidRPr="00EF795E" w:rsidRDefault="000B46F0" w:rsidP="00EF795E">
            <w:pPr>
              <w:numPr>
                <w:ilvl w:val="0"/>
                <w:numId w:val="55"/>
              </w:numPr>
              <w:shd w:val="clear" w:color="auto" w:fill="C5E0B3" w:themeFill="accent6" w:themeFillTint="66"/>
              <w:autoSpaceDE w:val="0"/>
              <w:autoSpaceDN w:val="0"/>
              <w:adjustRightInd w:val="0"/>
              <w:ind w:left="414" w:hanging="357"/>
              <w:contextualSpacing/>
              <w:jc w:val="both"/>
              <w:rPr>
                <w:rFonts w:cstheme="minorHAnsi"/>
                <w:color w:val="000000" w:themeColor="text1"/>
              </w:rPr>
            </w:pPr>
            <w:r w:rsidRPr="00EF795E">
              <w:rPr>
                <w:rFonts w:cstheme="minorHAnsi"/>
                <w:color w:val="000000" w:themeColor="text1"/>
              </w:rPr>
              <w:t xml:space="preserve">Prioritise national and local government support to pursue extra EU funding opportunities through Community-led Local Development (CLLD). </w:t>
            </w:r>
          </w:p>
          <w:p w14:paraId="435B70E8" w14:textId="77777777" w:rsidR="000B46F0" w:rsidRPr="00EF795E" w:rsidRDefault="000B46F0" w:rsidP="00EF795E">
            <w:pPr>
              <w:numPr>
                <w:ilvl w:val="0"/>
                <w:numId w:val="55"/>
              </w:numPr>
              <w:shd w:val="clear" w:color="auto" w:fill="C5E0B3" w:themeFill="accent6" w:themeFillTint="66"/>
              <w:autoSpaceDE w:val="0"/>
              <w:autoSpaceDN w:val="0"/>
              <w:adjustRightInd w:val="0"/>
              <w:ind w:left="414" w:hanging="357"/>
              <w:contextualSpacing/>
              <w:jc w:val="both"/>
              <w:rPr>
                <w:rFonts w:cstheme="minorHAnsi"/>
                <w:color w:val="000000" w:themeColor="text1"/>
              </w:rPr>
            </w:pPr>
            <w:r w:rsidRPr="00EF795E">
              <w:rPr>
                <w:rFonts w:cstheme="minorHAnsi"/>
                <w:color w:val="000000" w:themeColor="text1"/>
              </w:rPr>
              <w:t xml:space="preserve">Apply to the EU for exemption from State Aid rules constraining the potential of the LEADER Programme to help communities and small </w:t>
            </w:r>
            <w:r w:rsidRPr="00EF795E">
              <w:rPr>
                <w:rFonts w:cstheme="minorHAnsi"/>
                <w:color w:val="000000" w:themeColor="text1"/>
              </w:rPr>
              <w:lastRenderedPageBreak/>
              <w:t xml:space="preserve">business, particularly in the context of COVID-19. </w:t>
            </w:r>
          </w:p>
          <w:p w14:paraId="26074E59" w14:textId="77777777" w:rsidR="000B46F0" w:rsidRPr="00EF795E" w:rsidRDefault="000B46F0" w:rsidP="00EF795E">
            <w:pPr>
              <w:numPr>
                <w:ilvl w:val="0"/>
                <w:numId w:val="55"/>
              </w:numPr>
              <w:shd w:val="clear" w:color="auto" w:fill="C5E0B3" w:themeFill="accent6" w:themeFillTint="66"/>
              <w:autoSpaceDE w:val="0"/>
              <w:autoSpaceDN w:val="0"/>
              <w:adjustRightInd w:val="0"/>
              <w:ind w:left="414" w:hanging="357"/>
              <w:contextualSpacing/>
              <w:jc w:val="both"/>
              <w:rPr>
                <w:rFonts w:cstheme="minorHAnsi"/>
                <w:color w:val="000000" w:themeColor="text1"/>
              </w:rPr>
            </w:pPr>
            <w:r w:rsidRPr="00EF795E">
              <w:rPr>
                <w:rFonts w:cstheme="minorHAnsi"/>
                <w:color w:val="000000" w:themeColor="text1"/>
              </w:rPr>
              <w:t xml:space="preserve">Review capital funding restrictions under the LEADER Programme for broadband. </w:t>
            </w:r>
          </w:p>
          <w:p w14:paraId="01556C8D" w14:textId="00ED1759" w:rsidR="00BC5A4D" w:rsidRPr="00EF795E" w:rsidRDefault="000B46F0" w:rsidP="00A94CFE">
            <w:pPr>
              <w:numPr>
                <w:ilvl w:val="0"/>
                <w:numId w:val="55"/>
              </w:numPr>
              <w:shd w:val="clear" w:color="auto" w:fill="C5E0B3" w:themeFill="accent6" w:themeFillTint="66"/>
              <w:autoSpaceDE w:val="0"/>
              <w:autoSpaceDN w:val="0"/>
              <w:adjustRightInd w:val="0"/>
              <w:ind w:left="414" w:hanging="357"/>
              <w:contextualSpacing/>
              <w:jc w:val="both"/>
              <w:rPr>
                <w:rFonts w:cstheme="minorHAnsi"/>
                <w:color w:val="000000" w:themeColor="text1"/>
              </w:rPr>
            </w:pPr>
            <w:r w:rsidRPr="00EF795E">
              <w:rPr>
                <w:rFonts w:cstheme="minorHAnsi"/>
                <w:color w:val="000000" w:themeColor="text1"/>
              </w:rPr>
              <w:t>Increase the Rate of Aid available to private enterprise through LEADER from 50% to 75% for capital projects.</w:t>
            </w:r>
          </w:p>
        </w:tc>
        <w:tc>
          <w:tcPr>
            <w:tcW w:w="12118" w:type="dxa"/>
            <w:shd w:val="clear" w:color="auto" w:fill="C5E0B3" w:themeFill="accent6" w:themeFillTint="66"/>
          </w:tcPr>
          <w:p w14:paraId="2FBBF2C3" w14:textId="77777777" w:rsidR="000B46F0" w:rsidRPr="00EF795E" w:rsidRDefault="000B46F0" w:rsidP="008E1F38">
            <w:pPr>
              <w:autoSpaceDE w:val="0"/>
              <w:autoSpaceDN w:val="0"/>
              <w:jc w:val="both"/>
              <w:rPr>
                <w:rFonts w:cstheme="minorHAnsi"/>
                <w:color w:val="000000"/>
              </w:rPr>
            </w:pPr>
            <w:r w:rsidRPr="00EF795E">
              <w:rPr>
                <w:rFonts w:cstheme="minorHAnsi"/>
                <w:color w:val="000000"/>
              </w:rPr>
              <w:lastRenderedPageBreak/>
              <w:t xml:space="preserve">The Transitional LEADER Programme which came into effect on 1 April 2021 operated to end of March 2024. </w:t>
            </w:r>
          </w:p>
          <w:p w14:paraId="3E835937" w14:textId="77777777" w:rsidR="00EF795E" w:rsidRPr="00EF795E" w:rsidRDefault="000B46F0" w:rsidP="008E1F38">
            <w:pPr>
              <w:autoSpaceDE w:val="0"/>
              <w:autoSpaceDN w:val="0"/>
              <w:jc w:val="both"/>
              <w:rPr>
                <w:rFonts w:cstheme="minorHAnsi"/>
                <w:color w:val="000000"/>
              </w:rPr>
            </w:pPr>
            <w:r w:rsidRPr="00EF795E">
              <w:rPr>
                <w:rFonts w:cstheme="minorHAnsi"/>
                <w:color w:val="000000"/>
              </w:rPr>
              <w:t xml:space="preserve">A total of €70 million in funding was made available over this programming period. </w:t>
            </w:r>
          </w:p>
          <w:p w14:paraId="698CEBEC" w14:textId="1DC52DC6" w:rsidR="000B46F0" w:rsidRPr="00EF795E" w:rsidRDefault="000B46F0" w:rsidP="008E1F38">
            <w:pPr>
              <w:autoSpaceDE w:val="0"/>
              <w:autoSpaceDN w:val="0"/>
              <w:jc w:val="both"/>
              <w:rPr>
                <w:rFonts w:cstheme="minorHAnsi"/>
                <w:color w:val="000000"/>
              </w:rPr>
            </w:pPr>
            <w:r w:rsidRPr="00EF795E">
              <w:rPr>
                <w:rFonts w:cstheme="minorHAnsi"/>
                <w:color w:val="000000"/>
              </w:rPr>
              <w:t xml:space="preserve">This funding included €20 million in </w:t>
            </w:r>
            <w:r w:rsidR="00EF795E" w:rsidRPr="00EF795E">
              <w:rPr>
                <w:rFonts w:cstheme="minorHAnsi"/>
                <w:color w:val="000000"/>
              </w:rPr>
              <w:t>European Union Recovery Instrument (</w:t>
            </w:r>
            <w:r w:rsidRPr="00EF795E">
              <w:rPr>
                <w:rFonts w:cstheme="minorHAnsi"/>
                <w:color w:val="000000"/>
              </w:rPr>
              <w:t>EURI</w:t>
            </w:r>
            <w:r w:rsidR="00EF795E" w:rsidRPr="00EF795E">
              <w:rPr>
                <w:rFonts w:cstheme="minorHAnsi"/>
                <w:color w:val="000000"/>
              </w:rPr>
              <w:t>)</w:t>
            </w:r>
            <w:r w:rsidRPr="00EF795E">
              <w:rPr>
                <w:rFonts w:cstheme="minorHAnsi"/>
                <w:color w:val="000000"/>
              </w:rPr>
              <w:t xml:space="preserve"> funding. </w:t>
            </w:r>
          </w:p>
          <w:p w14:paraId="23CD0EBC" w14:textId="77777777" w:rsidR="00EF795E" w:rsidRPr="00EF795E" w:rsidRDefault="000B46F0" w:rsidP="008E1F38">
            <w:pPr>
              <w:autoSpaceDE w:val="0"/>
              <w:autoSpaceDN w:val="0"/>
              <w:jc w:val="both"/>
              <w:rPr>
                <w:rFonts w:cstheme="minorHAnsi"/>
                <w:color w:val="000000"/>
              </w:rPr>
            </w:pPr>
            <w:r w:rsidRPr="00EF795E">
              <w:rPr>
                <w:rFonts w:cstheme="minorHAnsi"/>
                <w:color w:val="000000"/>
              </w:rPr>
              <w:t xml:space="preserve">The maximum rate of aid available to private enterprise through LEADER has been increased from 50% to 75%. </w:t>
            </w:r>
          </w:p>
          <w:p w14:paraId="453203E3" w14:textId="58CBF6EF" w:rsidR="000B46F0" w:rsidRPr="00EF795E" w:rsidRDefault="000B46F0" w:rsidP="008E1F38">
            <w:pPr>
              <w:autoSpaceDE w:val="0"/>
              <w:autoSpaceDN w:val="0"/>
              <w:jc w:val="both"/>
              <w:rPr>
                <w:rFonts w:cstheme="minorHAnsi"/>
                <w:color w:val="000000"/>
              </w:rPr>
            </w:pPr>
            <w:r w:rsidRPr="00EF795E">
              <w:rPr>
                <w:rFonts w:cstheme="minorHAnsi"/>
                <w:color w:val="000000"/>
              </w:rPr>
              <w:t>The 2023 – 2027 LEADER programme is now operational.</w:t>
            </w:r>
          </w:p>
          <w:p w14:paraId="2ACBEAD1" w14:textId="77777777" w:rsidR="000B46F0" w:rsidRPr="00EF795E" w:rsidRDefault="000B46F0" w:rsidP="008E1F38">
            <w:pPr>
              <w:autoSpaceDE w:val="0"/>
              <w:autoSpaceDN w:val="0"/>
              <w:jc w:val="both"/>
              <w:rPr>
                <w:rFonts w:cstheme="minorHAnsi"/>
                <w:color w:val="000000"/>
                <w14:ligatures w14:val="standardContextual"/>
              </w:rPr>
            </w:pPr>
          </w:p>
          <w:p w14:paraId="6BFC2093"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p>
          <w:p w14:paraId="427AA0A3"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p>
        </w:tc>
        <w:tc>
          <w:tcPr>
            <w:tcW w:w="2693" w:type="dxa"/>
            <w:shd w:val="clear" w:color="auto" w:fill="C5E0B3" w:themeFill="accent6" w:themeFillTint="66"/>
          </w:tcPr>
          <w:p w14:paraId="75716328" w14:textId="77777777" w:rsidR="000B46F0" w:rsidRPr="00EF795E" w:rsidRDefault="000B46F0" w:rsidP="008E1F38">
            <w:pPr>
              <w:shd w:val="clear" w:color="auto" w:fill="C5E0B3" w:themeFill="accent6" w:themeFillTint="66"/>
              <w:autoSpaceDE w:val="0"/>
              <w:autoSpaceDN w:val="0"/>
              <w:adjustRightInd w:val="0"/>
              <w:jc w:val="center"/>
              <w:rPr>
                <w:rFonts w:cstheme="minorHAnsi"/>
                <w:color w:val="000000" w:themeColor="text1"/>
              </w:rPr>
            </w:pPr>
            <w:r w:rsidRPr="00EF795E">
              <w:rPr>
                <w:rFonts w:cstheme="minorHAnsi"/>
              </w:rPr>
              <w:t>Completed</w:t>
            </w:r>
          </w:p>
        </w:tc>
      </w:tr>
      <w:tr w:rsidR="000B46F0" w:rsidRPr="00EF795E" w14:paraId="0279370E" w14:textId="77777777" w:rsidTr="00CF1A37">
        <w:tc>
          <w:tcPr>
            <w:tcW w:w="4928" w:type="dxa"/>
            <w:shd w:val="clear" w:color="auto" w:fill="C5E0B3" w:themeFill="accent6" w:themeFillTint="66"/>
          </w:tcPr>
          <w:p w14:paraId="26F6A413" w14:textId="6973C184" w:rsidR="00BC5A4D"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Expand the provision of free-to-use wireless internet connectivity in rural areas, through the roll-out of Broadband Connection Points (BCPs), WiFi4EU public Wi-Fi networks and the Digital Innovation Programme.</w:t>
            </w:r>
            <w:bookmarkStart w:id="0" w:name="_GoBack"/>
            <w:bookmarkEnd w:id="0"/>
          </w:p>
        </w:tc>
        <w:tc>
          <w:tcPr>
            <w:tcW w:w="12118" w:type="dxa"/>
            <w:shd w:val="clear" w:color="auto" w:fill="C5E0B3" w:themeFill="accent6" w:themeFillTint="66"/>
          </w:tcPr>
          <w:p w14:paraId="5F0127B8" w14:textId="77777777" w:rsidR="000B46F0" w:rsidRPr="00EF795E" w:rsidRDefault="000B46F0" w:rsidP="008E1F38">
            <w:pPr>
              <w:rPr>
                <w:rFonts w:cstheme="minorHAnsi"/>
                <w:color w:val="000000"/>
              </w:rPr>
            </w:pPr>
            <w:r w:rsidRPr="00EF795E">
              <w:rPr>
                <w:rFonts w:cstheme="minorHAnsi"/>
                <w:color w:val="000000"/>
              </w:rPr>
              <w:t>The rollout of the BCPs and WiFi4EU networks has been completed with 294 BCPs currently live and over 1,170 WiFI4EU hotspots available nationwide.</w:t>
            </w:r>
          </w:p>
          <w:p w14:paraId="4A5DAE3C" w14:textId="77777777" w:rsidR="000B46F0" w:rsidRPr="00EF795E" w:rsidRDefault="000B46F0" w:rsidP="008E1F38">
            <w:pPr>
              <w:rPr>
                <w:rFonts w:cstheme="minorHAnsi"/>
                <w:color w:val="000000" w:themeColor="text1"/>
              </w:rPr>
            </w:pPr>
          </w:p>
          <w:p w14:paraId="06F21F53" w14:textId="77777777" w:rsidR="000B46F0" w:rsidRPr="00EF795E" w:rsidRDefault="000B46F0" w:rsidP="008E1F38">
            <w:pPr>
              <w:autoSpaceDE w:val="0"/>
              <w:autoSpaceDN w:val="0"/>
              <w:adjustRightInd w:val="0"/>
              <w:rPr>
                <w:rFonts w:cstheme="minorHAnsi"/>
                <w:color w:val="000000" w:themeColor="text1"/>
              </w:rPr>
            </w:pPr>
          </w:p>
        </w:tc>
        <w:tc>
          <w:tcPr>
            <w:tcW w:w="2693" w:type="dxa"/>
            <w:shd w:val="clear" w:color="auto" w:fill="C5E0B3" w:themeFill="accent6" w:themeFillTint="66"/>
          </w:tcPr>
          <w:p w14:paraId="11A8595E" w14:textId="77777777" w:rsidR="000B46F0" w:rsidRPr="00EF795E" w:rsidRDefault="000B46F0" w:rsidP="008E1F38">
            <w:pPr>
              <w:jc w:val="center"/>
              <w:rPr>
                <w:rFonts w:eastAsiaTheme="minorEastAsia" w:cstheme="minorHAnsi"/>
                <w:color w:val="000000" w:themeColor="text1"/>
              </w:rPr>
            </w:pPr>
            <w:r w:rsidRPr="00EF795E">
              <w:rPr>
                <w:rFonts w:eastAsiaTheme="minorEastAsia" w:cstheme="minorHAnsi"/>
                <w:color w:val="000000" w:themeColor="text1"/>
              </w:rPr>
              <w:t>Completed</w:t>
            </w:r>
          </w:p>
        </w:tc>
      </w:tr>
      <w:tr w:rsidR="000B46F0" w:rsidRPr="00EF795E" w14:paraId="7B64FF0F" w14:textId="77777777" w:rsidTr="00CF1A37">
        <w:tc>
          <w:tcPr>
            <w:tcW w:w="4928" w:type="dxa"/>
            <w:shd w:val="clear" w:color="auto" w:fill="C5E0B3" w:themeFill="accent6" w:themeFillTint="66"/>
          </w:tcPr>
          <w:p w14:paraId="199490DC"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Publish the Islands’ Action Plan in 2020, so that action can be taken on improving connectivity, transport links, education, job creation and fully exploiting the potential for tourism on our islands.</w:t>
            </w:r>
          </w:p>
        </w:tc>
        <w:tc>
          <w:tcPr>
            <w:tcW w:w="12118" w:type="dxa"/>
            <w:shd w:val="clear" w:color="auto" w:fill="C5E0B3" w:themeFill="accent6" w:themeFillTint="66"/>
          </w:tcPr>
          <w:p w14:paraId="22E2F3D7" w14:textId="47246EF0" w:rsidR="00EF795E" w:rsidRPr="00EF795E" w:rsidRDefault="00BF25B9" w:rsidP="00EF795E">
            <w:pPr>
              <w:shd w:val="clear" w:color="auto" w:fill="C5E0B3" w:themeFill="accent6" w:themeFillTint="66"/>
              <w:autoSpaceDE w:val="0"/>
              <w:autoSpaceDN w:val="0"/>
              <w:adjustRightInd w:val="0"/>
              <w:rPr>
                <w:rFonts w:cstheme="minorHAnsi"/>
                <w:color w:val="000000" w:themeColor="text1"/>
              </w:rPr>
            </w:pPr>
            <w:hyperlink r:id="rId14" w:anchor="policy-and-action-plan-documents" w:history="1">
              <w:r w:rsidR="000B46F0" w:rsidRPr="008E7B5A">
                <w:rPr>
                  <w:rStyle w:val="Hyperlink"/>
                  <w:rFonts w:eastAsiaTheme="minorEastAsia" w:cstheme="minorHAnsi"/>
                </w:rPr>
                <w:t>Ár nOileáin Bheo, (Our Living Islands)</w:t>
              </w:r>
            </w:hyperlink>
            <w:r w:rsidR="000B46F0" w:rsidRPr="00EF795E">
              <w:rPr>
                <w:rFonts w:eastAsiaTheme="minorEastAsia" w:cstheme="minorHAnsi"/>
                <w:color w:val="000000"/>
              </w:rPr>
              <w:t xml:space="preserve"> National Islands Policy and Action Plan 2023 – 2026 was published following its launch on the 7</w:t>
            </w:r>
            <w:r w:rsidR="000B46F0" w:rsidRPr="00EF795E">
              <w:rPr>
                <w:rFonts w:eastAsiaTheme="minorEastAsia" w:cstheme="minorHAnsi"/>
                <w:color w:val="000000"/>
                <w:vertAlign w:val="superscript"/>
              </w:rPr>
              <w:t>th</w:t>
            </w:r>
            <w:r w:rsidR="000B46F0" w:rsidRPr="00EF795E">
              <w:rPr>
                <w:rFonts w:eastAsiaTheme="minorEastAsia" w:cstheme="minorHAnsi"/>
                <w:color w:val="000000"/>
              </w:rPr>
              <w:t xml:space="preserve"> of June 2023. </w:t>
            </w:r>
            <w:r w:rsidR="00EF795E">
              <w:rPr>
                <w:rFonts w:eastAsiaTheme="minorEastAsia" w:cstheme="minorHAnsi"/>
                <w:color w:val="000000"/>
              </w:rPr>
              <w:t>T</w:t>
            </w:r>
            <w:r w:rsidR="00EF795E" w:rsidRPr="00EF795E">
              <w:rPr>
                <w:rFonts w:cstheme="minorHAnsi"/>
                <w:color w:val="000000" w:themeColor="text1"/>
              </w:rPr>
              <w:t xml:space="preserve">his whole-of-government policy </w:t>
            </w:r>
            <w:r w:rsidR="00EF795E">
              <w:rPr>
                <w:rFonts w:cstheme="minorHAnsi"/>
                <w:color w:val="000000" w:themeColor="text1"/>
              </w:rPr>
              <w:t>was</w:t>
            </w:r>
            <w:r w:rsidR="00EF795E" w:rsidRPr="00EF795E">
              <w:rPr>
                <w:rFonts w:cstheme="minorHAnsi"/>
                <w:color w:val="000000" w:themeColor="text1"/>
              </w:rPr>
              <w:t xml:space="preserve"> developed following an extensive consultation process with the island communities and other stakeholders.</w:t>
            </w:r>
          </w:p>
          <w:p w14:paraId="5E68E482" w14:textId="77777777" w:rsidR="00EF795E" w:rsidRDefault="00EF795E" w:rsidP="00EF795E">
            <w:pPr>
              <w:shd w:val="clear" w:color="auto" w:fill="C5E0B3" w:themeFill="accent6" w:themeFillTint="66"/>
              <w:autoSpaceDE w:val="0"/>
              <w:autoSpaceDN w:val="0"/>
              <w:adjustRightInd w:val="0"/>
              <w:rPr>
                <w:rFonts w:cstheme="minorHAnsi"/>
                <w:color w:val="000000" w:themeColor="text1"/>
              </w:rPr>
            </w:pPr>
          </w:p>
          <w:p w14:paraId="77B1465C" w14:textId="2544E098" w:rsidR="00EF795E" w:rsidRPr="00EF795E" w:rsidRDefault="00EF795E" w:rsidP="00EF795E">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The policy is underpinned by five high-level strategic objectives, identified by islanders themselves as being of key importance for the sustainable future of their communities:</w:t>
            </w:r>
          </w:p>
          <w:p w14:paraId="66E52DA8" w14:textId="77777777" w:rsidR="00EF795E" w:rsidRPr="00EF795E" w:rsidRDefault="00EF795E" w:rsidP="00EF795E">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1. Revitalise population levels on the islands</w:t>
            </w:r>
          </w:p>
          <w:p w14:paraId="01157827" w14:textId="77777777" w:rsidR="00EF795E" w:rsidRPr="00EF795E" w:rsidRDefault="00EF795E" w:rsidP="00EF795E">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2. Diversify island economies</w:t>
            </w:r>
          </w:p>
          <w:p w14:paraId="2FAF15C9" w14:textId="77777777" w:rsidR="00EF795E" w:rsidRPr="00EF795E" w:rsidRDefault="00EF795E" w:rsidP="00EF795E">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3. Enhance Health and Wellbeing services</w:t>
            </w:r>
          </w:p>
          <w:p w14:paraId="6AE37A8A" w14:textId="77777777" w:rsidR="00EF795E" w:rsidRPr="00EF795E" w:rsidRDefault="00EF795E" w:rsidP="00EF795E">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4. Empower Island Communities</w:t>
            </w:r>
          </w:p>
          <w:p w14:paraId="33E0E028" w14:textId="77777777" w:rsidR="00EF795E" w:rsidRPr="00EF795E" w:rsidRDefault="00EF795E" w:rsidP="00EF795E">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5. Build smart sustainable futures</w:t>
            </w:r>
          </w:p>
          <w:p w14:paraId="22DDD0E6" w14:textId="77777777" w:rsidR="00EF795E" w:rsidRDefault="00EF795E" w:rsidP="00EF795E">
            <w:pPr>
              <w:shd w:val="clear" w:color="auto" w:fill="C5E0B3" w:themeFill="accent6" w:themeFillTint="66"/>
              <w:autoSpaceDE w:val="0"/>
              <w:autoSpaceDN w:val="0"/>
              <w:adjustRightInd w:val="0"/>
              <w:rPr>
                <w:rFonts w:cstheme="minorHAnsi"/>
                <w:color w:val="000000" w:themeColor="text1"/>
              </w:rPr>
            </w:pPr>
          </w:p>
          <w:p w14:paraId="6146A9EE" w14:textId="77777777" w:rsidR="00EF795E" w:rsidRDefault="00EF795E" w:rsidP="00EF795E">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The policy is accompanied by an Action Plan for the period 2023-2026 that includes 80 time-bound actions which will be implemented by various stakeholders, led by a nominated government department or State agency.</w:t>
            </w:r>
          </w:p>
          <w:p w14:paraId="73860DD4" w14:textId="4CE0A5D5" w:rsidR="00BC5A4D" w:rsidRPr="00EF795E" w:rsidRDefault="00BC5A4D" w:rsidP="00EF795E">
            <w:pPr>
              <w:shd w:val="clear" w:color="auto" w:fill="C5E0B3" w:themeFill="accent6" w:themeFillTint="66"/>
              <w:autoSpaceDE w:val="0"/>
              <w:autoSpaceDN w:val="0"/>
              <w:adjustRightInd w:val="0"/>
              <w:rPr>
                <w:rFonts w:cstheme="minorHAnsi"/>
                <w:color w:val="000000" w:themeColor="text1"/>
              </w:rPr>
            </w:pPr>
          </w:p>
        </w:tc>
        <w:tc>
          <w:tcPr>
            <w:tcW w:w="2693" w:type="dxa"/>
            <w:shd w:val="clear" w:color="auto" w:fill="C5E0B3" w:themeFill="accent6" w:themeFillTint="66"/>
          </w:tcPr>
          <w:p w14:paraId="78CD69E9" w14:textId="77777777" w:rsidR="000B46F0" w:rsidRPr="00EF795E" w:rsidRDefault="000B46F0" w:rsidP="008E1F38">
            <w:pPr>
              <w:shd w:val="clear" w:color="auto" w:fill="C5E0B3" w:themeFill="accent6" w:themeFillTint="66"/>
              <w:autoSpaceDE w:val="0"/>
              <w:autoSpaceDN w:val="0"/>
              <w:adjustRightInd w:val="0"/>
              <w:jc w:val="center"/>
              <w:rPr>
                <w:rFonts w:eastAsiaTheme="minorEastAsia" w:cstheme="minorHAnsi"/>
                <w:color w:val="000000"/>
              </w:rPr>
            </w:pPr>
            <w:r w:rsidRPr="00EF795E">
              <w:rPr>
                <w:rFonts w:eastAsiaTheme="minorEastAsia" w:cstheme="minorHAnsi"/>
                <w:color w:val="000000"/>
              </w:rPr>
              <w:t>Completed</w:t>
            </w:r>
          </w:p>
        </w:tc>
      </w:tr>
      <w:tr w:rsidR="000B46F0" w:rsidRPr="00EF795E" w14:paraId="4EC60378" w14:textId="77777777" w:rsidTr="00CF1A37">
        <w:tc>
          <w:tcPr>
            <w:tcW w:w="4928" w:type="dxa"/>
            <w:shd w:val="clear" w:color="auto" w:fill="C5E0B3" w:themeFill="accent6" w:themeFillTint="66"/>
          </w:tcPr>
          <w:p w14:paraId="672E6BB0"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 xml:space="preserve">Ensure that the Local Improvement Scheme is funded into the future. </w:t>
            </w:r>
          </w:p>
        </w:tc>
        <w:tc>
          <w:tcPr>
            <w:tcW w:w="12118" w:type="dxa"/>
            <w:shd w:val="clear" w:color="auto" w:fill="C5E0B3" w:themeFill="accent6" w:themeFillTint="66"/>
          </w:tcPr>
          <w:p w14:paraId="3470C65E" w14:textId="2EF46D2D" w:rsidR="002073A8" w:rsidRDefault="002073A8" w:rsidP="002073A8">
            <w:pPr>
              <w:shd w:val="clear" w:color="auto" w:fill="C5E0B3" w:themeFill="accent6" w:themeFillTint="66"/>
              <w:autoSpaceDE w:val="0"/>
              <w:autoSpaceDN w:val="0"/>
              <w:adjustRightInd w:val="0"/>
              <w:rPr>
                <w:rFonts w:eastAsiaTheme="minorEastAsia" w:cstheme="minorHAnsi"/>
                <w:color w:val="000000" w:themeColor="text1"/>
              </w:rPr>
            </w:pPr>
            <w:r w:rsidRPr="002073A8">
              <w:rPr>
                <w:rFonts w:eastAsiaTheme="minorEastAsia" w:cstheme="minorHAnsi"/>
                <w:color w:val="000000" w:themeColor="text1"/>
              </w:rPr>
              <w:t xml:space="preserve">The Local Improvement Scheme has continued to receive record funding. </w:t>
            </w:r>
          </w:p>
          <w:p w14:paraId="720D26B2" w14:textId="77777777" w:rsidR="002073A8" w:rsidRPr="002073A8" w:rsidRDefault="002073A8" w:rsidP="002073A8">
            <w:pPr>
              <w:shd w:val="clear" w:color="auto" w:fill="C5E0B3" w:themeFill="accent6" w:themeFillTint="66"/>
              <w:autoSpaceDE w:val="0"/>
              <w:autoSpaceDN w:val="0"/>
              <w:adjustRightInd w:val="0"/>
              <w:rPr>
                <w:rFonts w:eastAsiaTheme="minorEastAsia" w:cstheme="minorHAnsi"/>
                <w:color w:val="000000" w:themeColor="text1"/>
              </w:rPr>
            </w:pPr>
          </w:p>
          <w:p w14:paraId="15BE027C" w14:textId="6F5928CD" w:rsidR="002073A8" w:rsidRPr="002073A8" w:rsidRDefault="002073A8" w:rsidP="002073A8">
            <w:pPr>
              <w:shd w:val="clear" w:color="auto" w:fill="C5E0B3" w:themeFill="accent6" w:themeFillTint="66"/>
              <w:autoSpaceDE w:val="0"/>
              <w:autoSpaceDN w:val="0"/>
              <w:adjustRightInd w:val="0"/>
              <w:rPr>
                <w:rFonts w:eastAsiaTheme="minorEastAsia" w:cstheme="minorHAnsi"/>
                <w:color w:val="000000" w:themeColor="text1"/>
              </w:rPr>
            </w:pPr>
            <w:r w:rsidRPr="002073A8">
              <w:rPr>
                <w:rFonts w:eastAsiaTheme="minorEastAsia" w:cstheme="minorHAnsi"/>
                <w:color w:val="000000" w:themeColor="text1"/>
              </w:rPr>
              <w:t>In April 2024, the Minister announced an allocation of €40 million for repairs and improvement works on non-public rural roads and laneways under the Local Improvement Scheme (LIS). The allocation of funds is across 2024 and 2025.</w:t>
            </w:r>
          </w:p>
          <w:p w14:paraId="195AA52D" w14:textId="1FA0D970" w:rsidR="002073A8" w:rsidRDefault="002073A8" w:rsidP="002073A8">
            <w:pPr>
              <w:shd w:val="clear" w:color="auto" w:fill="C5E0B3" w:themeFill="accent6" w:themeFillTint="66"/>
              <w:autoSpaceDE w:val="0"/>
              <w:autoSpaceDN w:val="0"/>
              <w:adjustRightInd w:val="0"/>
              <w:rPr>
                <w:rFonts w:eastAsiaTheme="minorEastAsia" w:cstheme="minorHAnsi"/>
                <w:color w:val="000000" w:themeColor="text1"/>
              </w:rPr>
            </w:pPr>
            <w:r w:rsidRPr="002073A8">
              <w:rPr>
                <w:rFonts w:eastAsiaTheme="minorEastAsia" w:cstheme="minorHAnsi"/>
                <w:color w:val="000000" w:themeColor="text1"/>
              </w:rPr>
              <w:t>This investment demonstrates the continued commitment of the Minister to vital road infrastructure in rural Ireland, providing access to people’s homes and farms.</w:t>
            </w:r>
          </w:p>
          <w:p w14:paraId="78C263F8" w14:textId="77777777" w:rsidR="002073A8" w:rsidRPr="002073A8" w:rsidRDefault="002073A8" w:rsidP="002073A8">
            <w:pPr>
              <w:shd w:val="clear" w:color="auto" w:fill="C5E0B3" w:themeFill="accent6" w:themeFillTint="66"/>
              <w:autoSpaceDE w:val="0"/>
              <w:autoSpaceDN w:val="0"/>
              <w:adjustRightInd w:val="0"/>
              <w:rPr>
                <w:rFonts w:eastAsiaTheme="minorEastAsia" w:cstheme="minorHAnsi"/>
                <w:color w:val="000000" w:themeColor="text1"/>
              </w:rPr>
            </w:pPr>
          </w:p>
          <w:p w14:paraId="7AE62F40" w14:textId="0C094839" w:rsidR="00EF795E" w:rsidRPr="00EF795E" w:rsidRDefault="002073A8" w:rsidP="002073A8">
            <w:pPr>
              <w:shd w:val="clear" w:color="auto" w:fill="C5E0B3" w:themeFill="accent6" w:themeFillTint="66"/>
              <w:autoSpaceDE w:val="0"/>
              <w:autoSpaceDN w:val="0"/>
              <w:adjustRightInd w:val="0"/>
              <w:rPr>
                <w:rFonts w:eastAsiaTheme="minorEastAsia" w:cstheme="minorHAnsi"/>
                <w:color w:val="000000" w:themeColor="text1"/>
              </w:rPr>
            </w:pPr>
            <w:r w:rsidRPr="002073A8">
              <w:rPr>
                <w:rFonts w:eastAsiaTheme="minorEastAsia" w:cstheme="minorHAnsi"/>
                <w:color w:val="000000" w:themeColor="text1"/>
              </w:rPr>
              <w:t>This a</w:t>
            </w:r>
            <w:r>
              <w:rPr>
                <w:rFonts w:eastAsiaTheme="minorEastAsia" w:cstheme="minorHAnsi"/>
                <w:color w:val="000000" w:themeColor="text1"/>
              </w:rPr>
              <w:t>nnouncement marked</w:t>
            </w:r>
            <w:r w:rsidRPr="002073A8">
              <w:rPr>
                <w:rFonts w:eastAsiaTheme="minorEastAsia" w:cstheme="minorHAnsi"/>
                <w:color w:val="000000" w:themeColor="text1"/>
              </w:rPr>
              <w:t xml:space="preserve"> a total allocation of almost €170 million</w:t>
            </w:r>
            <w:r>
              <w:rPr>
                <w:rFonts w:eastAsiaTheme="minorEastAsia" w:cstheme="minorHAnsi"/>
                <w:color w:val="000000" w:themeColor="text1"/>
              </w:rPr>
              <w:t xml:space="preserve"> to the Local Improvement Scheme</w:t>
            </w:r>
            <w:r w:rsidRPr="002073A8">
              <w:rPr>
                <w:rFonts w:eastAsiaTheme="minorEastAsia" w:cstheme="minorHAnsi"/>
                <w:color w:val="000000" w:themeColor="text1"/>
              </w:rPr>
              <w:t xml:space="preserve"> since</w:t>
            </w:r>
            <w:r>
              <w:rPr>
                <w:rFonts w:eastAsiaTheme="minorEastAsia" w:cstheme="minorHAnsi"/>
                <w:color w:val="000000" w:themeColor="text1"/>
              </w:rPr>
              <w:t xml:space="preserve"> its </w:t>
            </w:r>
            <w:r w:rsidRPr="002073A8">
              <w:rPr>
                <w:rFonts w:eastAsiaTheme="minorEastAsia" w:cstheme="minorHAnsi"/>
                <w:color w:val="000000" w:themeColor="text1"/>
              </w:rPr>
              <w:t>reintroduction in 2017</w:t>
            </w:r>
            <w:r w:rsidR="0002426A">
              <w:rPr>
                <w:rFonts w:eastAsiaTheme="minorEastAsia" w:cstheme="minorHAnsi"/>
                <w:color w:val="000000" w:themeColor="text1"/>
              </w:rPr>
              <w:t xml:space="preserve">. </w:t>
            </w:r>
            <w:r w:rsidR="0002426A" w:rsidRPr="0002426A">
              <w:rPr>
                <w:rFonts w:eastAsiaTheme="minorEastAsia" w:cstheme="minorHAnsi"/>
                <w:color w:val="000000" w:themeColor="text1"/>
              </w:rPr>
              <w:t>Up to the end of 2023, LIS has upgraded over 4,000 non-public roads and lanes, benefiting nearly 20,000 landowners and residents in these rural areas.</w:t>
            </w:r>
          </w:p>
        </w:tc>
        <w:tc>
          <w:tcPr>
            <w:tcW w:w="2693" w:type="dxa"/>
            <w:shd w:val="clear" w:color="auto" w:fill="C5E0B3" w:themeFill="accent6" w:themeFillTint="66"/>
          </w:tcPr>
          <w:p w14:paraId="6BAFB52A" w14:textId="77777777" w:rsidR="000B46F0" w:rsidRPr="00EF795E" w:rsidRDefault="000B46F0" w:rsidP="008E1F38">
            <w:pPr>
              <w:shd w:val="clear" w:color="auto" w:fill="C5E0B3" w:themeFill="accent6" w:themeFillTint="66"/>
              <w:autoSpaceDE w:val="0"/>
              <w:autoSpaceDN w:val="0"/>
              <w:adjustRightInd w:val="0"/>
              <w:jc w:val="center"/>
              <w:rPr>
                <w:rFonts w:cstheme="minorHAnsi"/>
                <w:color w:val="000000" w:themeColor="text1"/>
              </w:rPr>
            </w:pPr>
            <w:r w:rsidRPr="00EF795E">
              <w:rPr>
                <w:rFonts w:cstheme="minorHAnsi"/>
              </w:rPr>
              <w:t>Ongoing</w:t>
            </w:r>
          </w:p>
        </w:tc>
      </w:tr>
      <w:tr w:rsidR="000B46F0" w:rsidRPr="00EF795E" w14:paraId="5F445024" w14:textId="77777777" w:rsidTr="00CF1A37">
        <w:tc>
          <w:tcPr>
            <w:tcW w:w="4928" w:type="dxa"/>
            <w:shd w:val="clear" w:color="auto" w:fill="C5E0B3" w:themeFill="accent6" w:themeFillTint="66"/>
          </w:tcPr>
          <w:p w14:paraId="4F92B083"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Establish a Rural Youth Assembly, as part of a National Youth Assembly, to allow young people in rural Ireland to identify and influence policy issues that impact on them and their future.</w:t>
            </w:r>
          </w:p>
          <w:p w14:paraId="498A7B77"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(DRCD lead, with DCEDIY)</w:t>
            </w:r>
          </w:p>
        </w:tc>
        <w:tc>
          <w:tcPr>
            <w:tcW w:w="12118" w:type="dxa"/>
            <w:shd w:val="clear" w:color="auto" w:fill="C5E0B3" w:themeFill="accent6" w:themeFillTint="66"/>
          </w:tcPr>
          <w:p w14:paraId="6E638E53" w14:textId="77777777" w:rsid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 xml:space="preserve">Three Rural Youth Assembly meetings have taken place to date. </w:t>
            </w:r>
          </w:p>
          <w:p w14:paraId="60AF50F5" w14:textId="55A6785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 xml:space="preserve">The fourth annual Rural Youth Assembly will take place in Q4 2024.  </w:t>
            </w:r>
          </w:p>
        </w:tc>
        <w:tc>
          <w:tcPr>
            <w:tcW w:w="2693" w:type="dxa"/>
            <w:shd w:val="clear" w:color="auto" w:fill="C5E0B3" w:themeFill="accent6" w:themeFillTint="66"/>
          </w:tcPr>
          <w:p w14:paraId="40C1A0D8" w14:textId="77777777" w:rsidR="000B46F0" w:rsidRPr="00EF795E" w:rsidRDefault="000B46F0" w:rsidP="008E1F38">
            <w:pPr>
              <w:shd w:val="clear" w:color="auto" w:fill="C5E0B3" w:themeFill="accent6" w:themeFillTint="66"/>
              <w:autoSpaceDE w:val="0"/>
              <w:autoSpaceDN w:val="0"/>
              <w:adjustRightInd w:val="0"/>
              <w:jc w:val="center"/>
              <w:rPr>
                <w:rFonts w:cstheme="minorHAnsi"/>
                <w:color w:val="000000" w:themeColor="text1"/>
              </w:rPr>
            </w:pPr>
            <w:r w:rsidRPr="00EF795E">
              <w:rPr>
                <w:rFonts w:cstheme="minorHAnsi"/>
                <w:color w:val="000000" w:themeColor="text1"/>
              </w:rPr>
              <w:t>Completed</w:t>
            </w:r>
          </w:p>
        </w:tc>
      </w:tr>
      <w:tr w:rsidR="000B46F0" w:rsidRPr="00EF795E" w14:paraId="6E75071F" w14:textId="77777777" w:rsidTr="00CF1A37">
        <w:tc>
          <w:tcPr>
            <w:tcW w:w="4928" w:type="dxa"/>
            <w:shd w:val="clear" w:color="auto" w:fill="C5E0B3" w:themeFill="accent6" w:themeFillTint="66"/>
          </w:tcPr>
          <w:p w14:paraId="2D1F870B" w14:textId="18457B20" w:rsidR="000B46F0" w:rsidRPr="00EF795E" w:rsidRDefault="000B46F0" w:rsidP="00EF795E">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Encourage young people to participate in community development initiatives through special awards for youth led involvement, e.g. the Tidy Towns Youth Award.</w:t>
            </w:r>
          </w:p>
        </w:tc>
        <w:tc>
          <w:tcPr>
            <w:tcW w:w="12118" w:type="dxa"/>
            <w:shd w:val="clear" w:color="auto" w:fill="C5E0B3" w:themeFill="accent6" w:themeFillTint="66"/>
          </w:tcPr>
          <w:p w14:paraId="6DDC25E2" w14:textId="77777777" w:rsidR="00EF795E" w:rsidRDefault="000B46F0" w:rsidP="008E1F38">
            <w:pPr>
              <w:rPr>
                <w:rFonts w:eastAsiaTheme="minorEastAsia" w:cstheme="minorHAnsi"/>
                <w:color w:val="000000"/>
              </w:rPr>
            </w:pPr>
            <w:r w:rsidRPr="00EF795E">
              <w:rPr>
                <w:rFonts w:eastAsiaTheme="minorEastAsia" w:cstheme="minorHAnsi"/>
                <w:color w:val="000000"/>
              </w:rPr>
              <w:t xml:space="preserve">A new Young Persons in Tidy Towns award was incorporated in to the 2021 competition. </w:t>
            </w:r>
          </w:p>
          <w:p w14:paraId="2D8C7CFA" w14:textId="46BA22F7" w:rsidR="000B46F0" w:rsidRPr="00EF795E" w:rsidRDefault="000B46F0" w:rsidP="008E1F38">
            <w:pPr>
              <w:rPr>
                <w:rFonts w:cstheme="minorHAnsi"/>
                <w:color w:val="000000" w:themeColor="text1"/>
              </w:rPr>
            </w:pPr>
            <w:r w:rsidRPr="00EF795E">
              <w:rPr>
                <w:rFonts w:eastAsiaTheme="minorEastAsia" w:cstheme="minorHAnsi"/>
                <w:color w:val="000000"/>
              </w:rPr>
              <w:t>This award is now a permanent fixture in the TidyTowns Special Awards.</w:t>
            </w:r>
          </w:p>
        </w:tc>
        <w:tc>
          <w:tcPr>
            <w:tcW w:w="2693" w:type="dxa"/>
            <w:shd w:val="clear" w:color="auto" w:fill="C5E0B3" w:themeFill="accent6" w:themeFillTint="66"/>
          </w:tcPr>
          <w:p w14:paraId="01A33D58" w14:textId="77777777" w:rsidR="000B46F0" w:rsidRPr="00EF795E" w:rsidRDefault="000B46F0" w:rsidP="008E1F38">
            <w:pPr>
              <w:jc w:val="center"/>
              <w:rPr>
                <w:rFonts w:cstheme="minorHAnsi"/>
                <w:color w:val="000000"/>
              </w:rPr>
            </w:pPr>
            <w:r w:rsidRPr="00EF795E">
              <w:rPr>
                <w:rFonts w:cstheme="minorHAnsi"/>
              </w:rPr>
              <w:t>Completed</w:t>
            </w:r>
          </w:p>
        </w:tc>
      </w:tr>
      <w:tr w:rsidR="000B46F0" w:rsidRPr="00EF795E" w14:paraId="6730339D" w14:textId="77777777" w:rsidTr="00CF1A37">
        <w:tc>
          <w:tcPr>
            <w:tcW w:w="4928" w:type="dxa"/>
            <w:shd w:val="clear" w:color="auto" w:fill="C5E0B3" w:themeFill="accent6" w:themeFillTint="66"/>
          </w:tcPr>
          <w:p w14:paraId="677229C2"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Build on Ireland’s first ever National Social Enterprise Policy.</w:t>
            </w:r>
          </w:p>
        </w:tc>
        <w:tc>
          <w:tcPr>
            <w:tcW w:w="12118" w:type="dxa"/>
            <w:shd w:val="clear" w:color="auto" w:fill="C5E0B3" w:themeFill="accent6" w:themeFillTint="66"/>
          </w:tcPr>
          <w:p w14:paraId="1945CEC3" w14:textId="1899EEC1" w:rsidR="000B46F0" w:rsidRPr="00EF795E" w:rsidRDefault="00BF25B9" w:rsidP="008E1F38">
            <w:pPr>
              <w:rPr>
                <w:rFonts w:cstheme="minorHAnsi"/>
              </w:rPr>
            </w:pPr>
            <w:hyperlink r:id="rId15" w:history="1">
              <w:r w:rsidR="000B46F0" w:rsidRPr="00482F79">
                <w:rPr>
                  <w:rStyle w:val="Hyperlink"/>
                  <w:rFonts w:cstheme="minorHAnsi"/>
                  <w:i/>
                </w:rPr>
                <w:t>Trading for Impact</w:t>
              </w:r>
            </w:hyperlink>
            <w:r w:rsidR="009441B1">
              <w:rPr>
                <w:rFonts w:cstheme="minorHAnsi"/>
                <w:i/>
              </w:rPr>
              <w:t>:</w:t>
            </w:r>
            <w:r w:rsidR="000B46F0" w:rsidRPr="00EF795E">
              <w:rPr>
                <w:rFonts w:cstheme="minorHAnsi"/>
              </w:rPr>
              <w:t xml:space="preserve"> the National Social Enterprise Policy 2024-2027 was launched in July 2024.</w:t>
            </w:r>
          </w:p>
          <w:p w14:paraId="587C2BA1" w14:textId="77777777" w:rsidR="000B46F0" w:rsidRPr="00EF795E" w:rsidRDefault="000B46F0" w:rsidP="008E1F38">
            <w:pPr>
              <w:rPr>
                <w:rFonts w:cstheme="minorHAnsi"/>
              </w:rPr>
            </w:pPr>
          </w:p>
          <w:p w14:paraId="2B8E83C8" w14:textId="3266CF48" w:rsidR="000B46F0" w:rsidRPr="00EF795E" w:rsidRDefault="000B46F0" w:rsidP="008E1F38">
            <w:pPr>
              <w:rPr>
                <w:rFonts w:cstheme="minorHAnsi"/>
              </w:rPr>
            </w:pPr>
            <w:r w:rsidRPr="00EF795E">
              <w:rPr>
                <w:rFonts w:cstheme="minorHAnsi"/>
              </w:rPr>
              <w:t>The policy is informed by an updated evidence base comprising an OECD Review of Social Enterprise in Ireland, a National Economic and Social Council’s (NESC) Review of Social Enterprise on the Island of Ireland and a Baseline Data Collection Exercise.</w:t>
            </w:r>
          </w:p>
          <w:p w14:paraId="575A7BED" w14:textId="77777777" w:rsidR="000B46F0" w:rsidRPr="00EF795E" w:rsidRDefault="000B46F0" w:rsidP="008E1F38">
            <w:pPr>
              <w:rPr>
                <w:rFonts w:cstheme="minorHAnsi"/>
              </w:rPr>
            </w:pPr>
          </w:p>
          <w:p w14:paraId="493FC10F" w14:textId="516D2336" w:rsidR="000B46F0" w:rsidRPr="00EF795E" w:rsidRDefault="000B46F0" w:rsidP="008E1F38">
            <w:pPr>
              <w:rPr>
                <w:rFonts w:cstheme="minorHAnsi"/>
              </w:rPr>
            </w:pPr>
            <w:r w:rsidRPr="00EF795E">
              <w:rPr>
                <w:rFonts w:cstheme="minorHAnsi"/>
              </w:rPr>
              <w:t xml:space="preserve">An extensive consultation process took place which included six Regional Stakeholder Events, a series of bi-lateral meetings between </w:t>
            </w:r>
            <w:r w:rsidR="00EF795E">
              <w:rPr>
                <w:rFonts w:cstheme="minorHAnsi"/>
              </w:rPr>
              <w:t xml:space="preserve">Department </w:t>
            </w:r>
            <w:r w:rsidRPr="00EF795E">
              <w:rPr>
                <w:rFonts w:cstheme="minorHAnsi"/>
              </w:rPr>
              <w:t xml:space="preserve">officials and </w:t>
            </w:r>
            <w:r w:rsidR="00EF795E">
              <w:rPr>
                <w:rFonts w:cstheme="minorHAnsi"/>
              </w:rPr>
              <w:t>key stakeholders, and a public c</w:t>
            </w:r>
            <w:r w:rsidRPr="00EF795E">
              <w:rPr>
                <w:rFonts w:cstheme="minorHAnsi"/>
              </w:rPr>
              <w:t>onsultation which received 44 submissions.</w:t>
            </w:r>
          </w:p>
          <w:p w14:paraId="2DDE2C8D" w14:textId="055018BF" w:rsidR="000B46F0" w:rsidRPr="00EF795E" w:rsidRDefault="000B46F0" w:rsidP="008E1F38">
            <w:pPr>
              <w:rPr>
                <w:rFonts w:cstheme="minorHAnsi"/>
              </w:rPr>
            </w:pPr>
            <w:r w:rsidRPr="00EF795E">
              <w:rPr>
                <w:rFonts w:cstheme="minorHAnsi"/>
              </w:rPr>
              <w:t>This new policy has been designed to cultivate and sustain a strong and impactful social enterprise sector in Ireland that enriches the social, environmental, and economic wellbeing of our communities.</w:t>
            </w:r>
          </w:p>
          <w:p w14:paraId="4974BFE1" w14:textId="77777777" w:rsidR="000B46F0" w:rsidRPr="00EF795E" w:rsidRDefault="000B46F0" w:rsidP="008E1F38">
            <w:pPr>
              <w:rPr>
                <w:rFonts w:cstheme="minorHAnsi"/>
              </w:rPr>
            </w:pPr>
          </w:p>
          <w:p w14:paraId="5AD60930" w14:textId="6C0C1DAB" w:rsidR="000B46F0" w:rsidRPr="00EF795E" w:rsidRDefault="000B46F0" w:rsidP="008E1F38">
            <w:pPr>
              <w:rPr>
                <w:rFonts w:cstheme="minorHAnsi"/>
              </w:rPr>
            </w:pPr>
            <w:r w:rsidRPr="00EF795E">
              <w:rPr>
                <w:rFonts w:cstheme="minorHAnsi"/>
              </w:rPr>
              <w:t xml:space="preserve">The policy details five key objectives: </w:t>
            </w:r>
            <w:r w:rsidRPr="00EF795E">
              <w:rPr>
                <w:rFonts w:cstheme="minorHAnsi"/>
              </w:rPr>
              <w:tab/>
            </w:r>
          </w:p>
          <w:p w14:paraId="0EC4DDE0" w14:textId="77777777" w:rsidR="00EF795E" w:rsidRDefault="000B46F0" w:rsidP="008E1F38">
            <w:pPr>
              <w:rPr>
                <w:rFonts w:cstheme="minorHAnsi"/>
              </w:rPr>
            </w:pPr>
            <w:r w:rsidRPr="00EF795E">
              <w:rPr>
                <w:rFonts w:cstheme="minorHAnsi"/>
              </w:rPr>
              <w:t xml:space="preserve">1. Building Awareness of Social Enterprise </w:t>
            </w:r>
          </w:p>
          <w:p w14:paraId="07E1BAE9" w14:textId="39A0DD6C" w:rsidR="00EF795E" w:rsidRDefault="000B46F0" w:rsidP="008E1F38">
            <w:pPr>
              <w:rPr>
                <w:rFonts w:cstheme="minorHAnsi"/>
              </w:rPr>
            </w:pPr>
            <w:r w:rsidRPr="00EF795E">
              <w:rPr>
                <w:rFonts w:cstheme="minorHAnsi"/>
              </w:rPr>
              <w:t>2.</w:t>
            </w:r>
            <w:r w:rsidR="00EF795E">
              <w:rPr>
                <w:rFonts w:cstheme="minorHAnsi"/>
              </w:rPr>
              <w:t xml:space="preserve"> </w:t>
            </w:r>
            <w:r w:rsidRPr="00EF795E">
              <w:rPr>
                <w:rFonts w:cstheme="minorHAnsi"/>
              </w:rPr>
              <w:t xml:space="preserve">Growing and Sustaining Social Enterprise </w:t>
            </w:r>
          </w:p>
          <w:p w14:paraId="705095AC" w14:textId="1F50996C" w:rsidR="000B46F0" w:rsidRPr="00EF795E" w:rsidRDefault="00EF795E" w:rsidP="008E1F38">
            <w:pPr>
              <w:rPr>
                <w:rFonts w:cstheme="minorHAnsi"/>
              </w:rPr>
            </w:pPr>
            <w:r>
              <w:rPr>
                <w:rFonts w:cstheme="minorHAnsi"/>
              </w:rPr>
              <w:t xml:space="preserve">3. </w:t>
            </w:r>
            <w:r w:rsidR="000B46F0" w:rsidRPr="00EF795E">
              <w:rPr>
                <w:rFonts w:cstheme="minorHAnsi"/>
              </w:rPr>
              <w:t xml:space="preserve">Supporting the Green Transition </w:t>
            </w:r>
          </w:p>
          <w:p w14:paraId="3CC4B95B" w14:textId="3BD5F251" w:rsidR="00EF795E" w:rsidRDefault="000B46F0" w:rsidP="008E1F38">
            <w:pPr>
              <w:rPr>
                <w:rFonts w:cstheme="minorHAnsi"/>
              </w:rPr>
            </w:pPr>
            <w:r w:rsidRPr="00EF795E">
              <w:rPr>
                <w:rFonts w:cstheme="minorHAnsi"/>
              </w:rPr>
              <w:t>4.</w:t>
            </w:r>
            <w:r w:rsidR="00EF795E">
              <w:rPr>
                <w:rFonts w:cstheme="minorHAnsi"/>
              </w:rPr>
              <w:t xml:space="preserve"> </w:t>
            </w:r>
            <w:r w:rsidRPr="00EF795E">
              <w:rPr>
                <w:rFonts w:cstheme="minorHAnsi"/>
              </w:rPr>
              <w:t>National and International Engagement</w:t>
            </w:r>
          </w:p>
          <w:p w14:paraId="10F5A78D" w14:textId="2276C4E2" w:rsidR="000B46F0" w:rsidRPr="00EF795E" w:rsidRDefault="000B46F0" w:rsidP="008E1F38">
            <w:pPr>
              <w:rPr>
                <w:rFonts w:cstheme="minorHAnsi"/>
              </w:rPr>
            </w:pPr>
            <w:r w:rsidRPr="00EF795E">
              <w:rPr>
                <w:rFonts w:cstheme="minorHAnsi"/>
              </w:rPr>
              <w:t>5.</w:t>
            </w:r>
            <w:r w:rsidR="00EF795E">
              <w:rPr>
                <w:rFonts w:cstheme="minorHAnsi"/>
              </w:rPr>
              <w:t xml:space="preserve"> </w:t>
            </w:r>
            <w:r w:rsidRPr="00EF795E">
              <w:rPr>
                <w:rFonts w:cstheme="minorHAnsi"/>
              </w:rPr>
              <w:t>Impact Measurement</w:t>
            </w:r>
          </w:p>
          <w:p w14:paraId="3B29871E" w14:textId="522C3377" w:rsidR="000B46F0" w:rsidRPr="00EF795E" w:rsidRDefault="000B46F0" w:rsidP="008E1F38">
            <w:pPr>
              <w:rPr>
                <w:rFonts w:cstheme="minorHAnsi"/>
              </w:rPr>
            </w:pPr>
          </w:p>
          <w:p w14:paraId="43315AE5" w14:textId="38282B75" w:rsidR="000B46F0" w:rsidRPr="00EF795E" w:rsidRDefault="000B46F0" w:rsidP="008E1F38">
            <w:pPr>
              <w:rPr>
                <w:rFonts w:cstheme="minorHAnsi"/>
              </w:rPr>
            </w:pPr>
            <w:r w:rsidRPr="00EF795E">
              <w:rPr>
                <w:rFonts w:cstheme="minorHAnsi"/>
              </w:rPr>
              <w:t xml:space="preserve">The Minster also launched a new €2m Dormant Accounts funded ‘Growing Social Enterprise' fund to provide capital supports that assist enterprises to achieve their social, environmental and economic objectives, and to improve their sustainability and impact. </w:t>
            </w:r>
          </w:p>
          <w:p w14:paraId="0462615A" w14:textId="38DBAA46" w:rsidR="000B46F0" w:rsidRPr="00EF795E" w:rsidRDefault="000B46F0" w:rsidP="008E1F38">
            <w:pPr>
              <w:rPr>
                <w:rFonts w:cstheme="minorHAnsi"/>
              </w:rPr>
            </w:pPr>
            <w:r w:rsidRPr="00EF795E">
              <w:rPr>
                <w:rFonts w:cstheme="minorHAnsi"/>
              </w:rPr>
              <w:t>The fund will benefit up to 100 social enterprises nationwide, with grants ranging from €1,500 to €100,000</w:t>
            </w:r>
          </w:p>
          <w:p w14:paraId="21B8D763" w14:textId="3B22F6C1" w:rsidR="000B46F0" w:rsidRPr="00EF795E" w:rsidRDefault="000B46F0" w:rsidP="008E1F38">
            <w:pPr>
              <w:rPr>
                <w:rFonts w:cstheme="minorHAnsi"/>
              </w:rPr>
            </w:pPr>
          </w:p>
        </w:tc>
        <w:tc>
          <w:tcPr>
            <w:tcW w:w="2693" w:type="dxa"/>
            <w:shd w:val="clear" w:color="auto" w:fill="C5E0B3" w:themeFill="accent6" w:themeFillTint="66"/>
          </w:tcPr>
          <w:p w14:paraId="4B2BB79F" w14:textId="77777777" w:rsidR="000B46F0" w:rsidRPr="00EF795E" w:rsidRDefault="000B46F0" w:rsidP="008E1F38">
            <w:pPr>
              <w:jc w:val="center"/>
              <w:rPr>
                <w:rFonts w:cstheme="minorHAnsi"/>
              </w:rPr>
            </w:pPr>
            <w:r w:rsidRPr="00EF795E">
              <w:rPr>
                <w:rFonts w:cstheme="minorHAnsi"/>
              </w:rPr>
              <w:lastRenderedPageBreak/>
              <w:t>Ongoing</w:t>
            </w:r>
          </w:p>
        </w:tc>
      </w:tr>
      <w:tr w:rsidR="000B46F0" w:rsidRPr="00EF795E" w14:paraId="08270ED3" w14:textId="77777777" w:rsidTr="00CF1A37">
        <w:tc>
          <w:tcPr>
            <w:tcW w:w="4928" w:type="dxa"/>
            <w:shd w:val="clear" w:color="auto" w:fill="C5E0B3" w:themeFill="accent6" w:themeFillTint="66"/>
          </w:tcPr>
          <w:p w14:paraId="07F2EDB8"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Publish a strategy to support volunteering, including the development of a comprehensive supporting infrastructure and measures to disseminate best practice.</w:t>
            </w:r>
          </w:p>
        </w:tc>
        <w:tc>
          <w:tcPr>
            <w:tcW w:w="12118" w:type="dxa"/>
            <w:shd w:val="clear" w:color="auto" w:fill="C5E0B3" w:themeFill="accent6" w:themeFillTint="66"/>
          </w:tcPr>
          <w:p w14:paraId="15D43CC9" w14:textId="084A9AF7" w:rsidR="00EF795E" w:rsidRDefault="00BF25B9" w:rsidP="008E1F38">
            <w:pPr>
              <w:autoSpaceDE w:val="0"/>
              <w:autoSpaceDN w:val="0"/>
              <w:adjustRightInd w:val="0"/>
              <w:rPr>
                <w:rFonts w:eastAsiaTheme="minorEastAsia" w:cstheme="minorHAnsi"/>
                <w:color w:val="000000" w:themeColor="text1"/>
              </w:rPr>
            </w:pPr>
            <w:hyperlink r:id="rId16" w:anchor=":~:text=The%20National%20Volunteering%20Strategy%20(2021%20-%202025)%20sets%20out%20a" w:history="1">
              <w:r w:rsidR="000B46F0" w:rsidRPr="00DB5294">
                <w:rPr>
                  <w:rStyle w:val="Hyperlink"/>
                  <w:rFonts w:cstheme="minorHAnsi"/>
                </w:rPr>
                <w:t>The National Volunteering Strategy</w:t>
              </w:r>
            </w:hyperlink>
            <w:r w:rsidR="000B46F0" w:rsidRPr="00EF795E">
              <w:rPr>
                <w:rFonts w:cstheme="minorHAnsi"/>
                <w:color w:val="000000" w:themeColor="text1"/>
              </w:rPr>
              <w:t xml:space="preserve"> 2021-2025 was published on the 5th Decemb</w:t>
            </w:r>
            <w:r w:rsidR="000B46F0" w:rsidRPr="00EF795E">
              <w:rPr>
                <w:rFonts w:eastAsiaTheme="minorEastAsia" w:cstheme="minorHAnsi"/>
                <w:color w:val="000000" w:themeColor="text1"/>
              </w:rPr>
              <w:t xml:space="preserve">er 2020. </w:t>
            </w:r>
          </w:p>
          <w:p w14:paraId="3040B36A" w14:textId="77777777" w:rsidR="00DB5294" w:rsidRDefault="00DB5294" w:rsidP="008E1F38">
            <w:pPr>
              <w:autoSpaceDE w:val="0"/>
              <w:autoSpaceDN w:val="0"/>
              <w:adjustRightInd w:val="0"/>
              <w:rPr>
                <w:rFonts w:eastAsiaTheme="minorEastAsia" w:cstheme="minorHAnsi"/>
                <w:color w:val="000000" w:themeColor="text1"/>
              </w:rPr>
            </w:pPr>
          </w:p>
          <w:p w14:paraId="2E72DE5E" w14:textId="7BA1E71E" w:rsidR="00DB5294" w:rsidRPr="00DB5294" w:rsidRDefault="00DB5294" w:rsidP="00DB5294">
            <w:pPr>
              <w:autoSpaceDE w:val="0"/>
              <w:autoSpaceDN w:val="0"/>
              <w:adjustRightInd w:val="0"/>
              <w:rPr>
                <w:rFonts w:eastAsiaTheme="minorEastAsia" w:cstheme="minorHAnsi"/>
                <w:color w:val="000000" w:themeColor="text1"/>
              </w:rPr>
            </w:pPr>
            <w:r w:rsidRPr="00DB5294">
              <w:rPr>
                <w:rFonts w:eastAsiaTheme="minorEastAsia" w:cstheme="minorHAnsi"/>
                <w:color w:val="000000" w:themeColor="text1"/>
              </w:rPr>
              <w:t xml:space="preserve">This Strategy seeks to develop and enhance the role of the volunteer and encourage volunteering as a means of developing vibrant communities. It will provide the framework and the building blocks to realise this vision, through the implementation of the </w:t>
            </w:r>
            <w:r>
              <w:rPr>
                <w:rFonts w:eastAsiaTheme="minorEastAsia" w:cstheme="minorHAnsi"/>
                <w:color w:val="000000" w:themeColor="text1"/>
              </w:rPr>
              <w:t>five</w:t>
            </w:r>
            <w:r w:rsidRPr="00DB5294">
              <w:rPr>
                <w:rFonts w:eastAsiaTheme="minorEastAsia" w:cstheme="minorHAnsi"/>
                <w:color w:val="000000" w:themeColor="text1"/>
              </w:rPr>
              <w:t xml:space="preserve"> strategic objectives.</w:t>
            </w:r>
          </w:p>
          <w:p w14:paraId="07C994CB" w14:textId="77777777" w:rsidR="00DB5294" w:rsidRPr="00DB5294" w:rsidRDefault="00DB5294" w:rsidP="00DB5294">
            <w:pPr>
              <w:autoSpaceDE w:val="0"/>
              <w:autoSpaceDN w:val="0"/>
              <w:adjustRightInd w:val="0"/>
              <w:rPr>
                <w:rFonts w:eastAsiaTheme="minorEastAsia" w:cstheme="minorHAnsi"/>
                <w:color w:val="000000" w:themeColor="text1"/>
              </w:rPr>
            </w:pPr>
          </w:p>
          <w:p w14:paraId="5B5DDEA6" w14:textId="44E12A1A" w:rsidR="00DB5294" w:rsidRPr="00DB5294" w:rsidRDefault="00DB5294" w:rsidP="00DB5294">
            <w:pPr>
              <w:autoSpaceDE w:val="0"/>
              <w:autoSpaceDN w:val="0"/>
              <w:adjustRightInd w:val="0"/>
              <w:rPr>
                <w:rFonts w:eastAsiaTheme="minorEastAsia" w:cstheme="minorHAnsi"/>
                <w:color w:val="000000" w:themeColor="text1"/>
              </w:rPr>
            </w:pPr>
            <w:r w:rsidRPr="00DB5294">
              <w:rPr>
                <w:rFonts w:eastAsiaTheme="minorEastAsia" w:cstheme="minorHAnsi"/>
                <w:color w:val="000000" w:themeColor="text1"/>
              </w:rPr>
              <w:t>1</w:t>
            </w:r>
            <w:r>
              <w:rPr>
                <w:rFonts w:eastAsiaTheme="minorEastAsia" w:cstheme="minorHAnsi"/>
                <w:color w:val="000000" w:themeColor="text1"/>
              </w:rPr>
              <w:t>.</w:t>
            </w:r>
            <w:r w:rsidRPr="00DB5294">
              <w:rPr>
                <w:rFonts w:eastAsiaTheme="minorEastAsia" w:cstheme="minorHAnsi"/>
                <w:color w:val="000000" w:themeColor="text1"/>
              </w:rPr>
              <w:t xml:space="preserve"> To increase participation and diversity in volunteering including embracing new trends and innovation</w:t>
            </w:r>
          </w:p>
          <w:p w14:paraId="410CCE4C" w14:textId="1E2B1C5C" w:rsidR="00DB5294" w:rsidRPr="00DB5294" w:rsidRDefault="00DB5294" w:rsidP="00DB5294">
            <w:pPr>
              <w:autoSpaceDE w:val="0"/>
              <w:autoSpaceDN w:val="0"/>
              <w:adjustRightInd w:val="0"/>
              <w:rPr>
                <w:rFonts w:eastAsiaTheme="minorEastAsia" w:cstheme="minorHAnsi"/>
                <w:color w:val="000000" w:themeColor="text1"/>
              </w:rPr>
            </w:pPr>
            <w:r>
              <w:rPr>
                <w:rFonts w:eastAsiaTheme="minorEastAsia" w:cstheme="minorHAnsi"/>
                <w:color w:val="000000" w:themeColor="text1"/>
              </w:rPr>
              <w:t>2.</w:t>
            </w:r>
            <w:r w:rsidRPr="00DB5294">
              <w:rPr>
                <w:rFonts w:eastAsiaTheme="minorEastAsia" w:cstheme="minorHAnsi"/>
                <w:color w:val="000000" w:themeColor="text1"/>
              </w:rPr>
              <w:t xml:space="preserve"> To facilitate, develop and support the Volunteering Environment so that it contributes to vibrant and sustainable communities</w:t>
            </w:r>
          </w:p>
          <w:p w14:paraId="45B36DB9" w14:textId="097A3064" w:rsidR="00DB5294" w:rsidRPr="00DB5294" w:rsidRDefault="00DB5294" w:rsidP="00DB5294">
            <w:pPr>
              <w:autoSpaceDE w:val="0"/>
              <w:autoSpaceDN w:val="0"/>
              <w:adjustRightInd w:val="0"/>
              <w:rPr>
                <w:rFonts w:eastAsiaTheme="minorEastAsia" w:cstheme="minorHAnsi"/>
                <w:color w:val="000000" w:themeColor="text1"/>
              </w:rPr>
            </w:pPr>
            <w:r>
              <w:rPr>
                <w:rFonts w:eastAsiaTheme="minorEastAsia" w:cstheme="minorHAnsi"/>
                <w:color w:val="000000" w:themeColor="text1"/>
              </w:rPr>
              <w:t>3.</w:t>
            </w:r>
            <w:r w:rsidRPr="00DB5294">
              <w:rPr>
                <w:rFonts w:eastAsiaTheme="minorEastAsia" w:cstheme="minorHAnsi"/>
                <w:color w:val="000000" w:themeColor="text1"/>
              </w:rPr>
              <w:t xml:space="preserve"> To recognise, celebrate and communicate the value and impact of volunteers and volunteering in all its forms</w:t>
            </w:r>
          </w:p>
          <w:p w14:paraId="0547BF65" w14:textId="7D338C76" w:rsidR="00DB5294" w:rsidRPr="00DB5294" w:rsidRDefault="00DB5294" w:rsidP="00DB5294">
            <w:pPr>
              <w:autoSpaceDE w:val="0"/>
              <w:autoSpaceDN w:val="0"/>
              <w:adjustRightInd w:val="0"/>
              <w:rPr>
                <w:rFonts w:eastAsiaTheme="minorEastAsia" w:cstheme="minorHAnsi"/>
                <w:color w:val="000000" w:themeColor="text1"/>
              </w:rPr>
            </w:pPr>
            <w:r>
              <w:rPr>
                <w:rFonts w:eastAsiaTheme="minorEastAsia" w:cstheme="minorHAnsi"/>
                <w:color w:val="000000" w:themeColor="text1"/>
              </w:rPr>
              <w:t>4.</w:t>
            </w:r>
            <w:r w:rsidRPr="00DB5294">
              <w:rPr>
                <w:rFonts w:eastAsiaTheme="minorEastAsia" w:cstheme="minorHAnsi"/>
                <w:color w:val="000000" w:themeColor="text1"/>
              </w:rPr>
              <w:t xml:space="preserve"> To promote ethical and skills-based international volunteering to deliver results for beneficiaries and to enhance Global Citizenship in Ireland</w:t>
            </w:r>
          </w:p>
          <w:p w14:paraId="24C28B36" w14:textId="77777777" w:rsidR="00DB5294" w:rsidRDefault="00DB5294" w:rsidP="00DB5294">
            <w:pPr>
              <w:autoSpaceDE w:val="0"/>
              <w:autoSpaceDN w:val="0"/>
              <w:adjustRightInd w:val="0"/>
              <w:rPr>
                <w:rFonts w:eastAsiaTheme="minorEastAsia" w:cstheme="minorHAnsi"/>
                <w:color w:val="000000" w:themeColor="text1"/>
              </w:rPr>
            </w:pPr>
            <w:r w:rsidRPr="00DB5294">
              <w:rPr>
                <w:rFonts w:eastAsiaTheme="minorEastAsia" w:cstheme="minorHAnsi"/>
                <w:color w:val="000000" w:themeColor="text1"/>
              </w:rPr>
              <w:t>5</w:t>
            </w:r>
            <w:r>
              <w:rPr>
                <w:rFonts w:eastAsiaTheme="minorEastAsia" w:cstheme="minorHAnsi"/>
                <w:color w:val="000000" w:themeColor="text1"/>
              </w:rPr>
              <w:t>.</w:t>
            </w:r>
            <w:r w:rsidRPr="00DB5294">
              <w:rPr>
                <w:rFonts w:eastAsiaTheme="minorEastAsia" w:cstheme="minorHAnsi"/>
                <w:color w:val="000000" w:themeColor="text1"/>
              </w:rPr>
              <w:t xml:space="preserve"> To improve policy coherence on volunteering across Government both nationally and locally</w:t>
            </w:r>
          </w:p>
          <w:p w14:paraId="0CF2F5D2" w14:textId="77777777" w:rsidR="00DB5294" w:rsidRDefault="00DB5294" w:rsidP="00DB5294">
            <w:pPr>
              <w:autoSpaceDE w:val="0"/>
              <w:autoSpaceDN w:val="0"/>
              <w:adjustRightInd w:val="0"/>
              <w:rPr>
                <w:rFonts w:eastAsiaTheme="minorEastAsia" w:cstheme="minorHAnsi"/>
                <w:color w:val="000000" w:themeColor="text1"/>
              </w:rPr>
            </w:pPr>
          </w:p>
          <w:p w14:paraId="33697AC8" w14:textId="77777777" w:rsidR="000B46F0" w:rsidRDefault="000B46F0" w:rsidP="00DB5294">
            <w:pPr>
              <w:autoSpaceDE w:val="0"/>
              <w:autoSpaceDN w:val="0"/>
              <w:adjustRightInd w:val="0"/>
              <w:rPr>
                <w:rFonts w:eastAsiaTheme="minorEastAsia" w:cstheme="minorHAnsi"/>
                <w:color w:val="000000" w:themeColor="text1"/>
              </w:rPr>
            </w:pPr>
            <w:r w:rsidRPr="00EF795E">
              <w:rPr>
                <w:rFonts w:eastAsiaTheme="minorEastAsia" w:cstheme="minorHAnsi"/>
                <w:color w:val="000000" w:themeColor="text1"/>
              </w:rPr>
              <w:t xml:space="preserve">Annual updates are published on </w:t>
            </w:r>
            <w:hyperlink r:id="rId17" w:history="1">
              <w:r w:rsidRPr="00EF795E">
                <w:rPr>
                  <w:rStyle w:val="Hyperlink"/>
                  <w:rFonts w:cstheme="minorHAnsi"/>
                </w:rPr>
                <w:t>gov - National Volunteering Strategy – Annual Updates (www.gov.ie)</w:t>
              </w:r>
            </w:hyperlink>
            <w:r w:rsidRPr="00EF795E">
              <w:rPr>
                <w:rFonts w:eastAsiaTheme="minorEastAsia" w:cstheme="minorHAnsi"/>
                <w:color w:val="000000" w:themeColor="text1"/>
              </w:rPr>
              <w:t xml:space="preserve"> </w:t>
            </w:r>
          </w:p>
          <w:p w14:paraId="0D96646B" w14:textId="49288B01" w:rsidR="00DB5294" w:rsidRPr="00EF795E" w:rsidRDefault="00DB5294" w:rsidP="00DB5294">
            <w:pPr>
              <w:autoSpaceDE w:val="0"/>
              <w:autoSpaceDN w:val="0"/>
              <w:adjustRightInd w:val="0"/>
              <w:rPr>
                <w:rFonts w:cstheme="minorHAnsi"/>
                <w:color w:val="000000" w:themeColor="text1"/>
              </w:rPr>
            </w:pPr>
          </w:p>
        </w:tc>
        <w:tc>
          <w:tcPr>
            <w:tcW w:w="2693" w:type="dxa"/>
            <w:shd w:val="clear" w:color="auto" w:fill="C5E0B3" w:themeFill="accent6" w:themeFillTint="66"/>
          </w:tcPr>
          <w:p w14:paraId="5D9715AA" w14:textId="77777777" w:rsidR="000B46F0" w:rsidRPr="00EF795E" w:rsidRDefault="000B46F0" w:rsidP="008E1F38">
            <w:pPr>
              <w:autoSpaceDE w:val="0"/>
              <w:autoSpaceDN w:val="0"/>
              <w:adjustRightInd w:val="0"/>
              <w:jc w:val="center"/>
              <w:rPr>
                <w:rFonts w:cstheme="minorHAnsi"/>
                <w:color w:val="000000" w:themeColor="text1"/>
              </w:rPr>
            </w:pPr>
            <w:r w:rsidRPr="00EF795E">
              <w:rPr>
                <w:rFonts w:cstheme="minorHAnsi"/>
              </w:rPr>
              <w:t>Completed</w:t>
            </w:r>
          </w:p>
        </w:tc>
      </w:tr>
      <w:tr w:rsidR="000B46F0" w:rsidRPr="00EF795E" w14:paraId="35ADEB1A" w14:textId="77777777" w:rsidTr="00CF1A37">
        <w:tc>
          <w:tcPr>
            <w:tcW w:w="4928" w:type="dxa"/>
            <w:shd w:val="clear" w:color="auto" w:fill="C5E0B3" w:themeFill="accent6" w:themeFillTint="66"/>
          </w:tcPr>
          <w:p w14:paraId="3E6B53BC" w14:textId="68AB4DD2"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Introduce, on phased basis, a number of projects in approach to Community Development Projects.</w:t>
            </w:r>
          </w:p>
        </w:tc>
        <w:tc>
          <w:tcPr>
            <w:tcW w:w="12118" w:type="dxa"/>
            <w:shd w:val="clear" w:color="auto" w:fill="C5E0B3" w:themeFill="accent6" w:themeFillTint="66"/>
          </w:tcPr>
          <w:p w14:paraId="3678318F" w14:textId="619BE68B" w:rsidR="000B46F0" w:rsidRPr="00EF795E" w:rsidRDefault="000B46F0" w:rsidP="008E1F38">
            <w:pPr>
              <w:rPr>
                <w:rFonts w:cstheme="minorHAnsi"/>
              </w:rPr>
            </w:pPr>
            <w:r w:rsidRPr="00EF795E">
              <w:rPr>
                <w:rFonts w:cstheme="minorHAnsi"/>
              </w:rPr>
              <w:t>In March 2021, a new Community Development</w:t>
            </w:r>
            <w:r w:rsidR="00DA1D71">
              <w:rPr>
                <w:rFonts w:cstheme="minorHAnsi"/>
              </w:rPr>
              <w:t xml:space="preserve"> pilot</w:t>
            </w:r>
            <w:r w:rsidRPr="00EF795E">
              <w:rPr>
                <w:rFonts w:cstheme="minorHAnsi"/>
              </w:rPr>
              <w:t xml:space="preserve"> initiative was announced promoting an autonomous approach to community work with marginalised communities. </w:t>
            </w:r>
          </w:p>
          <w:p w14:paraId="3C1201C2" w14:textId="182F2541" w:rsidR="000B46F0" w:rsidRPr="00EF795E" w:rsidRDefault="000B46F0" w:rsidP="008E1F38">
            <w:pPr>
              <w:rPr>
                <w:rFonts w:cstheme="minorHAnsi"/>
              </w:rPr>
            </w:pPr>
            <w:r w:rsidRPr="00EF795E">
              <w:rPr>
                <w:rFonts w:cstheme="minorHAnsi"/>
              </w:rPr>
              <w:t xml:space="preserve">€1m funding was </w:t>
            </w:r>
            <w:r w:rsidR="00DA1D71">
              <w:rPr>
                <w:rFonts w:cstheme="minorHAnsi"/>
              </w:rPr>
              <w:t xml:space="preserve">made available </w:t>
            </w:r>
            <w:r w:rsidRPr="00EF795E">
              <w:rPr>
                <w:rFonts w:cstheme="minorHAnsi"/>
              </w:rPr>
              <w:t xml:space="preserve">to the </w:t>
            </w:r>
            <w:r w:rsidR="00DA1D71" w:rsidRPr="00EF795E">
              <w:rPr>
                <w:rFonts w:cstheme="minorHAnsi"/>
              </w:rPr>
              <w:t>three-year</w:t>
            </w:r>
            <w:r w:rsidRPr="00EF795E">
              <w:rPr>
                <w:rFonts w:cstheme="minorHAnsi"/>
              </w:rPr>
              <w:t xml:space="preserve"> pilot programme in 2022 and seven successful pilot organisations were allocated funding of €125</w:t>
            </w:r>
            <w:r w:rsidR="000B508A">
              <w:rPr>
                <w:rFonts w:cstheme="minorHAnsi"/>
              </w:rPr>
              <w:t>,000</w:t>
            </w:r>
            <w:r w:rsidRPr="00EF795E">
              <w:rPr>
                <w:rFonts w:cstheme="minorHAnsi"/>
              </w:rPr>
              <w:t xml:space="preserve"> each. A further €1m was sec</w:t>
            </w:r>
            <w:r w:rsidR="00DA1D71">
              <w:rPr>
                <w:rFonts w:cstheme="minorHAnsi"/>
              </w:rPr>
              <w:t>ured in 2023 for community d</w:t>
            </w:r>
            <w:r w:rsidRPr="00EF795E">
              <w:rPr>
                <w:rFonts w:cstheme="minorHAnsi"/>
              </w:rPr>
              <w:t xml:space="preserve">evelopment </w:t>
            </w:r>
            <w:r w:rsidR="00DA1D71">
              <w:rPr>
                <w:rFonts w:cstheme="minorHAnsi"/>
              </w:rPr>
              <w:t>s</w:t>
            </w:r>
            <w:r w:rsidRPr="00EF795E">
              <w:rPr>
                <w:rFonts w:cstheme="minorHAnsi"/>
              </w:rPr>
              <w:t xml:space="preserve">upports and the </w:t>
            </w:r>
            <w:r w:rsidR="00EC326B">
              <w:rPr>
                <w:rFonts w:cstheme="minorHAnsi"/>
              </w:rPr>
              <w:t>pilot</w:t>
            </w:r>
            <w:r w:rsidR="00EC326B" w:rsidRPr="00EF795E">
              <w:rPr>
                <w:rFonts w:cstheme="minorHAnsi"/>
              </w:rPr>
              <w:t xml:space="preserve"> initiative </w:t>
            </w:r>
            <w:r w:rsidRPr="00EF795E">
              <w:rPr>
                <w:rFonts w:cstheme="minorHAnsi"/>
              </w:rPr>
              <w:t xml:space="preserve">was expanded to support three additional projects. </w:t>
            </w:r>
          </w:p>
          <w:p w14:paraId="19DA3BE8" w14:textId="6AF7A39E" w:rsidR="000B46F0" w:rsidRPr="00EF795E" w:rsidRDefault="000B46F0" w:rsidP="008E1F38">
            <w:pPr>
              <w:rPr>
                <w:rFonts w:cstheme="minorHAnsi"/>
              </w:rPr>
            </w:pPr>
            <w:r w:rsidRPr="00EF795E">
              <w:rPr>
                <w:rFonts w:cstheme="minorHAnsi"/>
              </w:rPr>
              <w:t xml:space="preserve">An independent evaluator, Values </w:t>
            </w:r>
            <w:r w:rsidR="00DA1D71">
              <w:rPr>
                <w:rFonts w:cstheme="minorHAnsi"/>
              </w:rPr>
              <w:t>Lab was chosen to evaluate the three-</w:t>
            </w:r>
            <w:r w:rsidRPr="00EF795E">
              <w:rPr>
                <w:rFonts w:cstheme="minorHAnsi"/>
              </w:rPr>
              <w:t>year pilot programme</w:t>
            </w:r>
            <w:r w:rsidR="00EC326B">
              <w:rPr>
                <w:rFonts w:cstheme="minorHAnsi"/>
              </w:rPr>
              <w:t>.</w:t>
            </w:r>
            <w:r w:rsidRPr="00EF795E">
              <w:rPr>
                <w:rFonts w:cstheme="minorHAnsi"/>
              </w:rPr>
              <w:t xml:space="preserve"> The final Programme Evaluation Report will capture the experience, learning and impact of the Programme, with particular reference to the community work underpinning the programme</w:t>
            </w:r>
          </w:p>
          <w:p w14:paraId="6438F13F" w14:textId="77777777" w:rsidR="000B46F0" w:rsidRPr="00EF795E" w:rsidRDefault="000B46F0" w:rsidP="008E1F38">
            <w:pPr>
              <w:rPr>
                <w:rFonts w:cstheme="minorHAnsi"/>
              </w:rPr>
            </w:pPr>
          </w:p>
          <w:p w14:paraId="26B8FF1C" w14:textId="77777777" w:rsidR="006714F2" w:rsidRDefault="000B46F0" w:rsidP="008E1F38">
            <w:pPr>
              <w:rPr>
                <w:rFonts w:cstheme="minorHAnsi"/>
              </w:rPr>
            </w:pPr>
            <w:r w:rsidRPr="00EF795E">
              <w:rPr>
                <w:rFonts w:cstheme="minorHAnsi"/>
              </w:rPr>
              <w:t>In June 2022, the Empowering Communities Programme (ECP) was launched and aims to enhance community access to key services, and empower local communities to craft their own response to area based poverty, social exclusion and the resulting consequences, with the support of the relevant Local Community Development Committee (LCDC) and Local Development Company (LDC). Initially, a budget of €2 million was approved for funding the 14 small areas.  The programme has since been expanded and now focuses on 17 small areas experiencing significant disadvantage,</w:t>
            </w:r>
            <w:r w:rsidR="006714F2">
              <w:rPr>
                <w:rFonts w:cstheme="minorHAnsi"/>
              </w:rPr>
              <w:t xml:space="preserve"> identified using the Pobal HP Deprivation I</w:t>
            </w:r>
            <w:r w:rsidRPr="00EF795E">
              <w:rPr>
                <w:rFonts w:cstheme="minorHAnsi"/>
              </w:rPr>
              <w:t xml:space="preserve">ndex and with regard to geographic spread.  </w:t>
            </w:r>
          </w:p>
          <w:p w14:paraId="24F00B88" w14:textId="77777777" w:rsidR="006714F2" w:rsidRDefault="006714F2" w:rsidP="008E1F38">
            <w:pPr>
              <w:rPr>
                <w:rFonts w:cstheme="minorHAnsi"/>
              </w:rPr>
            </w:pPr>
          </w:p>
          <w:p w14:paraId="54FEFB04" w14:textId="12DE4032" w:rsidR="000B46F0" w:rsidRPr="00EF795E" w:rsidRDefault="000B46F0" w:rsidP="008E1F38">
            <w:pPr>
              <w:rPr>
                <w:rFonts w:eastAsia="Times New Roman" w:cstheme="minorHAnsi"/>
                <w:color w:val="212529"/>
                <w:lang w:eastAsia="en-IE"/>
              </w:rPr>
            </w:pPr>
            <w:r w:rsidRPr="00EF795E">
              <w:rPr>
                <w:rFonts w:eastAsia="Times New Roman" w:cstheme="minorHAnsi"/>
                <w:color w:val="000000"/>
                <w:lang w:eastAsia="en-IE"/>
              </w:rPr>
              <w:t xml:space="preserve">The Department will host </w:t>
            </w:r>
            <w:r w:rsidR="006714F2">
              <w:rPr>
                <w:rFonts w:eastAsia="Times New Roman" w:cstheme="minorHAnsi"/>
                <w:color w:val="000000"/>
                <w:lang w:eastAsia="en-IE"/>
              </w:rPr>
              <w:t>a</w:t>
            </w:r>
            <w:r w:rsidRPr="00EF795E">
              <w:rPr>
                <w:rFonts w:eastAsia="Times New Roman" w:cstheme="minorHAnsi"/>
                <w:color w:val="000000"/>
                <w:lang w:eastAsia="en-IE"/>
              </w:rPr>
              <w:t xml:space="preserve"> Showcase event on Monday, 23</w:t>
            </w:r>
            <w:r w:rsidRPr="00EF795E">
              <w:rPr>
                <w:rFonts w:eastAsia="Times New Roman" w:cstheme="minorHAnsi"/>
                <w:color w:val="000000"/>
                <w:vertAlign w:val="superscript"/>
                <w:lang w:eastAsia="en-IE"/>
              </w:rPr>
              <w:t>rd</w:t>
            </w:r>
            <w:r w:rsidRPr="00EF795E">
              <w:rPr>
                <w:rFonts w:eastAsia="Times New Roman" w:cstheme="minorHAnsi"/>
                <w:color w:val="000000"/>
                <w:lang w:eastAsia="en-IE"/>
              </w:rPr>
              <w:t xml:space="preserve"> September 2024 in Athlone to highlight the important work and impact of both programmes. </w:t>
            </w:r>
          </w:p>
          <w:p w14:paraId="573329DA" w14:textId="77777777" w:rsidR="000B46F0" w:rsidRPr="00EF795E" w:rsidRDefault="000B46F0" w:rsidP="008E1F38">
            <w:pPr>
              <w:rPr>
                <w:rFonts w:cstheme="minorHAnsi"/>
              </w:rPr>
            </w:pPr>
          </w:p>
        </w:tc>
        <w:tc>
          <w:tcPr>
            <w:tcW w:w="2693" w:type="dxa"/>
            <w:shd w:val="clear" w:color="auto" w:fill="C5E0B3" w:themeFill="accent6" w:themeFillTint="66"/>
          </w:tcPr>
          <w:p w14:paraId="60D9689C" w14:textId="77777777" w:rsidR="000B46F0" w:rsidRPr="00EF795E" w:rsidRDefault="000B46F0" w:rsidP="008E1F38">
            <w:pPr>
              <w:jc w:val="center"/>
              <w:rPr>
                <w:rFonts w:cstheme="minorHAnsi"/>
              </w:rPr>
            </w:pPr>
            <w:r w:rsidRPr="00EF795E">
              <w:rPr>
                <w:rFonts w:cstheme="minorHAnsi"/>
              </w:rPr>
              <w:t>CDP – Ongoing</w:t>
            </w:r>
          </w:p>
          <w:p w14:paraId="0F8F0F67" w14:textId="77777777" w:rsidR="000B46F0" w:rsidRPr="00EF795E" w:rsidRDefault="000B46F0" w:rsidP="008E1F38">
            <w:pPr>
              <w:jc w:val="center"/>
              <w:rPr>
                <w:rFonts w:cstheme="minorHAnsi"/>
              </w:rPr>
            </w:pPr>
          </w:p>
          <w:p w14:paraId="7E4E9704" w14:textId="77777777" w:rsidR="000B46F0" w:rsidRPr="00EF795E" w:rsidRDefault="000B46F0" w:rsidP="008E1F38">
            <w:pPr>
              <w:jc w:val="center"/>
              <w:rPr>
                <w:rFonts w:cstheme="minorHAnsi"/>
              </w:rPr>
            </w:pPr>
          </w:p>
          <w:p w14:paraId="280461ED" w14:textId="77777777" w:rsidR="000B46F0" w:rsidRPr="00EF795E" w:rsidRDefault="000B46F0" w:rsidP="008E1F38">
            <w:pPr>
              <w:jc w:val="center"/>
              <w:rPr>
                <w:rFonts w:cstheme="minorHAnsi"/>
              </w:rPr>
            </w:pPr>
          </w:p>
          <w:p w14:paraId="4B2D831C" w14:textId="77777777" w:rsidR="000B46F0" w:rsidRPr="00EF795E" w:rsidRDefault="000B46F0" w:rsidP="008E1F38">
            <w:pPr>
              <w:jc w:val="center"/>
              <w:rPr>
                <w:rFonts w:cstheme="minorHAnsi"/>
              </w:rPr>
            </w:pPr>
          </w:p>
          <w:p w14:paraId="2C0BA3FD" w14:textId="77777777" w:rsidR="000B46F0" w:rsidRPr="00EF795E" w:rsidRDefault="000B46F0" w:rsidP="008E1F38">
            <w:pPr>
              <w:jc w:val="center"/>
              <w:rPr>
                <w:rFonts w:cstheme="minorHAnsi"/>
              </w:rPr>
            </w:pPr>
          </w:p>
          <w:p w14:paraId="559EDA14" w14:textId="77777777" w:rsidR="000B46F0" w:rsidRPr="00EF795E" w:rsidRDefault="000B46F0" w:rsidP="008E1F38">
            <w:pPr>
              <w:jc w:val="center"/>
              <w:rPr>
                <w:rFonts w:cstheme="minorHAnsi"/>
              </w:rPr>
            </w:pPr>
          </w:p>
          <w:p w14:paraId="4A2121CF" w14:textId="77777777" w:rsidR="000B46F0" w:rsidRPr="00EF795E" w:rsidRDefault="000B46F0" w:rsidP="008E1F38">
            <w:pPr>
              <w:jc w:val="center"/>
              <w:rPr>
                <w:rFonts w:cstheme="minorHAnsi"/>
              </w:rPr>
            </w:pPr>
          </w:p>
          <w:p w14:paraId="741AD54B" w14:textId="77777777" w:rsidR="000B46F0" w:rsidRPr="00EF795E" w:rsidRDefault="000B46F0" w:rsidP="008E1F38">
            <w:pPr>
              <w:jc w:val="center"/>
              <w:rPr>
                <w:rFonts w:cstheme="minorHAnsi"/>
              </w:rPr>
            </w:pPr>
          </w:p>
          <w:p w14:paraId="447588F2" w14:textId="77777777" w:rsidR="000B46F0" w:rsidRPr="00EF795E" w:rsidRDefault="000B46F0" w:rsidP="008E1F38">
            <w:pPr>
              <w:jc w:val="center"/>
              <w:rPr>
                <w:rFonts w:cstheme="minorHAnsi"/>
              </w:rPr>
            </w:pPr>
          </w:p>
          <w:p w14:paraId="6C137890" w14:textId="77777777" w:rsidR="000B46F0" w:rsidRPr="00EF795E" w:rsidRDefault="000B46F0" w:rsidP="008E1F38">
            <w:pPr>
              <w:jc w:val="center"/>
              <w:rPr>
                <w:rFonts w:cstheme="minorHAnsi"/>
              </w:rPr>
            </w:pPr>
          </w:p>
          <w:p w14:paraId="4205258C" w14:textId="77777777" w:rsidR="000B46F0" w:rsidRPr="00EF795E" w:rsidRDefault="000B46F0" w:rsidP="008E1F38">
            <w:pPr>
              <w:jc w:val="center"/>
              <w:rPr>
                <w:rFonts w:cstheme="minorHAnsi"/>
              </w:rPr>
            </w:pPr>
          </w:p>
          <w:p w14:paraId="5A7E41CD" w14:textId="77777777" w:rsidR="000B46F0" w:rsidRPr="00EF795E" w:rsidRDefault="000B46F0" w:rsidP="008E1F38">
            <w:pPr>
              <w:jc w:val="center"/>
              <w:rPr>
                <w:rFonts w:cstheme="minorHAnsi"/>
              </w:rPr>
            </w:pPr>
          </w:p>
          <w:p w14:paraId="38AF3C6D" w14:textId="77777777" w:rsidR="000B46F0" w:rsidRPr="00EF795E" w:rsidRDefault="000B46F0" w:rsidP="008E1F38">
            <w:pPr>
              <w:jc w:val="center"/>
              <w:rPr>
                <w:rFonts w:cstheme="minorHAnsi"/>
              </w:rPr>
            </w:pPr>
            <w:r w:rsidRPr="00EF795E">
              <w:rPr>
                <w:rFonts w:cstheme="minorHAnsi"/>
              </w:rPr>
              <w:t>ECP – Ongoing</w:t>
            </w:r>
          </w:p>
        </w:tc>
      </w:tr>
      <w:tr w:rsidR="000B46F0" w:rsidRPr="00EF795E" w14:paraId="71656C20" w14:textId="77777777" w:rsidTr="00CF1A37">
        <w:tc>
          <w:tcPr>
            <w:tcW w:w="4928" w:type="dxa"/>
            <w:shd w:val="clear" w:color="auto" w:fill="C5E0B3" w:themeFill="accent6" w:themeFillTint="66"/>
          </w:tcPr>
          <w:p w14:paraId="4EAA7BA5" w14:textId="77777777" w:rsidR="000B46F0" w:rsidRPr="00EF795E" w:rsidRDefault="000B46F0" w:rsidP="008E1F38">
            <w:pPr>
              <w:rPr>
                <w:rFonts w:cstheme="minorHAnsi"/>
                <w:color w:val="000000" w:themeColor="text1"/>
              </w:rPr>
            </w:pPr>
            <w:r w:rsidRPr="00EF795E">
              <w:rPr>
                <w:rFonts w:cstheme="minorHAnsi"/>
                <w:color w:val="000000" w:themeColor="text1"/>
              </w:rPr>
              <w:t xml:space="preserve">Commit to the introduction of an annual small capital grants programme administered through local authorities for the maintenance, improvement, and upkeep of community centres. </w:t>
            </w:r>
          </w:p>
        </w:tc>
        <w:tc>
          <w:tcPr>
            <w:tcW w:w="12118" w:type="dxa"/>
            <w:shd w:val="clear" w:color="auto" w:fill="C5E0B3" w:themeFill="accent6" w:themeFillTint="66"/>
          </w:tcPr>
          <w:p w14:paraId="1860C98C" w14:textId="77777777" w:rsidR="00210350" w:rsidRDefault="000B46F0" w:rsidP="008E1F38">
            <w:pPr>
              <w:shd w:val="clear" w:color="auto" w:fill="C5E0B3"/>
              <w:autoSpaceDE w:val="0"/>
              <w:autoSpaceDN w:val="0"/>
              <w:rPr>
                <w:rFonts w:cstheme="minorHAnsi"/>
              </w:rPr>
            </w:pPr>
            <w:r w:rsidRPr="00EF795E">
              <w:rPr>
                <w:rFonts w:cstheme="minorHAnsi"/>
              </w:rPr>
              <w:t xml:space="preserve">Over €45m was awarded to over 860 projects under Community Centre Investment Fund in 2022 for the refurbishment of existing community centres across the county. Progress is being made on bringing these projects to completion in the coming months and to date over 200 of the projects have been completed in full. </w:t>
            </w:r>
          </w:p>
          <w:p w14:paraId="4603BEAE" w14:textId="3101427F" w:rsidR="000B46F0" w:rsidRPr="00EF795E" w:rsidRDefault="000B46F0" w:rsidP="008E1F38">
            <w:pPr>
              <w:shd w:val="clear" w:color="auto" w:fill="C5E0B3"/>
              <w:autoSpaceDE w:val="0"/>
              <w:autoSpaceDN w:val="0"/>
              <w:rPr>
                <w:rFonts w:cstheme="minorHAnsi"/>
              </w:rPr>
            </w:pPr>
            <w:r w:rsidRPr="00EF795E">
              <w:rPr>
                <w:rFonts w:cstheme="minorHAnsi"/>
              </w:rPr>
              <w:t>The focus in 2023 moved to funding the construction of new build community centres. 22 applications were received and an announcement of the successful projects will be made shortly.</w:t>
            </w:r>
          </w:p>
          <w:p w14:paraId="7D5658A8" w14:textId="5701600D" w:rsidR="00BE4D9E" w:rsidRPr="00EF795E" w:rsidRDefault="000B46F0" w:rsidP="00BE4D9E">
            <w:pPr>
              <w:shd w:val="clear" w:color="auto" w:fill="C5E0B3"/>
              <w:autoSpaceDE w:val="0"/>
              <w:autoSpaceDN w:val="0"/>
              <w:rPr>
                <w:rFonts w:cstheme="minorHAnsi"/>
              </w:rPr>
            </w:pPr>
            <w:r w:rsidRPr="00EF795E">
              <w:rPr>
                <w:rFonts w:cstheme="minorHAnsi"/>
              </w:rPr>
              <w:t>A further €20</w:t>
            </w:r>
            <w:r w:rsidR="00210350">
              <w:rPr>
                <w:rFonts w:cstheme="minorHAnsi"/>
              </w:rPr>
              <w:t>m w</w:t>
            </w:r>
            <w:r w:rsidRPr="00EF795E">
              <w:rPr>
                <w:rFonts w:cstheme="minorHAnsi"/>
              </w:rPr>
              <w:t>as announced in June 2024 for the refurbishment of existing community centres across the county. The application process opened on July 29</w:t>
            </w:r>
            <w:r w:rsidRPr="00EF795E">
              <w:rPr>
                <w:rFonts w:cstheme="minorHAnsi"/>
                <w:vertAlign w:val="superscript"/>
              </w:rPr>
              <w:t>th</w:t>
            </w:r>
            <w:r w:rsidRPr="00EF795E">
              <w:rPr>
                <w:rFonts w:cstheme="minorHAnsi"/>
              </w:rPr>
              <w:t xml:space="preserve"> and close</w:t>
            </w:r>
            <w:r w:rsidR="00BE4D9E">
              <w:rPr>
                <w:rFonts w:cstheme="minorHAnsi"/>
              </w:rPr>
              <w:t>d</w:t>
            </w:r>
            <w:r w:rsidRPr="00EF795E">
              <w:rPr>
                <w:rFonts w:cstheme="minorHAnsi"/>
              </w:rPr>
              <w:t xml:space="preserve"> on September 5</w:t>
            </w:r>
            <w:r w:rsidRPr="00EF795E">
              <w:rPr>
                <w:rFonts w:cstheme="minorHAnsi"/>
                <w:vertAlign w:val="superscript"/>
              </w:rPr>
              <w:t>th</w:t>
            </w:r>
            <w:r w:rsidRPr="00EF795E">
              <w:rPr>
                <w:rFonts w:cstheme="minorHAnsi"/>
              </w:rPr>
              <w:t>.</w:t>
            </w:r>
          </w:p>
        </w:tc>
        <w:tc>
          <w:tcPr>
            <w:tcW w:w="2693" w:type="dxa"/>
            <w:shd w:val="clear" w:color="auto" w:fill="C5E0B3" w:themeFill="accent6" w:themeFillTint="66"/>
          </w:tcPr>
          <w:p w14:paraId="74941E90" w14:textId="77777777" w:rsidR="000B46F0" w:rsidRPr="00EF795E" w:rsidRDefault="000B46F0" w:rsidP="008E1F38">
            <w:pPr>
              <w:keepNext/>
              <w:keepLines/>
              <w:spacing w:before="40"/>
              <w:jc w:val="center"/>
              <w:outlineLvl w:val="2"/>
              <w:rPr>
                <w:rFonts w:eastAsiaTheme="majorEastAsia" w:cstheme="minorHAnsi"/>
                <w:color w:val="1F3763" w:themeColor="accent1" w:themeShade="7F"/>
              </w:rPr>
            </w:pPr>
            <w:r w:rsidRPr="00EF795E">
              <w:rPr>
                <w:rFonts w:eastAsiaTheme="majorEastAsia" w:cstheme="minorHAnsi"/>
              </w:rPr>
              <w:t>Ongoing</w:t>
            </w:r>
          </w:p>
        </w:tc>
      </w:tr>
      <w:tr w:rsidR="000B46F0" w:rsidRPr="00EF795E" w14:paraId="653A4AD1" w14:textId="77777777" w:rsidTr="00CF1A37">
        <w:tc>
          <w:tcPr>
            <w:tcW w:w="4928" w:type="dxa"/>
            <w:shd w:val="clear" w:color="auto" w:fill="C5E0B3" w:themeFill="accent6" w:themeFillTint="66"/>
          </w:tcPr>
          <w:p w14:paraId="2F31CF9C" w14:textId="77777777" w:rsidR="000B46F0"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 xml:space="preserve">Support and enhance the Social Innovation Fund Ireland programme to help secure additional </w:t>
            </w:r>
            <w:r w:rsidRPr="00EF795E">
              <w:rPr>
                <w:rFonts w:cstheme="minorHAnsi"/>
                <w:color w:val="000000" w:themeColor="text1"/>
              </w:rPr>
              <w:lastRenderedPageBreak/>
              <w:t>philanthropic funding sources specifically for community-based programmes and projects in the areas of climate justice, rural and community development.</w:t>
            </w:r>
          </w:p>
          <w:p w14:paraId="11A4A775" w14:textId="7A447462" w:rsidR="00A5759D" w:rsidRPr="00EF795E" w:rsidRDefault="00A5759D" w:rsidP="008E1F38">
            <w:pPr>
              <w:shd w:val="clear" w:color="auto" w:fill="C5E0B3" w:themeFill="accent6" w:themeFillTint="66"/>
              <w:autoSpaceDE w:val="0"/>
              <w:autoSpaceDN w:val="0"/>
              <w:adjustRightInd w:val="0"/>
              <w:rPr>
                <w:rFonts w:cstheme="minorHAnsi"/>
                <w:color w:val="000000" w:themeColor="text1"/>
              </w:rPr>
            </w:pPr>
          </w:p>
        </w:tc>
        <w:tc>
          <w:tcPr>
            <w:tcW w:w="12118" w:type="dxa"/>
            <w:shd w:val="clear" w:color="auto" w:fill="C5E0B3" w:themeFill="accent6" w:themeFillTint="66"/>
          </w:tcPr>
          <w:p w14:paraId="506AB42D" w14:textId="77777777" w:rsidR="00A5759D" w:rsidRDefault="000B46F0" w:rsidP="008E1F38">
            <w:pPr>
              <w:autoSpaceDE w:val="0"/>
              <w:autoSpaceDN w:val="0"/>
              <w:adjustRightInd w:val="0"/>
              <w:rPr>
                <w:rFonts w:cstheme="minorHAnsi"/>
              </w:rPr>
            </w:pPr>
            <w:r w:rsidRPr="00EF795E">
              <w:rPr>
                <w:rFonts w:cstheme="minorHAnsi"/>
              </w:rPr>
              <w:lastRenderedPageBreak/>
              <w:t xml:space="preserve">Rethink Ireland (formerly Social Innovation Fund Irealnd) has been funded from the Dormant Accounts Fund through contractual funding arrangements since its creation in 2013.  </w:t>
            </w:r>
          </w:p>
          <w:p w14:paraId="6A76330E" w14:textId="77777777" w:rsidR="00A5759D" w:rsidRDefault="000B46F0" w:rsidP="00A5759D">
            <w:pPr>
              <w:autoSpaceDE w:val="0"/>
              <w:autoSpaceDN w:val="0"/>
              <w:adjustRightInd w:val="0"/>
              <w:rPr>
                <w:rFonts w:cstheme="minorHAnsi"/>
              </w:rPr>
            </w:pPr>
            <w:r w:rsidRPr="00EF795E">
              <w:rPr>
                <w:rFonts w:cstheme="minorHAnsi"/>
              </w:rPr>
              <w:lastRenderedPageBreak/>
              <w:t xml:space="preserve">The current five-year contract between Rethink Ireland and </w:t>
            </w:r>
            <w:r w:rsidR="00A5759D">
              <w:rPr>
                <w:rFonts w:cstheme="minorHAnsi"/>
              </w:rPr>
              <w:t>the Department of Rural and Community Development</w:t>
            </w:r>
            <w:r w:rsidRPr="00EF795E">
              <w:rPr>
                <w:rFonts w:cstheme="minorHAnsi"/>
              </w:rPr>
              <w:t xml:space="preserve"> runs from January 2021 to December 2025 and provides match funding to a maximum o</w:t>
            </w:r>
            <w:r w:rsidR="00A5759D">
              <w:rPr>
                <w:rFonts w:cstheme="minorHAnsi"/>
              </w:rPr>
              <w:t>f €5.5m per annum.</w:t>
            </w:r>
          </w:p>
          <w:p w14:paraId="74B8E301" w14:textId="7106F7E9" w:rsidR="000B46F0" w:rsidRPr="00EF795E" w:rsidRDefault="00A5759D" w:rsidP="00A5759D">
            <w:pPr>
              <w:autoSpaceDE w:val="0"/>
              <w:autoSpaceDN w:val="0"/>
              <w:adjustRightInd w:val="0"/>
              <w:rPr>
                <w:rFonts w:cstheme="minorHAnsi"/>
              </w:rPr>
            </w:pPr>
            <w:r>
              <w:rPr>
                <w:rFonts w:cstheme="minorHAnsi"/>
              </w:rPr>
              <w:t>In 2023, the Department</w:t>
            </w:r>
            <w:r w:rsidR="000B46F0" w:rsidRPr="00EF795E">
              <w:rPr>
                <w:rFonts w:cstheme="minorHAnsi"/>
              </w:rPr>
              <w:t xml:space="preserve"> provided a total of €5.5m to Rethink</w:t>
            </w:r>
            <w:r>
              <w:rPr>
                <w:rFonts w:cstheme="minorHAnsi"/>
              </w:rPr>
              <w:t xml:space="preserve"> Ireland</w:t>
            </w:r>
            <w:r w:rsidR="000B46F0" w:rsidRPr="00EF795E">
              <w:rPr>
                <w:rFonts w:cstheme="minorHAnsi"/>
              </w:rPr>
              <w:t xml:space="preserve"> from the Dormant Accounts Fund.</w:t>
            </w:r>
          </w:p>
        </w:tc>
        <w:tc>
          <w:tcPr>
            <w:tcW w:w="2693" w:type="dxa"/>
            <w:shd w:val="clear" w:color="auto" w:fill="C5E0B3" w:themeFill="accent6" w:themeFillTint="66"/>
          </w:tcPr>
          <w:p w14:paraId="73E9A3B5" w14:textId="77777777" w:rsidR="000B46F0" w:rsidRPr="00EF795E" w:rsidRDefault="000B46F0" w:rsidP="008E1F38">
            <w:pPr>
              <w:autoSpaceDE w:val="0"/>
              <w:autoSpaceDN w:val="0"/>
              <w:adjustRightInd w:val="0"/>
              <w:jc w:val="center"/>
              <w:rPr>
                <w:rFonts w:cstheme="minorHAnsi"/>
              </w:rPr>
            </w:pPr>
            <w:r w:rsidRPr="00EF795E">
              <w:rPr>
                <w:rFonts w:cstheme="minorHAnsi"/>
              </w:rPr>
              <w:lastRenderedPageBreak/>
              <w:t>Ongoing</w:t>
            </w:r>
          </w:p>
        </w:tc>
      </w:tr>
      <w:tr w:rsidR="000B46F0" w:rsidRPr="00EF795E" w14:paraId="2F93A158" w14:textId="77777777" w:rsidTr="00CF1A37">
        <w:tc>
          <w:tcPr>
            <w:tcW w:w="4928" w:type="dxa"/>
            <w:shd w:val="clear" w:color="auto" w:fill="C5E0B3" w:themeFill="accent6" w:themeFillTint="66"/>
          </w:tcPr>
          <w:p w14:paraId="441491D2" w14:textId="77777777" w:rsidR="000B46F0" w:rsidRPr="00EF795E" w:rsidRDefault="000B46F0" w:rsidP="008E1F38">
            <w:pPr>
              <w:shd w:val="clear" w:color="auto" w:fill="C5E0B3" w:themeFill="accent6" w:themeFillTint="66"/>
              <w:autoSpaceDE w:val="0"/>
              <w:autoSpaceDN w:val="0"/>
              <w:adjustRightInd w:val="0"/>
              <w:contextualSpacing/>
              <w:jc w:val="both"/>
              <w:rPr>
                <w:rFonts w:cstheme="minorHAnsi"/>
                <w:color w:val="000000" w:themeColor="text1"/>
              </w:rPr>
            </w:pPr>
            <w:r w:rsidRPr="00EF795E">
              <w:rPr>
                <w:rFonts w:cstheme="minorHAnsi"/>
                <w:color w:val="000000" w:themeColor="text1"/>
              </w:rPr>
              <w:t>Refine and build on a range of programmes to support communities including CLÁR, the Social Inclusion and Community Activation Programme (SICAP), Community Service Programme (CSP) and Community Enhancement Programme (CEP).</w:t>
            </w:r>
          </w:p>
        </w:tc>
        <w:tc>
          <w:tcPr>
            <w:tcW w:w="12118" w:type="dxa"/>
            <w:shd w:val="clear" w:color="auto" w:fill="C5E0B3" w:themeFill="accent6" w:themeFillTint="66"/>
          </w:tcPr>
          <w:p w14:paraId="5AA1DC2C" w14:textId="75E4901D" w:rsidR="007956D3" w:rsidRDefault="00A5759D" w:rsidP="00A5759D">
            <w:pPr>
              <w:shd w:val="clear" w:color="auto" w:fill="C5E0B3" w:themeFill="accent6" w:themeFillTint="66"/>
              <w:autoSpaceDE w:val="0"/>
              <w:autoSpaceDN w:val="0"/>
              <w:adjustRightInd w:val="0"/>
              <w:rPr>
                <w:rFonts w:cstheme="minorHAnsi"/>
              </w:rPr>
            </w:pPr>
            <w:r>
              <w:t>The Department</w:t>
            </w:r>
            <w:r w:rsidR="000B46F0" w:rsidRPr="00A5759D">
              <w:rPr>
                <w:rFonts w:cstheme="minorHAnsi"/>
              </w:rPr>
              <w:t xml:space="preserve"> </w:t>
            </w:r>
            <w:r>
              <w:rPr>
                <w:rFonts w:cstheme="minorHAnsi"/>
              </w:rPr>
              <w:t xml:space="preserve">of Rural and Community Development </w:t>
            </w:r>
            <w:r w:rsidR="000B46F0" w:rsidRPr="00A5759D">
              <w:rPr>
                <w:rFonts w:cstheme="minorHAnsi"/>
              </w:rPr>
              <w:t xml:space="preserve">published the Indecon Report on the Review of the </w:t>
            </w:r>
            <w:r w:rsidRPr="00CB6E84">
              <w:rPr>
                <w:rFonts w:cstheme="minorHAnsi"/>
                <w:b/>
              </w:rPr>
              <w:t>Community Services Programme (CSP)</w:t>
            </w:r>
            <w:r w:rsidR="000B46F0" w:rsidRPr="00A5759D">
              <w:rPr>
                <w:rFonts w:cstheme="minorHAnsi"/>
              </w:rPr>
              <w:t xml:space="preserve"> in September 2020.  </w:t>
            </w:r>
            <w:r w:rsidR="007956D3">
              <w:rPr>
                <w:rFonts w:cstheme="minorHAnsi"/>
              </w:rPr>
              <w:t>Following this review, t</w:t>
            </w:r>
            <w:r w:rsidR="000B46F0" w:rsidRPr="00A5759D">
              <w:rPr>
                <w:rFonts w:cstheme="minorHAnsi"/>
              </w:rPr>
              <w:t xml:space="preserve">he Department and Pobal, who administer the programme on behalf of the Department, undertook extensive </w:t>
            </w:r>
            <w:r w:rsidR="007956D3">
              <w:rPr>
                <w:rFonts w:cstheme="minorHAnsi"/>
              </w:rPr>
              <w:t xml:space="preserve">stakeholder </w:t>
            </w:r>
            <w:r w:rsidR="000B46F0" w:rsidRPr="00A5759D">
              <w:rPr>
                <w:rFonts w:cstheme="minorHAnsi"/>
              </w:rPr>
              <w:t xml:space="preserve">consultation </w:t>
            </w:r>
            <w:r w:rsidR="007956D3">
              <w:rPr>
                <w:rFonts w:cstheme="minorHAnsi"/>
              </w:rPr>
              <w:t xml:space="preserve">in relation to a </w:t>
            </w:r>
            <w:r w:rsidR="000B46F0" w:rsidRPr="00A5759D">
              <w:rPr>
                <w:rFonts w:cstheme="minorHAnsi"/>
              </w:rPr>
              <w:t>restructuring of the CSP programme.</w:t>
            </w:r>
            <w:r w:rsidR="000B46F0" w:rsidRPr="00A5759D">
              <w:rPr>
                <w:rFonts w:cstheme="minorHAnsi"/>
                <w:color w:val="000000"/>
              </w:rPr>
              <w:t xml:space="preserve"> </w:t>
            </w:r>
            <w:r w:rsidR="000B46F0" w:rsidRPr="00A5759D">
              <w:rPr>
                <w:rFonts w:cstheme="minorHAnsi"/>
              </w:rPr>
              <w:t xml:space="preserve"> </w:t>
            </w:r>
          </w:p>
          <w:p w14:paraId="5C79946E" w14:textId="77777777" w:rsidR="00CB6E84" w:rsidRDefault="00CB6E84" w:rsidP="00A5759D">
            <w:pPr>
              <w:shd w:val="clear" w:color="auto" w:fill="C5E0B3" w:themeFill="accent6" w:themeFillTint="66"/>
              <w:autoSpaceDE w:val="0"/>
              <w:autoSpaceDN w:val="0"/>
              <w:adjustRightInd w:val="0"/>
              <w:rPr>
                <w:rFonts w:cstheme="minorHAnsi"/>
              </w:rPr>
            </w:pPr>
          </w:p>
          <w:p w14:paraId="6095E624" w14:textId="789F8F28" w:rsidR="000B46F0" w:rsidRPr="00EF795E" w:rsidRDefault="000B46F0" w:rsidP="00CB6E84">
            <w:pPr>
              <w:shd w:val="clear" w:color="auto" w:fill="C5E0B3" w:themeFill="accent6" w:themeFillTint="66"/>
              <w:autoSpaceDE w:val="0"/>
              <w:autoSpaceDN w:val="0"/>
              <w:adjustRightInd w:val="0"/>
              <w:rPr>
                <w:rFonts w:cstheme="minorHAnsi"/>
              </w:rPr>
            </w:pPr>
            <w:r w:rsidRPr="00A5759D">
              <w:rPr>
                <w:rFonts w:cstheme="minorHAnsi"/>
              </w:rPr>
              <w:t>In late 2022, existing CSP supported organisations were invited to apply to transition to the restructured programme. A new funding rate allocation model for the CSP programme was introduced from 1st January 2023, as an alternative to the f</w:t>
            </w:r>
            <w:r w:rsidR="007956D3">
              <w:rPr>
                <w:rFonts w:cstheme="minorHAnsi"/>
              </w:rPr>
              <w:t>ormer flat rate payment model.</w:t>
            </w:r>
            <w:r w:rsidR="00CB6E84">
              <w:rPr>
                <w:rFonts w:cstheme="minorHAnsi"/>
              </w:rPr>
              <w:t xml:space="preserve"> An open </w:t>
            </w:r>
            <w:r w:rsidRPr="00EF795E">
              <w:rPr>
                <w:rFonts w:cstheme="minorHAnsi"/>
              </w:rPr>
              <w:t xml:space="preserve">call for applications </w:t>
            </w:r>
            <w:r w:rsidR="00CB6E84">
              <w:rPr>
                <w:rFonts w:cstheme="minorHAnsi"/>
              </w:rPr>
              <w:t>followed</w:t>
            </w:r>
            <w:r w:rsidRPr="00EF795E">
              <w:rPr>
                <w:rFonts w:cstheme="minorHAnsi"/>
              </w:rPr>
              <w:t xml:space="preserve"> in March 2023</w:t>
            </w:r>
            <w:r w:rsidR="00CB6E84">
              <w:rPr>
                <w:rFonts w:cstheme="minorHAnsi"/>
              </w:rPr>
              <w:t>,</w:t>
            </w:r>
            <w:r w:rsidRPr="00EF795E">
              <w:rPr>
                <w:rFonts w:cstheme="minorHAnsi"/>
              </w:rPr>
              <w:t xml:space="preserve"> which resulted in an addition 14 new organisation approved entry under the CSP, supporting 13 </w:t>
            </w:r>
            <w:r w:rsidR="00CB6E84" w:rsidRPr="00EF795E">
              <w:rPr>
                <w:rFonts w:cstheme="minorHAnsi"/>
              </w:rPr>
              <w:t>managers</w:t>
            </w:r>
            <w:r w:rsidRPr="00EF795E">
              <w:rPr>
                <w:rFonts w:cstheme="minorHAnsi"/>
              </w:rPr>
              <w:t xml:space="preserve"> and 23 full ti</w:t>
            </w:r>
            <w:r w:rsidR="00CB6E84">
              <w:rPr>
                <w:rFonts w:cstheme="minorHAnsi"/>
              </w:rPr>
              <w:t xml:space="preserve">me equivalent (FTE) positions. </w:t>
            </w:r>
          </w:p>
          <w:p w14:paraId="74101BC8" w14:textId="49D75441" w:rsidR="000B46F0" w:rsidRPr="00EF795E" w:rsidRDefault="000B46F0" w:rsidP="00CB6E84">
            <w:pPr>
              <w:shd w:val="clear" w:color="auto" w:fill="C5E0B3" w:themeFill="accent6" w:themeFillTint="66"/>
              <w:autoSpaceDE w:val="0"/>
              <w:autoSpaceDN w:val="0"/>
              <w:adjustRightInd w:val="0"/>
              <w:rPr>
                <w:rFonts w:cstheme="minorHAnsi"/>
              </w:rPr>
            </w:pPr>
            <w:r w:rsidRPr="00EF795E">
              <w:rPr>
                <w:rFonts w:cstheme="minorHAnsi"/>
              </w:rPr>
              <w:t>In September 2023, the Department announced</w:t>
            </w:r>
            <w:r w:rsidR="00CB6E84">
              <w:rPr>
                <w:rFonts w:cstheme="minorHAnsi"/>
              </w:rPr>
              <w:t xml:space="preserve"> €1m</w:t>
            </w:r>
            <w:r w:rsidRPr="00EF795E">
              <w:rPr>
                <w:rFonts w:cstheme="minorHAnsi"/>
              </w:rPr>
              <w:t xml:space="preserve"> funding </w:t>
            </w:r>
            <w:r w:rsidR="00CB6E84">
              <w:rPr>
                <w:rFonts w:cstheme="minorHAnsi"/>
              </w:rPr>
              <w:t>to expand the programme</w:t>
            </w:r>
            <w:r w:rsidRPr="00EF795E">
              <w:rPr>
                <w:rFonts w:cstheme="minorHAnsi"/>
              </w:rPr>
              <w:t xml:space="preserve">, which resulted in 32 </w:t>
            </w:r>
            <w:r w:rsidR="00CB6E84">
              <w:rPr>
                <w:rFonts w:cstheme="minorHAnsi"/>
              </w:rPr>
              <w:t xml:space="preserve">existing </w:t>
            </w:r>
            <w:r w:rsidRPr="00EF795E">
              <w:rPr>
                <w:rFonts w:cstheme="minorHAnsi"/>
              </w:rPr>
              <w:t>organisations benefitting from additional funding towards the cost of supporting 7 manager</w:t>
            </w:r>
            <w:r w:rsidR="00CB6E84">
              <w:rPr>
                <w:rFonts w:cstheme="minorHAnsi"/>
              </w:rPr>
              <w:t>s</w:t>
            </w:r>
            <w:r w:rsidRPr="00EF795E">
              <w:rPr>
                <w:rFonts w:cstheme="minorHAnsi"/>
              </w:rPr>
              <w:t xml:space="preserve"> and 35 FTE positions from June 2024.</w:t>
            </w:r>
          </w:p>
          <w:p w14:paraId="205333BE" w14:textId="77777777" w:rsidR="00CB6E84" w:rsidRDefault="00CB6E84" w:rsidP="00CB6E84">
            <w:pPr>
              <w:shd w:val="clear" w:color="auto" w:fill="C5E0B3" w:themeFill="accent6" w:themeFillTint="66"/>
              <w:autoSpaceDE w:val="0"/>
              <w:autoSpaceDN w:val="0"/>
              <w:adjustRightInd w:val="0"/>
              <w:rPr>
                <w:rFonts w:cstheme="minorHAnsi"/>
              </w:rPr>
            </w:pPr>
          </w:p>
          <w:p w14:paraId="759B8817" w14:textId="77777777" w:rsidR="00CB6E84" w:rsidRDefault="000B46F0" w:rsidP="00CB6E84">
            <w:pPr>
              <w:shd w:val="clear" w:color="auto" w:fill="C5E0B3" w:themeFill="accent6" w:themeFillTint="66"/>
              <w:autoSpaceDE w:val="0"/>
              <w:autoSpaceDN w:val="0"/>
              <w:adjustRightInd w:val="0"/>
              <w:rPr>
                <w:rFonts w:cstheme="minorHAnsi"/>
              </w:rPr>
            </w:pPr>
            <w:r w:rsidRPr="00EF795E">
              <w:rPr>
                <w:rFonts w:cstheme="minorHAnsi"/>
              </w:rPr>
              <w:t>In addition, the Department reviewed the impact of the increase of €1.40 per hour to the minimum wage level from 1</w:t>
            </w:r>
            <w:r w:rsidRPr="00EF795E">
              <w:rPr>
                <w:rFonts w:cstheme="minorHAnsi"/>
                <w:vertAlign w:val="superscript"/>
              </w:rPr>
              <w:t>st</w:t>
            </w:r>
            <w:r w:rsidRPr="00EF795E">
              <w:rPr>
                <w:rFonts w:cstheme="minorHAnsi"/>
              </w:rPr>
              <w:t> January 2024, which was announced as part of the 2024 budget statement. As a result of this review, on 13 December last, it was announce</w:t>
            </w:r>
            <w:r w:rsidR="00CB6E84">
              <w:rPr>
                <w:rFonts w:cstheme="minorHAnsi"/>
              </w:rPr>
              <w:t>d that the contributions to FTE</w:t>
            </w:r>
            <w:r w:rsidRPr="00EF795E">
              <w:rPr>
                <w:rFonts w:cstheme="minorHAnsi"/>
              </w:rPr>
              <w:t xml:space="preserve">s and Managers in CSP supported organisations in receipt of both the higher and medium rates of funding would see an </w:t>
            </w:r>
            <w:r w:rsidR="00CB6E84">
              <w:rPr>
                <w:rFonts w:cstheme="minorHAnsi"/>
              </w:rPr>
              <w:t xml:space="preserve">increase to their contribution. </w:t>
            </w:r>
          </w:p>
          <w:p w14:paraId="15CF452B" w14:textId="77777777" w:rsidR="00CB6E84" w:rsidRDefault="00CB6E84" w:rsidP="00CB6E84">
            <w:pPr>
              <w:shd w:val="clear" w:color="auto" w:fill="C5E0B3" w:themeFill="accent6" w:themeFillTint="66"/>
              <w:autoSpaceDE w:val="0"/>
              <w:autoSpaceDN w:val="0"/>
              <w:adjustRightInd w:val="0"/>
              <w:rPr>
                <w:rFonts w:cstheme="minorHAnsi"/>
              </w:rPr>
            </w:pPr>
          </w:p>
          <w:p w14:paraId="43BA400E" w14:textId="5FC14DB7" w:rsidR="000B46F0" w:rsidRPr="00EF795E" w:rsidRDefault="000B46F0" w:rsidP="00CB6E84">
            <w:pPr>
              <w:shd w:val="clear" w:color="auto" w:fill="C5E0B3" w:themeFill="accent6" w:themeFillTint="66"/>
              <w:autoSpaceDE w:val="0"/>
              <w:autoSpaceDN w:val="0"/>
              <w:adjustRightInd w:val="0"/>
              <w:rPr>
                <w:rFonts w:cstheme="minorHAnsi"/>
              </w:rPr>
            </w:pPr>
            <w:r w:rsidRPr="00EF795E">
              <w:rPr>
                <w:rFonts w:cstheme="minorHAnsi"/>
              </w:rPr>
              <w:t xml:space="preserve">The CSP currently supports 430 community organisations with funding of €53m for 2024. </w:t>
            </w:r>
          </w:p>
          <w:p w14:paraId="5B383D1D" w14:textId="77777777" w:rsidR="000B46F0" w:rsidRPr="00EF795E" w:rsidRDefault="000B46F0" w:rsidP="008E1F38">
            <w:pPr>
              <w:shd w:val="clear" w:color="auto" w:fill="C5E0B3" w:themeFill="accent6" w:themeFillTint="66"/>
              <w:autoSpaceDE w:val="0"/>
              <w:autoSpaceDN w:val="0"/>
              <w:adjustRightInd w:val="0"/>
              <w:rPr>
                <w:rFonts w:cstheme="minorHAnsi"/>
              </w:rPr>
            </w:pPr>
          </w:p>
          <w:p w14:paraId="178D6E2F" w14:textId="4B437D0B" w:rsidR="000B46F0" w:rsidRPr="00CB6E84" w:rsidRDefault="000B46F0" w:rsidP="00CB6E84">
            <w:pPr>
              <w:shd w:val="clear" w:color="auto" w:fill="C5E0B3" w:themeFill="accent6" w:themeFillTint="66"/>
              <w:autoSpaceDE w:val="0"/>
              <w:autoSpaceDN w:val="0"/>
              <w:adjustRightInd w:val="0"/>
              <w:rPr>
                <w:rFonts w:cstheme="minorHAnsi"/>
                <w:color w:val="000000" w:themeColor="text1"/>
              </w:rPr>
            </w:pPr>
            <w:r w:rsidRPr="00CB6E84">
              <w:rPr>
                <w:rFonts w:cstheme="minorHAnsi"/>
                <w:color w:val="000000" w:themeColor="text1"/>
              </w:rPr>
              <w:t>The 202</w:t>
            </w:r>
            <w:r w:rsidR="00CB6E84">
              <w:rPr>
                <w:rFonts w:cstheme="minorHAnsi"/>
                <w:color w:val="000000" w:themeColor="text1"/>
              </w:rPr>
              <w:t>4</w:t>
            </w:r>
            <w:r w:rsidRPr="00CB6E84">
              <w:rPr>
                <w:rFonts w:cstheme="minorHAnsi"/>
                <w:color w:val="000000" w:themeColor="text1"/>
              </w:rPr>
              <w:t xml:space="preserve"> </w:t>
            </w:r>
            <w:r w:rsidRPr="00CB6E84">
              <w:rPr>
                <w:rFonts w:cstheme="minorHAnsi"/>
                <w:b/>
                <w:color w:val="000000" w:themeColor="text1"/>
              </w:rPr>
              <w:t>CLÁR Programme</w:t>
            </w:r>
            <w:r w:rsidRPr="00CB6E84">
              <w:rPr>
                <w:rFonts w:cstheme="minorHAnsi"/>
                <w:color w:val="000000" w:themeColor="text1"/>
              </w:rPr>
              <w:t xml:space="preserve"> was launched in March with a total budget of €7.8 million.  Applications across all measur</w:t>
            </w:r>
            <w:r w:rsidR="00CB6E84">
              <w:rPr>
                <w:rFonts w:cstheme="minorHAnsi"/>
                <w:color w:val="000000" w:themeColor="text1"/>
              </w:rPr>
              <w:t>es are currently being assessed</w:t>
            </w:r>
          </w:p>
          <w:p w14:paraId="6E04DCEA" w14:textId="77777777" w:rsidR="000B46F0" w:rsidRPr="00EF795E" w:rsidRDefault="000B46F0" w:rsidP="008E1F38">
            <w:pPr>
              <w:rPr>
                <w:rFonts w:cstheme="minorHAnsi"/>
              </w:rPr>
            </w:pPr>
          </w:p>
          <w:p w14:paraId="4745A75F" w14:textId="4C1A2230" w:rsidR="000B46F0" w:rsidRPr="00EF795E" w:rsidRDefault="00CB6E84" w:rsidP="008E1F38">
            <w:pPr>
              <w:rPr>
                <w:rFonts w:cstheme="minorHAnsi"/>
              </w:rPr>
            </w:pPr>
            <w:r w:rsidRPr="0061245A">
              <w:t>The</w:t>
            </w:r>
            <w:r w:rsidR="0061245A">
              <w:t xml:space="preserve"> new</w:t>
            </w:r>
            <w:r w:rsidRPr="00CB6E84">
              <w:rPr>
                <w:b/>
              </w:rPr>
              <w:t xml:space="preserve"> Social Inclusion and Community Activation Programme (</w:t>
            </w:r>
            <w:r w:rsidR="000B46F0" w:rsidRPr="00CB6E84">
              <w:rPr>
                <w:rFonts w:cstheme="minorHAnsi"/>
                <w:b/>
              </w:rPr>
              <w:t>SICAP</w:t>
            </w:r>
            <w:r w:rsidRPr="00CB6E84">
              <w:rPr>
                <w:rFonts w:cstheme="minorHAnsi"/>
                <w:b/>
              </w:rPr>
              <w:t>)</w:t>
            </w:r>
            <w:r w:rsidR="000B46F0" w:rsidRPr="00CB6E84">
              <w:rPr>
                <w:rFonts w:cstheme="minorHAnsi"/>
              </w:rPr>
              <w:t xml:space="preserve"> 2024-2028 commenced on 1 January 2024 following an extensive procurement process for delivery of services. </w:t>
            </w:r>
            <w:r w:rsidR="000B46F0" w:rsidRPr="00EF795E">
              <w:rPr>
                <w:rFonts w:cstheme="minorHAnsi"/>
              </w:rPr>
              <w:t>Throughout 2022 and 2023, the Department undertook an independent review of the SICAP 2018 - 2023 programme, as well as stakeholder consultation to inform the next programme iteration.</w:t>
            </w:r>
            <w:r w:rsidR="0061245A" w:rsidRPr="00EF795E">
              <w:rPr>
                <w:rFonts w:cstheme="minorHAnsi"/>
              </w:rPr>
              <w:t xml:space="preserve"> SICAP 2024-2028 new </w:t>
            </w:r>
            <w:r w:rsidR="0061245A">
              <w:rPr>
                <w:rFonts w:cstheme="minorHAnsi"/>
              </w:rPr>
              <w:t>t</w:t>
            </w:r>
            <w:r w:rsidR="0061245A" w:rsidRPr="00EF795E">
              <w:rPr>
                <w:rFonts w:cstheme="minorHAnsi"/>
              </w:rPr>
              <w:t>arget groups include people with a criminal history, people impacted by educational disadvantage and permanent residents of Ireland’s islands.</w:t>
            </w:r>
            <w:r w:rsidR="0061245A">
              <w:rPr>
                <w:rFonts w:cstheme="minorHAnsi"/>
              </w:rPr>
              <w:t xml:space="preserve"> </w:t>
            </w:r>
          </w:p>
          <w:p w14:paraId="2A6CC9F9" w14:textId="5ECB4180" w:rsidR="0061245A" w:rsidRDefault="0061245A" w:rsidP="0061245A">
            <w:pPr>
              <w:rPr>
                <w:rFonts w:cstheme="minorHAnsi"/>
              </w:rPr>
            </w:pPr>
          </w:p>
          <w:p w14:paraId="71D7A665" w14:textId="2C3FDB8A" w:rsidR="000B46F0" w:rsidRDefault="00852937" w:rsidP="0061245A">
            <w:pPr>
              <w:rPr>
                <w:rFonts w:cstheme="minorHAnsi"/>
              </w:rPr>
            </w:pPr>
            <w:r>
              <w:rPr>
                <w:rFonts w:cstheme="minorHAnsi"/>
              </w:rPr>
              <w:t xml:space="preserve">The new SICAP programme builds on the previous iteration which saw significant investment into communities. </w:t>
            </w:r>
            <w:r w:rsidR="000B46F0" w:rsidRPr="00EF795E">
              <w:rPr>
                <w:rFonts w:cstheme="minorHAnsi"/>
              </w:rPr>
              <w:t>A 10% increase in funding was secured for SICAP for 2022, the largest increase since the programme was launched. In 2023, a further increase of €1.3m was secured and for 2024, another €3m was secured. This represents a total increase of €8.3 million in funding for the programme over 3 years, with annual funding now totalling €47.4m in 2024.</w:t>
            </w:r>
          </w:p>
          <w:p w14:paraId="12C7CEFB" w14:textId="77777777" w:rsidR="0061245A" w:rsidRPr="00EF795E" w:rsidRDefault="0061245A" w:rsidP="0061245A">
            <w:pPr>
              <w:rPr>
                <w:rFonts w:cstheme="minorHAnsi"/>
              </w:rPr>
            </w:pPr>
          </w:p>
          <w:p w14:paraId="79175B63" w14:textId="6D19F601" w:rsidR="000B46F0" w:rsidRPr="00EF795E" w:rsidRDefault="000B46F0" w:rsidP="0061245A">
            <w:pPr>
              <w:rPr>
                <w:rFonts w:cstheme="minorHAnsi"/>
              </w:rPr>
            </w:pPr>
            <w:r w:rsidRPr="00EF795E">
              <w:rPr>
                <w:rFonts w:cstheme="minorHAnsi"/>
              </w:rPr>
              <w:t>Funding of €5 million was allocated for</w:t>
            </w:r>
            <w:r w:rsidR="00852937">
              <w:rPr>
                <w:rFonts w:cstheme="minorHAnsi"/>
              </w:rPr>
              <w:t xml:space="preserve"> the</w:t>
            </w:r>
            <w:r w:rsidRPr="00EF795E">
              <w:rPr>
                <w:rFonts w:cstheme="minorHAnsi"/>
              </w:rPr>
              <w:t xml:space="preserve"> delivery</w:t>
            </w:r>
            <w:r w:rsidR="00852937">
              <w:rPr>
                <w:rFonts w:cstheme="minorHAnsi"/>
              </w:rPr>
              <w:t xml:space="preserve"> of SICAP services to new a</w:t>
            </w:r>
            <w:r w:rsidRPr="00EF795E">
              <w:rPr>
                <w:rFonts w:cstheme="minorHAnsi"/>
              </w:rPr>
              <w:t>rrivals from Ukraine in 2022. Additional funding of €10m was then secured for continued delivery of these services in 2023, and a fur</w:t>
            </w:r>
            <w:r w:rsidR="00852937">
              <w:rPr>
                <w:rFonts w:cstheme="minorHAnsi"/>
              </w:rPr>
              <w:t>ther €10m has been secured for new a</w:t>
            </w:r>
            <w:r w:rsidRPr="00EF795E">
              <w:rPr>
                <w:rFonts w:cstheme="minorHAnsi"/>
              </w:rPr>
              <w:t>rrivals funding in 2024. Following feedback and engagements with Local Development Companies</w:t>
            </w:r>
            <w:r w:rsidR="00BD04FF">
              <w:rPr>
                <w:rFonts w:cstheme="minorHAnsi"/>
              </w:rPr>
              <w:t xml:space="preserve"> (LDCs)</w:t>
            </w:r>
            <w:r w:rsidRPr="00EF795E">
              <w:rPr>
                <w:rFonts w:cstheme="minorHAnsi"/>
              </w:rPr>
              <w:t xml:space="preserve"> on utilisation of this funding, the Department later issued revised guidance confirming that the funding could also be used to deliver SICAP services to International Protection candidates (IPAS candidates) as well as Ukrainian arrivals.</w:t>
            </w:r>
          </w:p>
          <w:p w14:paraId="080E2C2E" w14:textId="2FA041ED" w:rsidR="000B46F0" w:rsidRPr="00EF795E" w:rsidRDefault="000B46F0" w:rsidP="008E1F38">
            <w:pPr>
              <w:rPr>
                <w:rFonts w:cstheme="minorHAnsi"/>
              </w:rPr>
            </w:pPr>
          </w:p>
          <w:p w14:paraId="1019D7FC" w14:textId="1A67F8D6" w:rsidR="000B46F0" w:rsidRPr="00EF795E" w:rsidRDefault="000B46F0" w:rsidP="0061245A">
            <w:pPr>
              <w:rPr>
                <w:rFonts w:cstheme="minorHAnsi"/>
              </w:rPr>
            </w:pPr>
            <w:r w:rsidRPr="00EF795E">
              <w:rPr>
                <w:rFonts w:cstheme="minorHAnsi"/>
              </w:rPr>
              <w:t>At the Department’s Welcoming New Communities event in Dublin Castle on July 15th, Minister Joe O’Brien announced an additional €1m in funding for allocation to LDC’s delivering SICAP services to New Arrivals. This funding has now been allocated, using the most up-to-date CSO data on the placement of New Arrivals across Ireland.</w:t>
            </w:r>
          </w:p>
          <w:p w14:paraId="1CA3FD48" w14:textId="77777777" w:rsidR="000B46F0" w:rsidRPr="00EF795E" w:rsidRDefault="000B46F0" w:rsidP="008E1F38">
            <w:pPr>
              <w:ind w:left="720"/>
              <w:rPr>
                <w:rFonts w:cstheme="minorHAnsi"/>
              </w:rPr>
            </w:pPr>
          </w:p>
          <w:p w14:paraId="4A7F8B21" w14:textId="0E96E330" w:rsidR="000B46F0" w:rsidRPr="00BD04FF" w:rsidRDefault="000B46F0" w:rsidP="00BD04FF">
            <w:pPr>
              <w:rPr>
                <w:rFonts w:cstheme="minorHAnsi"/>
              </w:rPr>
            </w:pPr>
            <w:r w:rsidRPr="00BD04FF">
              <w:rPr>
                <w:rFonts w:eastAsiaTheme="minorEastAsia" w:cstheme="minorHAnsi"/>
              </w:rPr>
              <w:t xml:space="preserve">A €6 million </w:t>
            </w:r>
            <w:r w:rsidRPr="000D1345">
              <w:rPr>
                <w:rFonts w:eastAsiaTheme="minorEastAsia" w:cstheme="minorHAnsi"/>
                <w:b/>
              </w:rPr>
              <w:t xml:space="preserve">Local Enhancement Programme (LEP) </w:t>
            </w:r>
            <w:r w:rsidRPr="00BD04FF">
              <w:rPr>
                <w:rFonts w:eastAsiaTheme="minorEastAsia" w:cstheme="minorHAnsi"/>
              </w:rPr>
              <w:t xml:space="preserve">was launched in December 2023 to replace </w:t>
            </w:r>
            <w:r w:rsidRPr="000D1345">
              <w:rPr>
                <w:rFonts w:eastAsiaTheme="minorEastAsia" w:cstheme="minorHAnsi"/>
                <w:b/>
              </w:rPr>
              <w:t>the Community Enhancement Programme (CEP)</w:t>
            </w:r>
            <w:r w:rsidRPr="00BD04FF">
              <w:rPr>
                <w:rFonts w:cstheme="minorHAnsi"/>
              </w:rPr>
              <w:t xml:space="preserve"> with funding allocated to over 3,500 projects</w:t>
            </w:r>
            <w:r w:rsidR="00BD04FF">
              <w:rPr>
                <w:rFonts w:cstheme="minorHAnsi"/>
              </w:rPr>
              <w:t xml:space="preserve"> across the country</w:t>
            </w:r>
            <w:r w:rsidRPr="00BD04FF">
              <w:rPr>
                <w:rFonts w:cstheme="minorHAnsi"/>
              </w:rPr>
              <w:t>.</w:t>
            </w:r>
          </w:p>
          <w:p w14:paraId="1A094DC1" w14:textId="77777777" w:rsidR="000B46F0" w:rsidRPr="00EF795E" w:rsidRDefault="000B46F0" w:rsidP="008E1F38">
            <w:pPr>
              <w:rPr>
                <w:rFonts w:cstheme="minorHAnsi"/>
                <w:color w:val="1F497D"/>
              </w:rPr>
            </w:pPr>
          </w:p>
        </w:tc>
        <w:tc>
          <w:tcPr>
            <w:tcW w:w="2693" w:type="dxa"/>
            <w:shd w:val="clear" w:color="auto" w:fill="C5E0B3" w:themeFill="accent6" w:themeFillTint="66"/>
          </w:tcPr>
          <w:p w14:paraId="71F893A4"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r w:rsidRPr="00EF795E">
              <w:rPr>
                <w:rFonts w:cstheme="minorHAnsi"/>
              </w:rPr>
              <w:t>CSP – Ongoing</w:t>
            </w:r>
          </w:p>
          <w:p w14:paraId="6844F310"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382D89A6"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4606812B"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02961CA0"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53D4DCF9"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282E14CD"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0AE0CCE0"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6D205D07"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0D9DC377"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3FA38F52" w14:textId="754F2DA9"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79979956" w14:textId="34E5FC6D"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7611B152" w14:textId="0D3037A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0DD3AEC7" w14:textId="4D48CBB4"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7CBB9440" w14:textId="6B58143E"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225D125D"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786071B0"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1A576B5F"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r w:rsidRPr="00EF795E">
              <w:rPr>
                <w:rFonts w:cstheme="minorHAnsi"/>
              </w:rPr>
              <w:t>CLÁR – Ongoing</w:t>
            </w:r>
          </w:p>
          <w:p w14:paraId="26BEDB21"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02E93CA3"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6AEC2A9E"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6166D6F3"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r w:rsidRPr="00EF795E">
              <w:rPr>
                <w:rFonts w:cstheme="minorHAnsi"/>
              </w:rPr>
              <w:t>SICAP – Ongoing</w:t>
            </w:r>
          </w:p>
          <w:p w14:paraId="41511B11"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5F883F81"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08F91A06"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576809B5"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4D494111"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0E51FAA0"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7A08909B"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35A08B43"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6B0B540B"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2CA40782"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2BC0D414"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1F94D28B"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2B5DD8B8"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60CC696F"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001C2CBE"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50AFE39C"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01B0FE92"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1E40EF27"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4615AA35" w14:textId="00C3E700"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7681A391"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1C10600E"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p w14:paraId="4A4FC37D" w14:textId="2949AE54" w:rsidR="000B46F0" w:rsidRPr="00EF795E" w:rsidRDefault="000B46F0" w:rsidP="008E1F38">
            <w:pPr>
              <w:shd w:val="clear" w:color="auto" w:fill="C5E0B3" w:themeFill="accent6" w:themeFillTint="66"/>
              <w:autoSpaceDE w:val="0"/>
              <w:autoSpaceDN w:val="0"/>
              <w:adjustRightInd w:val="0"/>
              <w:jc w:val="center"/>
              <w:rPr>
                <w:rFonts w:cstheme="minorHAnsi"/>
              </w:rPr>
            </w:pPr>
            <w:r w:rsidRPr="00EF795E">
              <w:rPr>
                <w:rFonts w:cstheme="minorHAnsi"/>
              </w:rPr>
              <w:t>CEP – Completed/</w:t>
            </w:r>
          </w:p>
          <w:p w14:paraId="710B7889"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r w:rsidRPr="00EF795E">
              <w:rPr>
                <w:rFonts w:cstheme="minorHAnsi"/>
              </w:rPr>
              <w:t>LEP - Ongoing</w:t>
            </w:r>
          </w:p>
          <w:p w14:paraId="601C0FB6" w14:textId="77777777" w:rsidR="000B46F0" w:rsidRPr="00EF795E" w:rsidRDefault="000B46F0" w:rsidP="008E1F38">
            <w:pPr>
              <w:shd w:val="clear" w:color="auto" w:fill="C5E0B3" w:themeFill="accent6" w:themeFillTint="66"/>
              <w:autoSpaceDE w:val="0"/>
              <w:autoSpaceDN w:val="0"/>
              <w:adjustRightInd w:val="0"/>
              <w:jc w:val="center"/>
              <w:rPr>
                <w:rFonts w:cstheme="minorHAnsi"/>
              </w:rPr>
            </w:pPr>
          </w:p>
        </w:tc>
      </w:tr>
      <w:tr w:rsidR="000B46F0" w:rsidRPr="00EF795E" w14:paraId="16E15A15" w14:textId="77777777" w:rsidTr="00CF1A37">
        <w:tc>
          <w:tcPr>
            <w:tcW w:w="4928" w:type="dxa"/>
            <w:shd w:val="clear" w:color="auto" w:fill="C5E0B3" w:themeFill="accent6" w:themeFillTint="66"/>
          </w:tcPr>
          <w:p w14:paraId="46CC3B3F"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 xml:space="preserve">Support our library network to meet the needs of our ever-changing society and implement the public libraries strategy, Our Public Libraries 2022. </w:t>
            </w:r>
          </w:p>
        </w:tc>
        <w:tc>
          <w:tcPr>
            <w:tcW w:w="12118" w:type="dxa"/>
            <w:shd w:val="clear" w:color="auto" w:fill="C5E0B3" w:themeFill="accent6" w:themeFillTint="66"/>
          </w:tcPr>
          <w:p w14:paraId="542B6A05" w14:textId="238E7043" w:rsidR="000B46F0" w:rsidRPr="00013B78" w:rsidRDefault="000B46F0" w:rsidP="00013B78">
            <w:pPr>
              <w:rPr>
                <w:rFonts w:eastAsia="Calibri" w:cstheme="minorHAnsi"/>
                <w:color w:val="000000" w:themeColor="text1"/>
                <w14:ligatures w14:val="standardContextual"/>
              </w:rPr>
            </w:pPr>
            <w:r w:rsidRPr="00013B78">
              <w:rPr>
                <w:rFonts w:eastAsia="Calibri" w:cstheme="minorHAnsi"/>
                <w:color w:val="000000" w:themeColor="text1"/>
                <w14:ligatures w14:val="standardContextual"/>
              </w:rPr>
              <w:t>The new Public Library Strategy ‘</w:t>
            </w:r>
            <w:hyperlink r:id="rId18" w:history="1">
              <w:r w:rsidRPr="00013B78">
                <w:rPr>
                  <w:rStyle w:val="Hyperlink"/>
                  <w:rFonts w:eastAsia="Calibri" w:cstheme="minorHAnsi"/>
                  <w:i/>
                  <w14:ligatures w14:val="standardContextual"/>
                </w:rPr>
                <w:t>The Library Is The Place’</w:t>
              </w:r>
            </w:hyperlink>
            <w:r w:rsidRPr="00013B78">
              <w:rPr>
                <w:rFonts w:eastAsia="Calibri" w:cstheme="minorHAnsi"/>
                <w:color w:val="000000" w:themeColor="text1"/>
                <w14:ligatures w14:val="standardContextual"/>
              </w:rPr>
              <w:t xml:space="preserve"> was published in July 2023 and it contains 66 actions. One of the key actions was the development of a new Libraries Capital Programme which was announced in April 2024 when funding of over €25m was approved to support infrastructure projects in 11 public libraries and the provision of 12 new mobile library vehicles. </w:t>
            </w:r>
          </w:p>
          <w:p w14:paraId="269F013E" w14:textId="77777777" w:rsidR="000B46F0" w:rsidRPr="00EF795E" w:rsidRDefault="000B46F0" w:rsidP="008E1F38">
            <w:pPr>
              <w:rPr>
                <w:rFonts w:eastAsia="Calibri" w:cstheme="minorHAnsi"/>
                <w:color w:val="000000" w:themeColor="text1"/>
                <w14:ligatures w14:val="standardContextual"/>
              </w:rPr>
            </w:pPr>
          </w:p>
          <w:p w14:paraId="79C7F9BB" w14:textId="36C58E57" w:rsidR="000B46F0" w:rsidRPr="00013B78" w:rsidRDefault="000B46F0" w:rsidP="00013B78">
            <w:pPr>
              <w:rPr>
                <w:rFonts w:eastAsia="Calibri" w:cstheme="minorHAnsi"/>
                <w:color w:val="000000" w:themeColor="text1"/>
                <w14:ligatures w14:val="standardContextual"/>
              </w:rPr>
            </w:pPr>
            <w:r w:rsidRPr="00013B78">
              <w:rPr>
                <w:rFonts w:eastAsia="Calibri" w:cstheme="minorHAnsi"/>
                <w:color w:val="000000" w:themeColor="text1"/>
                <w14:ligatures w14:val="standardContextual"/>
              </w:rPr>
              <w:lastRenderedPageBreak/>
              <w:t xml:space="preserve">The previous Libraries Capital Programme 2016-2022 provided funding of approximately €29m for 16 projects and 12 of these have been completed to date. A further two projects are currently under construction with Ennis expected to open in October and Stillorgan due to open in Q1 2026. The remaining </w:t>
            </w:r>
            <w:r w:rsidR="00013B78">
              <w:rPr>
                <w:rFonts w:eastAsia="Calibri" w:cstheme="minorHAnsi"/>
                <w:color w:val="000000" w:themeColor="text1"/>
                <w14:ligatures w14:val="standardContextual"/>
              </w:rPr>
              <w:t>two</w:t>
            </w:r>
            <w:r w:rsidRPr="00013B78">
              <w:rPr>
                <w:rFonts w:eastAsia="Calibri" w:cstheme="minorHAnsi"/>
                <w:color w:val="000000" w:themeColor="text1"/>
                <w14:ligatures w14:val="standardContextual"/>
              </w:rPr>
              <w:t xml:space="preserve"> projects are at early stages and do not have opening dates as of yet. </w:t>
            </w:r>
          </w:p>
          <w:p w14:paraId="3209B2D0" w14:textId="77777777" w:rsidR="000B46F0" w:rsidRPr="00EF795E" w:rsidRDefault="000B46F0" w:rsidP="008E1F38">
            <w:pPr>
              <w:rPr>
                <w:rFonts w:eastAsia="Calibri" w:cstheme="minorHAnsi"/>
                <w:color w:val="000000" w:themeColor="text1"/>
                <w14:ligatures w14:val="standardContextual"/>
              </w:rPr>
            </w:pPr>
          </w:p>
          <w:p w14:paraId="3AAA6E09" w14:textId="751AB466" w:rsidR="000B46F0" w:rsidRPr="00013B78" w:rsidRDefault="000B46F0" w:rsidP="00013B78">
            <w:pPr>
              <w:rPr>
                <w:rFonts w:eastAsia="Calibri" w:cstheme="minorHAnsi"/>
                <w:color w:val="000000" w:themeColor="text1"/>
                <w14:ligatures w14:val="standardContextual"/>
              </w:rPr>
            </w:pPr>
            <w:r w:rsidRPr="00013B78">
              <w:rPr>
                <w:rFonts w:eastAsia="Calibri" w:cstheme="minorHAnsi"/>
                <w:color w:val="000000" w:themeColor="text1"/>
                <w14:ligatures w14:val="standardContextual"/>
              </w:rPr>
              <w:t xml:space="preserve">Funding of €3.1m was provided in September 2022 to support the provision of the </w:t>
            </w:r>
            <w:r w:rsidRPr="00013B78">
              <w:rPr>
                <w:rFonts w:eastAsia="Calibri" w:cstheme="minorHAnsi"/>
                <w:i/>
                <w:color w:val="000000" w:themeColor="text1"/>
                <w14:ligatures w14:val="standardContextual"/>
              </w:rPr>
              <w:t>My Open Library</w:t>
            </w:r>
            <w:r w:rsidRPr="00013B78">
              <w:rPr>
                <w:rFonts w:eastAsia="Calibri" w:cstheme="minorHAnsi"/>
                <w:color w:val="000000" w:themeColor="text1"/>
                <w14:ligatures w14:val="standardContextual"/>
              </w:rPr>
              <w:t xml:space="preserve"> service in 46 library branches. Some €2.2 million was approved to support the provision of the service in 17 new library branches and a further €900,000 was invested in enhancing the equipment in 29 branches that already had the service in place. The </w:t>
            </w:r>
            <w:r w:rsidRPr="00013B78">
              <w:rPr>
                <w:rFonts w:eastAsia="Calibri" w:cstheme="minorHAnsi"/>
                <w:i/>
                <w:color w:val="000000" w:themeColor="text1"/>
                <w14:ligatures w14:val="standardContextual"/>
              </w:rPr>
              <w:t>My Open Library</w:t>
            </w:r>
            <w:r w:rsidRPr="00013B78">
              <w:rPr>
                <w:rFonts w:eastAsia="Calibri" w:cstheme="minorHAnsi"/>
                <w:color w:val="000000" w:themeColor="text1"/>
                <w14:ligatures w14:val="standardContextual"/>
              </w:rPr>
              <w:t xml:space="preserve"> service provides library access to members from 8am to 10pm, 365 days a year. </w:t>
            </w:r>
          </w:p>
          <w:p w14:paraId="74ECD456" w14:textId="77777777" w:rsidR="000B46F0" w:rsidRPr="00EF795E" w:rsidRDefault="000B46F0" w:rsidP="008E1F38">
            <w:pPr>
              <w:rPr>
                <w:rFonts w:eastAsia="Calibri" w:cstheme="minorHAnsi"/>
                <w:color w:val="000000" w:themeColor="text1"/>
                <w14:ligatures w14:val="standardContextual"/>
              </w:rPr>
            </w:pPr>
          </w:p>
          <w:p w14:paraId="53B078F8" w14:textId="78FF8516" w:rsidR="000B46F0" w:rsidRPr="00013B78" w:rsidRDefault="000B46F0" w:rsidP="00013B78">
            <w:pPr>
              <w:rPr>
                <w:rFonts w:eastAsia="Calibri" w:cstheme="minorHAnsi"/>
                <w:color w:val="000000" w:themeColor="text1"/>
                <w14:ligatures w14:val="standardContextual"/>
              </w:rPr>
            </w:pPr>
            <w:r w:rsidRPr="00013B78">
              <w:rPr>
                <w:rFonts w:eastAsia="Calibri" w:cstheme="minorHAnsi"/>
                <w:color w:val="000000" w:themeColor="text1"/>
                <w14:ligatures w14:val="standardContextual"/>
              </w:rPr>
              <w:t xml:space="preserve">In November 2023, funding of €1.3m was approved to support the provision of new computers, laptops, iPads and other information and communication technology in public libraries across the country. </w:t>
            </w:r>
          </w:p>
          <w:p w14:paraId="0C3729D7" w14:textId="77777777" w:rsidR="000B46F0" w:rsidRPr="00EF795E" w:rsidRDefault="000B46F0" w:rsidP="008E1F38">
            <w:pPr>
              <w:rPr>
                <w:rFonts w:eastAsia="Calibri" w:cstheme="minorHAnsi"/>
                <w:color w:val="000000" w:themeColor="text1"/>
                <w14:ligatures w14:val="standardContextual"/>
              </w:rPr>
            </w:pPr>
          </w:p>
          <w:p w14:paraId="66BA4FE4" w14:textId="1004EE25" w:rsidR="000B46F0" w:rsidRPr="00013B78" w:rsidRDefault="000B46F0" w:rsidP="00013B78">
            <w:pPr>
              <w:rPr>
                <w:rFonts w:cstheme="minorHAnsi"/>
                <w:color w:val="000000" w:themeColor="text1"/>
                <w:lang w:val="en-US"/>
              </w:rPr>
            </w:pPr>
            <w:r w:rsidRPr="00013B78">
              <w:rPr>
                <w:rFonts w:eastAsia="Calibri" w:cstheme="minorHAnsi"/>
                <w:color w:val="000000" w:themeColor="text1"/>
                <w14:ligatures w14:val="standardContextual"/>
              </w:rPr>
              <w:t>Funding of €3 million was announced in September 2020 to support a Small Scale Capital Works Programme in public libraries. To date, 28 of the 30 Local Authorities have completed the projects that were funded and the two remaining local authorities will complete their projects before the end of 2024.</w:t>
            </w:r>
          </w:p>
          <w:p w14:paraId="028EE996" w14:textId="7B172E82" w:rsidR="000B46F0" w:rsidRPr="00EF795E" w:rsidRDefault="000B46F0" w:rsidP="008E1F38">
            <w:pPr>
              <w:rPr>
                <w:rFonts w:cstheme="minorHAnsi"/>
              </w:rPr>
            </w:pPr>
          </w:p>
        </w:tc>
        <w:tc>
          <w:tcPr>
            <w:tcW w:w="2693" w:type="dxa"/>
            <w:shd w:val="clear" w:color="auto" w:fill="C5E0B3" w:themeFill="accent6" w:themeFillTint="66"/>
          </w:tcPr>
          <w:p w14:paraId="274F1280" w14:textId="7D93032B" w:rsidR="000B46F0" w:rsidRPr="00EF795E" w:rsidRDefault="000B46F0" w:rsidP="008E1F38">
            <w:pPr>
              <w:autoSpaceDE w:val="0"/>
              <w:autoSpaceDN w:val="0"/>
              <w:jc w:val="center"/>
              <w:rPr>
                <w:rFonts w:cstheme="minorHAnsi"/>
              </w:rPr>
            </w:pPr>
            <w:r w:rsidRPr="00EF795E">
              <w:rPr>
                <w:rFonts w:cstheme="minorHAnsi"/>
              </w:rPr>
              <w:lastRenderedPageBreak/>
              <w:t>Ongoing</w:t>
            </w:r>
          </w:p>
          <w:p w14:paraId="354154DC" w14:textId="77777777" w:rsidR="000B46F0" w:rsidRPr="00EF795E" w:rsidRDefault="000B46F0" w:rsidP="008E1F38">
            <w:pPr>
              <w:autoSpaceDE w:val="0"/>
              <w:autoSpaceDN w:val="0"/>
              <w:jc w:val="center"/>
              <w:rPr>
                <w:rFonts w:cstheme="minorHAnsi"/>
              </w:rPr>
            </w:pPr>
          </w:p>
          <w:p w14:paraId="73025A06" w14:textId="77777777" w:rsidR="000B46F0" w:rsidRPr="00EF795E" w:rsidRDefault="000B46F0" w:rsidP="008E1F38">
            <w:pPr>
              <w:autoSpaceDE w:val="0"/>
              <w:autoSpaceDN w:val="0"/>
              <w:jc w:val="center"/>
              <w:rPr>
                <w:rFonts w:cstheme="minorHAnsi"/>
              </w:rPr>
            </w:pPr>
          </w:p>
          <w:p w14:paraId="6B8E5F1B" w14:textId="77777777" w:rsidR="000B46F0" w:rsidRPr="00EF795E" w:rsidRDefault="000B46F0" w:rsidP="008E1F38">
            <w:pPr>
              <w:autoSpaceDE w:val="0"/>
              <w:autoSpaceDN w:val="0"/>
              <w:jc w:val="center"/>
              <w:rPr>
                <w:rFonts w:cstheme="minorHAnsi"/>
              </w:rPr>
            </w:pPr>
          </w:p>
          <w:p w14:paraId="68ABEF4D" w14:textId="0F8DD875" w:rsidR="000B46F0" w:rsidRPr="00EF795E" w:rsidRDefault="000B46F0" w:rsidP="008E1F38">
            <w:pPr>
              <w:autoSpaceDE w:val="0"/>
              <w:autoSpaceDN w:val="0"/>
              <w:jc w:val="center"/>
              <w:rPr>
                <w:rFonts w:cstheme="minorHAnsi"/>
              </w:rPr>
            </w:pPr>
            <w:r w:rsidRPr="00EF795E">
              <w:rPr>
                <w:rFonts w:cstheme="minorHAnsi"/>
              </w:rPr>
              <w:lastRenderedPageBreak/>
              <w:t>Ongoing</w:t>
            </w:r>
          </w:p>
          <w:p w14:paraId="3DEC05DE" w14:textId="77777777" w:rsidR="000B46F0" w:rsidRPr="00EF795E" w:rsidRDefault="000B46F0" w:rsidP="008E1F38">
            <w:pPr>
              <w:autoSpaceDE w:val="0"/>
              <w:autoSpaceDN w:val="0"/>
              <w:jc w:val="center"/>
              <w:rPr>
                <w:rFonts w:cstheme="minorHAnsi"/>
                <w:color w:val="000000" w:themeColor="text1"/>
              </w:rPr>
            </w:pPr>
          </w:p>
          <w:p w14:paraId="61787AF9" w14:textId="5E728C8F" w:rsidR="000B46F0" w:rsidRPr="00EF795E" w:rsidRDefault="000B46F0" w:rsidP="008E1F38">
            <w:pPr>
              <w:autoSpaceDE w:val="0"/>
              <w:autoSpaceDN w:val="0"/>
              <w:jc w:val="center"/>
              <w:rPr>
                <w:rFonts w:cstheme="minorHAnsi"/>
                <w:color w:val="000000" w:themeColor="text1"/>
              </w:rPr>
            </w:pPr>
          </w:p>
          <w:p w14:paraId="50C48BB9" w14:textId="77777777" w:rsidR="000B46F0" w:rsidRPr="00EF795E" w:rsidRDefault="000B46F0" w:rsidP="008E1F38">
            <w:pPr>
              <w:autoSpaceDE w:val="0"/>
              <w:autoSpaceDN w:val="0"/>
              <w:jc w:val="center"/>
              <w:rPr>
                <w:rFonts w:cstheme="minorHAnsi"/>
                <w:color w:val="000000" w:themeColor="text1"/>
              </w:rPr>
            </w:pPr>
          </w:p>
          <w:p w14:paraId="5BF9BFBB" w14:textId="4FB5C955" w:rsidR="000B46F0" w:rsidRPr="00EF795E" w:rsidRDefault="000B46F0" w:rsidP="008E1F38">
            <w:pPr>
              <w:autoSpaceDE w:val="0"/>
              <w:autoSpaceDN w:val="0"/>
              <w:jc w:val="center"/>
              <w:rPr>
                <w:rFonts w:cstheme="minorHAnsi"/>
                <w:color w:val="000000" w:themeColor="text1"/>
              </w:rPr>
            </w:pPr>
            <w:r w:rsidRPr="00EF795E">
              <w:rPr>
                <w:rFonts w:cstheme="minorHAnsi"/>
                <w:color w:val="000000" w:themeColor="text1"/>
              </w:rPr>
              <w:t>Ongoing</w:t>
            </w:r>
          </w:p>
          <w:p w14:paraId="1B445655" w14:textId="26FD3298" w:rsidR="000B46F0" w:rsidRPr="00EF795E" w:rsidRDefault="000B46F0" w:rsidP="008E1F38">
            <w:pPr>
              <w:autoSpaceDE w:val="0"/>
              <w:autoSpaceDN w:val="0"/>
              <w:jc w:val="center"/>
              <w:rPr>
                <w:rFonts w:cstheme="minorHAnsi"/>
                <w:color w:val="000000" w:themeColor="text1"/>
              </w:rPr>
            </w:pPr>
          </w:p>
          <w:p w14:paraId="5A8ABB52" w14:textId="5996CAE6" w:rsidR="000B46F0" w:rsidRPr="00EF795E" w:rsidRDefault="000B46F0" w:rsidP="008E1F38">
            <w:pPr>
              <w:autoSpaceDE w:val="0"/>
              <w:autoSpaceDN w:val="0"/>
              <w:jc w:val="center"/>
              <w:rPr>
                <w:rFonts w:cstheme="minorHAnsi"/>
                <w:color w:val="000000" w:themeColor="text1"/>
              </w:rPr>
            </w:pPr>
          </w:p>
          <w:p w14:paraId="08F2BFB0" w14:textId="4851ECBD" w:rsidR="000B46F0" w:rsidRPr="00EF795E" w:rsidRDefault="000B46F0" w:rsidP="008E1F38">
            <w:pPr>
              <w:autoSpaceDE w:val="0"/>
              <w:autoSpaceDN w:val="0"/>
              <w:jc w:val="center"/>
              <w:rPr>
                <w:rFonts w:cstheme="minorHAnsi"/>
                <w:color w:val="000000" w:themeColor="text1"/>
              </w:rPr>
            </w:pPr>
          </w:p>
          <w:p w14:paraId="09F3D83E" w14:textId="77777777" w:rsidR="000B46F0" w:rsidRPr="00EF795E" w:rsidRDefault="000B46F0" w:rsidP="008E1F38">
            <w:pPr>
              <w:autoSpaceDE w:val="0"/>
              <w:autoSpaceDN w:val="0"/>
              <w:jc w:val="center"/>
              <w:rPr>
                <w:rFonts w:cstheme="minorHAnsi"/>
                <w:color w:val="000000" w:themeColor="text1"/>
              </w:rPr>
            </w:pPr>
          </w:p>
          <w:p w14:paraId="3FA3E181" w14:textId="7ED45838" w:rsidR="000B46F0" w:rsidRPr="00EF795E" w:rsidRDefault="000B46F0" w:rsidP="008E1F38">
            <w:pPr>
              <w:autoSpaceDE w:val="0"/>
              <w:autoSpaceDN w:val="0"/>
              <w:jc w:val="center"/>
              <w:rPr>
                <w:rFonts w:cstheme="minorHAnsi"/>
                <w:color w:val="000000" w:themeColor="text1"/>
              </w:rPr>
            </w:pPr>
            <w:r w:rsidRPr="00EF795E">
              <w:rPr>
                <w:rFonts w:eastAsiaTheme="minorEastAsia" w:cstheme="minorHAnsi"/>
                <w:color w:val="000000" w:themeColor="text1"/>
              </w:rPr>
              <w:t>Completed</w:t>
            </w:r>
          </w:p>
          <w:p w14:paraId="119C14FE" w14:textId="66BA4FE4" w:rsidR="000B46F0" w:rsidRPr="00EF795E" w:rsidRDefault="000B46F0" w:rsidP="008E1F38">
            <w:pPr>
              <w:jc w:val="center"/>
              <w:rPr>
                <w:rFonts w:cstheme="minorHAnsi"/>
              </w:rPr>
            </w:pPr>
          </w:p>
          <w:p w14:paraId="32244389" w14:textId="11E8C5C6" w:rsidR="000B46F0" w:rsidRPr="00EF795E" w:rsidRDefault="000B46F0" w:rsidP="008E1F38">
            <w:pPr>
              <w:jc w:val="center"/>
              <w:rPr>
                <w:rFonts w:cstheme="minorHAnsi"/>
              </w:rPr>
            </w:pPr>
          </w:p>
          <w:p w14:paraId="0D0EECAF" w14:textId="789456CB" w:rsidR="000B46F0" w:rsidRPr="00EF795E" w:rsidRDefault="000B46F0" w:rsidP="008E1F38">
            <w:pPr>
              <w:autoSpaceDE w:val="0"/>
              <w:autoSpaceDN w:val="0"/>
              <w:jc w:val="center"/>
              <w:rPr>
                <w:rFonts w:cstheme="minorHAnsi"/>
              </w:rPr>
            </w:pPr>
            <w:r w:rsidRPr="00EF795E">
              <w:rPr>
                <w:rFonts w:cstheme="minorHAnsi"/>
              </w:rPr>
              <w:t>Ongoing</w:t>
            </w:r>
          </w:p>
        </w:tc>
      </w:tr>
      <w:tr w:rsidR="000B46F0" w:rsidRPr="00EF795E" w14:paraId="1E9446AB" w14:textId="77777777" w:rsidTr="00CF1A37">
        <w:tc>
          <w:tcPr>
            <w:tcW w:w="4928" w:type="dxa"/>
            <w:shd w:val="clear" w:color="auto" w:fill="C5E0B3" w:themeFill="accent6" w:themeFillTint="66"/>
          </w:tcPr>
          <w:p w14:paraId="458746B2" w14:textId="48937AAF" w:rsidR="00013B78" w:rsidRPr="00EF795E" w:rsidRDefault="000B46F0" w:rsidP="00A94CFE">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lastRenderedPageBreak/>
              <w:t>Continue to develop and enhance the demand-led Senior Alerts Scheme and ensure that it adapts to changing demographics and technological advancements.</w:t>
            </w:r>
          </w:p>
        </w:tc>
        <w:tc>
          <w:tcPr>
            <w:tcW w:w="12118" w:type="dxa"/>
            <w:shd w:val="clear" w:color="auto" w:fill="C5E0B3" w:themeFill="accent6" w:themeFillTint="66"/>
          </w:tcPr>
          <w:p w14:paraId="41F3F93D" w14:textId="0A194D75" w:rsidR="00884BCC" w:rsidRDefault="000B46F0" w:rsidP="00884BCC">
            <w:pPr>
              <w:autoSpaceDE w:val="0"/>
              <w:autoSpaceDN w:val="0"/>
              <w:adjustRightInd w:val="0"/>
              <w:rPr>
                <w:rFonts w:eastAsiaTheme="minorEastAsia" w:cstheme="minorHAnsi"/>
                <w:color w:val="000000" w:themeColor="text1"/>
              </w:rPr>
            </w:pPr>
            <w:r w:rsidRPr="00EF795E">
              <w:rPr>
                <w:rFonts w:eastAsiaTheme="minorEastAsia" w:cstheme="minorHAnsi"/>
                <w:color w:val="000000" w:themeColor="text1"/>
              </w:rPr>
              <w:t>A new</w:t>
            </w:r>
            <w:r w:rsidR="00884BCC">
              <w:rPr>
                <w:rFonts w:eastAsiaTheme="minorEastAsia" w:cstheme="minorHAnsi"/>
                <w:color w:val="000000" w:themeColor="text1"/>
              </w:rPr>
              <w:t xml:space="preserve"> Senior Alerts Scheme</w:t>
            </w:r>
            <w:r w:rsidRPr="00EF795E">
              <w:rPr>
                <w:rFonts w:eastAsiaTheme="minorEastAsia" w:cstheme="minorHAnsi"/>
                <w:color w:val="000000" w:themeColor="text1"/>
              </w:rPr>
              <w:t xml:space="preserve"> launched in Q3 2021 and runs to Q3 2025. </w:t>
            </w:r>
          </w:p>
          <w:p w14:paraId="71B006B5" w14:textId="15E2E01F" w:rsidR="000B46F0" w:rsidRPr="00EF795E" w:rsidRDefault="00884BCC" w:rsidP="00884BCC">
            <w:pPr>
              <w:autoSpaceDE w:val="0"/>
              <w:autoSpaceDN w:val="0"/>
              <w:adjustRightInd w:val="0"/>
              <w:rPr>
                <w:rFonts w:cstheme="minorHAnsi"/>
                <w:b/>
                <w:color w:val="000000" w:themeColor="text1"/>
              </w:rPr>
            </w:pPr>
            <w:r>
              <w:rPr>
                <w:rFonts w:eastAsiaTheme="minorEastAsia" w:cstheme="minorHAnsi"/>
                <w:color w:val="000000" w:themeColor="text1"/>
              </w:rPr>
              <w:t xml:space="preserve">The Department </w:t>
            </w:r>
            <w:r w:rsidR="000B46F0" w:rsidRPr="00EF795E">
              <w:rPr>
                <w:rFonts w:eastAsiaTheme="minorEastAsia" w:cstheme="minorHAnsi"/>
                <w:color w:val="000000" w:themeColor="text1"/>
              </w:rPr>
              <w:t>will continue to examine the future of the scheme in the context of a greater inter-departmental approach on future adaptive technology programmes.</w:t>
            </w:r>
          </w:p>
        </w:tc>
        <w:tc>
          <w:tcPr>
            <w:tcW w:w="2693" w:type="dxa"/>
            <w:shd w:val="clear" w:color="auto" w:fill="C5E0B3" w:themeFill="accent6" w:themeFillTint="66"/>
          </w:tcPr>
          <w:p w14:paraId="08FE4B1D" w14:textId="77777777" w:rsidR="000B46F0" w:rsidRPr="00EF795E" w:rsidRDefault="000B46F0" w:rsidP="008E1F38">
            <w:pPr>
              <w:autoSpaceDE w:val="0"/>
              <w:autoSpaceDN w:val="0"/>
              <w:adjustRightInd w:val="0"/>
              <w:jc w:val="center"/>
              <w:rPr>
                <w:rFonts w:eastAsiaTheme="minorEastAsia" w:cstheme="minorHAnsi"/>
                <w:color w:val="000000" w:themeColor="text1"/>
              </w:rPr>
            </w:pPr>
            <w:r w:rsidRPr="00EF795E">
              <w:rPr>
                <w:rFonts w:eastAsiaTheme="minorEastAsia" w:cstheme="minorHAnsi"/>
                <w:color w:val="000000" w:themeColor="text1"/>
              </w:rPr>
              <w:t>Ongoing</w:t>
            </w:r>
          </w:p>
        </w:tc>
      </w:tr>
      <w:tr w:rsidR="000B46F0" w:rsidRPr="00EF795E" w14:paraId="6B9A7235" w14:textId="77777777" w:rsidTr="00CF1A37">
        <w:tc>
          <w:tcPr>
            <w:tcW w:w="4928" w:type="dxa"/>
            <w:shd w:val="clear" w:color="auto" w:fill="C5E0B3" w:themeFill="accent6" w:themeFillTint="66"/>
          </w:tcPr>
          <w:p w14:paraId="5DEDAB92" w14:textId="118D7B5E" w:rsidR="00884BCC" w:rsidRPr="00EF795E" w:rsidRDefault="000B46F0" w:rsidP="00A94CFE">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Update legislative provisions with the Charities Regulator, to ensure that it has the necessary powers to increase trust and confidence in the management and administration of charities.</w:t>
            </w:r>
          </w:p>
        </w:tc>
        <w:tc>
          <w:tcPr>
            <w:tcW w:w="12118" w:type="dxa"/>
            <w:shd w:val="clear" w:color="auto" w:fill="C5E0B3" w:themeFill="accent6" w:themeFillTint="66"/>
          </w:tcPr>
          <w:p w14:paraId="2A394ECB" w14:textId="77777777" w:rsidR="000E4C25"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The Charities (Amendment) Act 2024 was signed into law by the President on 10</w:t>
            </w:r>
            <w:r w:rsidR="00884BCC" w:rsidRPr="00884BCC">
              <w:rPr>
                <w:rFonts w:cstheme="minorHAnsi"/>
                <w:color w:val="000000" w:themeColor="text1"/>
                <w:vertAlign w:val="superscript"/>
              </w:rPr>
              <w:t>th</w:t>
            </w:r>
            <w:r w:rsidR="00884BCC">
              <w:rPr>
                <w:rFonts w:cstheme="minorHAnsi"/>
                <w:color w:val="000000" w:themeColor="text1"/>
              </w:rPr>
              <w:t xml:space="preserve"> </w:t>
            </w:r>
            <w:r w:rsidRPr="00EF795E">
              <w:rPr>
                <w:rFonts w:cstheme="minorHAnsi"/>
                <w:color w:val="000000" w:themeColor="text1"/>
              </w:rPr>
              <w:t xml:space="preserve">July 2024. </w:t>
            </w:r>
          </w:p>
          <w:p w14:paraId="01DBDEE7" w14:textId="6BE0CD85" w:rsidR="000B46F0" w:rsidRPr="00EF795E" w:rsidRDefault="000B46F0" w:rsidP="008E1F38">
            <w:pPr>
              <w:shd w:val="clear" w:color="auto" w:fill="C5E0B3" w:themeFill="accent6" w:themeFillTint="66"/>
              <w:autoSpaceDE w:val="0"/>
              <w:autoSpaceDN w:val="0"/>
              <w:adjustRightInd w:val="0"/>
              <w:rPr>
                <w:rFonts w:cstheme="minorHAnsi"/>
                <w:b/>
                <w:color w:val="000000" w:themeColor="text1"/>
              </w:rPr>
            </w:pPr>
            <w:r w:rsidRPr="00EF795E">
              <w:rPr>
                <w:rFonts w:cstheme="minorHAnsi"/>
                <w:color w:val="000000" w:themeColor="text1"/>
              </w:rPr>
              <w:t>The process of commencing the provisions of the Act is now underway.</w:t>
            </w:r>
          </w:p>
        </w:tc>
        <w:tc>
          <w:tcPr>
            <w:tcW w:w="2693" w:type="dxa"/>
            <w:shd w:val="clear" w:color="auto" w:fill="C5E0B3" w:themeFill="accent6" w:themeFillTint="66"/>
          </w:tcPr>
          <w:p w14:paraId="6B02F5BE" w14:textId="77777777" w:rsidR="000B46F0" w:rsidRPr="00EF795E" w:rsidRDefault="000B46F0" w:rsidP="008E1F38">
            <w:pPr>
              <w:shd w:val="clear" w:color="auto" w:fill="C5E0B3" w:themeFill="accent6" w:themeFillTint="66"/>
              <w:autoSpaceDE w:val="0"/>
              <w:autoSpaceDN w:val="0"/>
              <w:adjustRightInd w:val="0"/>
              <w:jc w:val="center"/>
              <w:rPr>
                <w:rFonts w:cstheme="minorHAnsi"/>
                <w:color w:val="000000" w:themeColor="text1"/>
              </w:rPr>
            </w:pPr>
            <w:r w:rsidRPr="00EF795E">
              <w:rPr>
                <w:rFonts w:cstheme="minorHAnsi"/>
                <w:color w:val="000000" w:themeColor="text1"/>
              </w:rPr>
              <w:t>Ongoing</w:t>
            </w:r>
          </w:p>
        </w:tc>
      </w:tr>
      <w:tr w:rsidR="000B46F0" w:rsidRPr="00EF795E" w14:paraId="07197F66" w14:textId="77777777" w:rsidTr="00CF1A37">
        <w:trPr>
          <w:trHeight w:val="87"/>
        </w:trPr>
        <w:tc>
          <w:tcPr>
            <w:tcW w:w="4928" w:type="dxa"/>
            <w:shd w:val="clear" w:color="auto" w:fill="C5E0B3" w:themeFill="accent6" w:themeFillTint="66"/>
          </w:tcPr>
          <w:p w14:paraId="1DA86C5B"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 xml:space="preserve">Carry out a comprehensive review of PPNs and LECPs to ensure they are fit for purpose for climate action and community development. </w:t>
            </w:r>
          </w:p>
        </w:tc>
        <w:tc>
          <w:tcPr>
            <w:tcW w:w="12118" w:type="dxa"/>
            <w:shd w:val="clear" w:color="auto" w:fill="C5E0B3" w:themeFill="accent6" w:themeFillTint="66"/>
          </w:tcPr>
          <w:p w14:paraId="6151AF3B" w14:textId="17051D38" w:rsidR="000B46F0" w:rsidRPr="000E4C25" w:rsidRDefault="000B46F0" w:rsidP="000E4C25">
            <w:pPr>
              <w:shd w:val="clear" w:color="auto" w:fill="C5E0B3" w:themeFill="accent6" w:themeFillTint="66"/>
              <w:autoSpaceDE w:val="0"/>
              <w:autoSpaceDN w:val="0"/>
              <w:adjustRightInd w:val="0"/>
              <w:rPr>
                <w:rFonts w:cstheme="minorHAnsi"/>
                <w:color w:val="000000" w:themeColor="text1"/>
              </w:rPr>
            </w:pPr>
            <w:r w:rsidRPr="000E4C25">
              <w:rPr>
                <w:rFonts w:eastAsiaTheme="minorEastAsia" w:cstheme="minorHAnsi"/>
                <w:color w:val="000000" w:themeColor="text1"/>
              </w:rPr>
              <w:t xml:space="preserve">The PPN review, which included extensive consultation with stakeholders, was </w:t>
            </w:r>
            <w:r w:rsidR="00DC4148">
              <w:rPr>
                <w:rFonts w:eastAsiaTheme="minorEastAsia" w:cstheme="minorHAnsi"/>
                <w:color w:val="000000" w:themeColor="text1"/>
              </w:rPr>
              <w:t>published</w:t>
            </w:r>
            <w:r w:rsidRPr="000E4C25">
              <w:rPr>
                <w:rFonts w:eastAsiaTheme="minorEastAsia" w:cstheme="minorHAnsi"/>
                <w:color w:val="000000" w:themeColor="text1"/>
              </w:rPr>
              <w:t xml:space="preserve"> in Q</w:t>
            </w:r>
            <w:r w:rsidR="00DC4148">
              <w:rPr>
                <w:rFonts w:eastAsiaTheme="minorEastAsia" w:cstheme="minorHAnsi"/>
                <w:color w:val="000000" w:themeColor="text1"/>
              </w:rPr>
              <w:t>2</w:t>
            </w:r>
            <w:r w:rsidRPr="000E4C25">
              <w:rPr>
                <w:rFonts w:eastAsiaTheme="minorEastAsia" w:cstheme="minorHAnsi"/>
                <w:color w:val="000000" w:themeColor="text1"/>
              </w:rPr>
              <w:t xml:space="preserve"> 2022. The recommendations from the Structural Review, and additional actions identified in the sector, have been included in a new PPN Roadmap, implementation of which will commence this year. </w:t>
            </w:r>
          </w:p>
          <w:p w14:paraId="15BC51EA"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p>
          <w:p w14:paraId="1BD6359B" w14:textId="77777777" w:rsidR="00DC4148" w:rsidRDefault="00DC4148" w:rsidP="000E4C25">
            <w:pPr>
              <w:pStyle w:val="Default"/>
              <w:spacing w:after="160"/>
              <w:rPr>
                <w:rFonts w:asciiTheme="minorHAnsi" w:hAnsiTheme="minorHAnsi" w:cstheme="minorHAnsi"/>
                <w:color w:val="000000" w:themeColor="text1"/>
                <w:sz w:val="22"/>
                <w:szCs w:val="22"/>
              </w:rPr>
            </w:pPr>
            <w:r w:rsidRPr="00DC4148">
              <w:rPr>
                <w:rFonts w:asciiTheme="minorHAnsi" w:hAnsiTheme="minorHAnsi" w:cstheme="minorHAnsi"/>
                <w:color w:val="000000" w:themeColor="text1"/>
                <w:sz w:val="22"/>
                <w:szCs w:val="22"/>
              </w:rPr>
              <w:t>Local and Economic Community Plans (LECPs) detail how Local Authorities will support economic and community development in their areas over the next six years.</w:t>
            </w:r>
            <w:r>
              <w:rPr>
                <w:rFonts w:asciiTheme="minorHAnsi" w:hAnsiTheme="minorHAnsi" w:cstheme="minorHAnsi"/>
                <w:color w:val="000000" w:themeColor="text1"/>
                <w:sz w:val="22"/>
                <w:szCs w:val="22"/>
              </w:rPr>
              <w:t xml:space="preserve"> The Department</w:t>
            </w:r>
            <w:r w:rsidR="000B46F0" w:rsidRPr="00EF795E">
              <w:rPr>
                <w:rFonts w:asciiTheme="minorHAnsi" w:hAnsiTheme="minorHAnsi" w:cstheme="minorHAnsi"/>
                <w:color w:val="000000" w:themeColor="text1"/>
                <w:sz w:val="22"/>
                <w:szCs w:val="22"/>
              </w:rPr>
              <w:t xml:space="preserve"> hosted a number of training webinars in 2022 to support L</w:t>
            </w:r>
            <w:r>
              <w:rPr>
                <w:rFonts w:asciiTheme="minorHAnsi" w:hAnsiTheme="minorHAnsi" w:cstheme="minorHAnsi"/>
                <w:color w:val="000000" w:themeColor="text1"/>
                <w:sz w:val="22"/>
                <w:szCs w:val="22"/>
              </w:rPr>
              <w:t xml:space="preserve">ocal </w:t>
            </w:r>
            <w:r w:rsidR="000B46F0" w:rsidRPr="00EF795E">
              <w:rPr>
                <w:rFonts w:asciiTheme="minorHAnsi" w:hAnsiTheme="minorHAnsi" w:cstheme="minorHAnsi"/>
                <w:color w:val="000000" w:themeColor="text1"/>
                <w:sz w:val="22"/>
                <w:szCs w:val="22"/>
              </w:rPr>
              <w:t>C</w:t>
            </w:r>
            <w:r>
              <w:rPr>
                <w:rFonts w:asciiTheme="minorHAnsi" w:hAnsiTheme="minorHAnsi" w:cstheme="minorHAnsi"/>
                <w:color w:val="000000" w:themeColor="text1"/>
                <w:sz w:val="22"/>
                <w:szCs w:val="22"/>
              </w:rPr>
              <w:t xml:space="preserve">ommunity </w:t>
            </w:r>
            <w:r w:rsidR="000B46F0" w:rsidRPr="00EF795E">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 xml:space="preserve">evelopment </w:t>
            </w:r>
            <w:r w:rsidR="000B46F0" w:rsidRPr="00EF795E">
              <w:rPr>
                <w:rFonts w:asciiTheme="minorHAnsi" w:hAnsiTheme="minorHAnsi" w:cstheme="minorHAnsi"/>
                <w:color w:val="000000" w:themeColor="text1"/>
                <w:sz w:val="22"/>
                <w:szCs w:val="22"/>
              </w:rPr>
              <w:t>C</w:t>
            </w:r>
            <w:r>
              <w:rPr>
                <w:rFonts w:asciiTheme="minorHAnsi" w:hAnsiTheme="minorHAnsi" w:cstheme="minorHAnsi"/>
                <w:color w:val="000000" w:themeColor="text1"/>
                <w:sz w:val="22"/>
                <w:szCs w:val="22"/>
              </w:rPr>
              <w:t>ommittee</w:t>
            </w:r>
            <w:r w:rsidR="000B46F0" w:rsidRPr="00EF795E">
              <w:rPr>
                <w:rFonts w:asciiTheme="minorHAnsi" w:hAnsiTheme="minorHAnsi" w:cstheme="minorHAnsi"/>
                <w:color w:val="000000" w:themeColor="text1"/>
                <w:sz w:val="22"/>
                <w:szCs w:val="22"/>
              </w:rPr>
              <w:t xml:space="preserve">s </w:t>
            </w:r>
            <w:r>
              <w:rPr>
                <w:rFonts w:asciiTheme="minorHAnsi" w:hAnsiTheme="minorHAnsi" w:cstheme="minorHAnsi"/>
                <w:color w:val="000000" w:themeColor="text1"/>
                <w:sz w:val="22"/>
                <w:szCs w:val="22"/>
              </w:rPr>
              <w:t xml:space="preserve">(LCDCs) </w:t>
            </w:r>
            <w:r w:rsidR="000B46F0" w:rsidRPr="00EF795E">
              <w:rPr>
                <w:rFonts w:asciiTheme="minorHAnsi" w:hAnsiTheme="minorHAnsi" w:cstheme="minorHAnsi"/>
                <w:color w:val="000000" w:themeColor="text1"/>
                <w:sz w:val="22"/>
                <w:szCs w:val="22"/>
              </w:rPr>
              <w:t>and local authority staff in the development of the new L</w:t>
            </w:r>
            <w:r w:rsidR="000E4C25">
              <w:rPr>
                <w:rFonts w:asciiTheme="minorHAnsi" w:hAnsiTheme="minorHAnsi" w:cstheme="minorHAnsi"/>
                <w:color w:val="000000" w:themeColor="text1"/>
                <w:sz w:val="22"/>
                <w:szCs w:val="22"/>
              </w:rPr>
              <w:t>ocal Economic and Community Plans (L</w:t>
            </w:r>
            <w:r w:rsidR="000B46F0" w:rsidRPr="00EF795E">
              <w:rPr>
                <w:rFonts w:asciiTheme="minorHAnsi" w:hAnsiTheme="minorHAnsi" w:cstheme="minorHAnsi"/>
                <w:color w:val="000000" w:themeColor="text1"/>
                <w:sz w:val="22"/>
                <w:szCs w:val="22"/>
              </w:rPr>
              <w:t>ECPs</w:t>
            </w:r>
            <w:r w:rsidR="000E4C25">
              <w:rPr>
                <w:rFonts w:asciiTheme="minorHAnsi" w:hAnsiTheme="minorHAnsi" w:cstheme="minorHAnsi"/>
                <w:color w:val="000000" w:themeColor="text1"/>
                <w:sz w:val="22"/>
                <w:szCs w:val="22"/>
              </w:rPr>
              <w:t>)</w:t>
            </w:r>
            <w:r w:rsidR="000B46F0" w:rsidRPr="00EF795E">
              <w:rPr>
                <w:rFonts w:asciiTheme="minorHAnsi" w:hAnsiTheme="minorHAnsi" w:cstheme="minorHAnsi"/>
                <w:color w:val="000000" w:themeColor="text1"/>
                <w:sz w:val="22"/>
                <w:szCs w:val="22"/>
              </w:rPr>
              <w:t xml:space="preserve">, with one event focusing on Climate Action/Environment. </w:t>
            </w:r>
            <w:r w:rsidRPr="00DC4148">
              <w:rPr>
                <w:rFonts w:asciiTheme="minorHAnsi" w:hAnsiTheme="minorHAnsi" w:cstheme="minorHAnsi"/>
                <w:color w:val="000000" w:themeColor="text1"/>
                <w:sz w:val="22"/>
                <w:szCs w:val="22"/>
              </w:rPr>
              <w:t>Updated guidelines</w:t>
            </w:r>
            <w:r>
              <w:rPr>
                <w:rFonts w:asciiTheme="minorHAnsi" w:hAnsiTheme="minorHAnsi" w:cstheme="minorHAnsi"/>
                <w:color w:val="000000" w:themeColor="text1"/>
                <w:sz w:val="22"/>
                <w:szCs w:val="22"/>
              </w:rPr>
              <w:t xml:space="preserve"> on LECP were also issued, which</w:t>
            </w:r>
            <w:r w:rsidRPr="00DC4148">
              <w:rPr>
                <w:rFonts w:asciiTheme="minorHAnsi" w:hAnsiTheme="minorHAnsi" w:cstheme="minorHAnsi"/>
                <w:color w:val="000000" w:themeColor="text1"/>
                <w:sz w:val="22"/>
                <w:szCs w:val="22"/>
              </w:rPr>
              <w:t xml:space="preserve"> focus on sustainable development and increased collaboration with communities</w:t>
            </w:r>
            <w:r>
              <w:rPr>
                <w:rFonts w:asciiTheme="minorHAnsi" w:hAnsiTheme="minorHAnsi" w:cstheme="minorHAnsi"/>
                <w:color w:val="000000" w:themeColor="text1"/>
                <w:sz w:val="22"/>
                <w:szCs w:val="22"/>
              </w:rPr>
              <w:t xml:space="preserve">. </w:t>
            </w:r>
          </w:p>
          <w:p w14:paraId="749F2B90" w14:textId="7545F3CA" w:rsidR="000B46F0" w:rsidRPr="00DC4148" w:rsidRDefault="000B46F0" w:rsidP="00DC4148">
            <w:pPr>
              <w:pStyle w:val="Default"/>
              <w:spacing w:after="160"/>
              <w:rPr>
                <w:rFonts w:asciiTheme="minorHAnsi" w:hAnsiTheme="minorHAnsi" w:cstheme="minorHAnsi"/>
                <w:color w:val="000000" w:themeColor="text1"/>
                <w:sz w:val="22"/>
                <w:szCs w:val="22"/>
              </w:rPr>
            </w:pPr>
            <w:r w:rsidRPr="00EF795E">
              <w:rPr>
                <w:rFonts w:asciiTheme="minorHAnsi" w:hAnsiTheme="minorHAnsi" w:cstheme="minorHAnsi"/>
                <w:color w:val="000000" w:themeColor="text1"/>
                <w:sz w:val="22"/>
                <w:szCs w:val="22"/>
              </w:rPr>
              <w:t xml:space="preserve">The </w:t>
            </w:r>
            <w:r w:rsidR="00DC4148">
              <w:rPr>
                <w:rFonts w:asciiTheme="minorHAnsi" w:hAnsiTheme="minorHAnsi" w:cstheme="minorHAnsi"/>
                <w:color w:val="000000" w:themeColor="text1"/>
                <w:sz w:val="22"/>
                <w:szCs w:val="22"/>
              </w:rPr>
              <w:t>newest</w:t>
            </w:r>
            <w:r w:rsidRPr="00EF795E">
              <w:rPr>
                <w:rFonts w:asciiTheme="minorHAnsi" w:hAnsiTheme="minorHAnsi" w:cstheme="minorHAnsi"/>
                <w:color w:val="000000" w:themeColor="text1"/>
                <w:sz w:val="22"/>
                <w:szCs w:val="22"/>
              </w:rPr>
              <w:t xml:space="preserve"> iteration of the LECPs is finalised in most local authority areas and all LCDCs are required to proof their plans from a sustainability and climate action perspective. The remaining local authorities are now getting approval of the final drafts through the Municipal Districts, SPCs and LCDCs and final approval by the full councils. It is expected that all LECPs will be in place by Q4 2024. A review of the LECPs can commence when all LECPs are in place.</w:t>
            </w:r>
          </w:p>
        </w:tc>
        <w:tc>
          <w:tcPr>
            <w:tcW w:w="2693" w:type="dxa"/>
            <w:shd w:val="clear" w:color="auto" w:fill="C5E0B3" w:themeFill="accent6" w:themeFillTint="66"/>
          </w:tcPr>
          <w:p w14:paraId="19571DF0" w14:textId="77777777" w:rsidR="000B46F0" w:rsidRPr="00EF795E" w:rsidRDefault="000B46F0" w:rsidP="008E1F38">
            <w:pPr>
              <w:shd w:val="clear" w:color="auto" w:fill="C5E0B3" w:themeFill="accent6" w:themeFillTint="66"/>
              <w:autoSpaceDE w:val="0"/>
              <w:autoSpaceDN w:val="0"/>
              <w:adjustRightInd w:val="0"/>
              <w:jc w:val="center"/>
              <w:rPr>
                <w:rFonts w:cstheme="minorHAnsi"/>
                <w:color w:val="000000" w:themeColor="text1"/>
              </w:rPr>
            </w:pPr>
            <w:r w:rsidRPr="00EF795E">
              <w:rPr>
                <w:rFonts w:cstheme="minorHAnsi"/>
                <w:color w:val="000000" w:themeColor="text1"/>
              </w:rPr>
              <w:t>PPNs – Completed</w:t>
            </w:r>
          </w:p>
          <w:p w14:paraId="3E2445F2" w14:textId="77777777" w:rsidR="000B46F0" w:rsidRPr="00EF795E" w:rsidRDefault="000B46F0" w:rsidP="008E1F38">
            <w:pPr>
              <w:shd w:val="clear" w:color="auto" w:fill="C5E0B3" w:themeFill="accent6" w:themeFillTint="66"/>
              <w:autoSpaceDE w:val="0"/>
              <w:autoSpaceDN w:val="0"/>
              <w:adjustRightInd w:val="0"/>
              <w:jc w:val="center"/>
              <w:rPr>
                <w:rFonts w:cstheme="minorHAnsi"/>
                <w:color w:val="000000" w:themeColor="text1"/>
              </w:rPr>
            </w:pPr>
          </w:p>
          <w:p w14:paraId="109C32E1" w14:textId="77777777" w:rsidR="000B46F0" w:rsidRPr="00EF795E" w:rsidRDefault="000B46F0" w:rsidP="008E1F38">
            <w:pPr>
              <w:shd w:val="clear" w:color="auto" w:fill="C5E0B3" w:themeFill="accent6" w:themeFillTint="66"/>
              <w:autoSpaceDE w:val="0"/>
              <w:autoSpaceDN w:val="0"/>
              <w:adjustRightInd w:val="0"/>
              <w:jc w:val="center"/>
              <w:rPr>
                <w:rFonts w:cstheme="minorHAnsi"/>
                <w:color w:val="000000" w:themeColor="text1"/>
              </w:rPr>
            </w:pPr>
          </w:p>
          <w:p w14:paraId="45D40B51" w14:textId="77777777" w:rsidR="000B46F0" w:rsidRPr="00EF795E" w:rsidRDefault="000B46F0" w:rsidP="008E1F38">
            <w:pPr>
              <w:shd w:val="clear" w:color="auto" w:fill="C5E0B3" w:themeFill="accent6" w:themeFillTint="66"/>
              <w:autoSpaceDE w:val="0"/>
              <w:autoSpaceDN w:val="0"/>
              <w:adjustRightInd w:val="0"/>
              <w:jc w:val="center"/>
              <w:rPr>
                <w:rFonts w:cstheme="minorHAnsi"/>
                <w:color w:val="000000" w:themeColor="text1"/>
              </w:rPr>
            </w:pPr>
          </w:p>
          <w:p w14:paraId="53588CAC" w14:textId="77777777" w:rsidR="000B46F0" w:rsidRPr="00EF795E" w:rsidRDefault="000B46F0" w:rsidP="008E1F38">
            <w:pPr>
              <w:shd w:val="clear" w:color="auto" w:fill="C5E0B3" w:themeFill="accent6" w:themeFillTint="66"/>
              <w:autoSpaceDE w:val="0"/>
              <w:autoSpaceDN w:val="0"/>
              <w:adjustRightInd w:val="0"/>
              <w:jc w:val="center"/>
              <w:rPr>
                <w:rFonts w:cstheme="minorHAnsi"/>
                <w:color w:val="000000" w:themeColor="text1"/>
              </w:rPr>
            </w:pPr>
            <w:r w:rsidRPr="00EF795E">
              <w:rPr>
                <w:rFonts w:cstheme="minorHAnsi"/>
                <w:color w:val="000000" w:themeColor="text1"/>
              </w:rPr>
              <w:t>LCDC Ongoing</w:t>
            </w:r>
          </w:p>
        </w:tc>
      </w:tr>
      <w:tr w:rsidR="000B46F0" w:rsidRPr="00EF795E" w14:paraId="2F988CCB" w14:textId="77777777" w:rsidTr="00CF1A37">
        <w:trPr>
          <w:trHeight w:val="87"/>
        </w:trPr>
        <w:tc>
          <w:tcPr>
            <w:tcW w:w="4928" w:type="dxa"/>
            <w:shd w:val="clear" w:color="auto" w:fill="C5E0B3" w:themeFill="accent6" w:themeFillTint="66"/>
          </w:tcPr>
          <w:p w14:paraId="43D4668F" w14:textId="77777777" w:rsidR="000B46F0" w:rsidRPr="00EF795E" w:rsidRDefault="000B46F0" w:rsidP="008E1F38">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Widening the eligibility of the Bike to Work scheme</w:t>
            </w:r>
          </w:p>
        </w:tc>
        <w:tc>
          <w:tcPr>
            <w:tcW w:w="12118" w:type="dxa"/>
            <w:shd w:val="clear" w:color="auto" w:fill="C5E0B3" w:themeFill="accent6" w:themeFillTint="66"/>
          </w:tcPr>
          <w:p w14:paraId="6CB3B550" w14:textId="0F909AC4" w:rsidR="000D1345" w:rsidRDefault="000B46F0" w:rsidP="000D1345">
            <w:pPr>
              <w:shd w:val="clear" w:color="auto" w:fill="C5E0B3" w:themeFill="accent6" w:themeFillTint="66"/>
              <w:autoSpaceDE w:val="0"/>
              <w:autoSpaceDN w:val="0"/>
              <w:adjustRightInd w:val="0"/>
              <w:rPr>
                <w:rFonts w:cstheme="minorHAnsi"/>
                <w:color w:val="000000" w:themeColor="text1"/>
              </w:rPr>
            </w:pPr>
            <w:r w:rsidRPr="00EF795E">
              <w:rPr>
                <w:rFonts w:cstheme="minorHAnsi"/>
                <w:color w:val="000000" w:themeColor="text1"/>
              </w:rPr>
              <w:t xml:space="preserve">During 2021, </w:t>
            </w:r>
            <w:r w:rsidR="000D1345">
              <w:rPr>
                <w:rFonts w:cstheme="minorHAnsi"/>
                <w:color w:val="000000" w:themeColor="text1"/>
              </w:rPr>
              <w:t>the Department of Rural and Community Development,</w:t>
            </w:r>
            <w:r w:rsidRPr="00EF795E">
              <w:rPr>
                <w:rFonts w:cstheme="minorHAnsi"/>
                <w:color w:val="000000" w:themeColor="text1"/>
              </w:rPr>
              <w:t xml:space="preserve"> in collaboration with </w:t>
            </w:r>
            <w:r w:rsidR="000D1345">
              <w:rPr>
                <w:rFonts w:cstheme="minorHAnsi"/>
                <w:color w:val="000000" w:themeColor="text1"/>
              </w:rPr>
              <w:t xml:space="preserve">the </w:t>
            </w:r>
            <w:r w:rsidRPr="00EF795E">
              <w:rPr>
                <w:rFonts w:cstheme="minorHAnsi"/>
                <w:color w:val="000000" w:themeColor="text1"/>
              </w:rPr>
              <w:t>D</w:t>
            </w:r>
            <w:r w:rsidR="000D1345">
              <w:rPr>
                <w:rFonts w:cstheme="minorHAnsi"/>
                <w:color w:val="000000" w:themeColor="text1"/>
              </w:rPr>
              <w:t xml:space="preserve">epartment of Transport, </w:t>
            </w:r>
            <w:r w:rsidRPr="00EF795E">
              <w:rPr>
                <w:rFonts w:cstheme="minorHAnsi"/>
                <w:color w:val="000000" w:themeColor="text1"/>
              </w:rPr>
              <w:t xml:space="preserve">developed a €3m pilot initiative for the repair and sale of up-cycled bicycles as an alternative to the Bike to Work scheme for low income individuals and groups or those who are most marginalised or disadvantaged. The funding is being provided by </w:t>
            </w:r>
            <w:r w:rsidR="000D1345">
              <w:rPr>
                <w:rFonts w:cstheme="minorHAnsi"/>
                <w:color w:val="000000" w:themeColor="text1"/>
              </w:rPr>
              <w:t xml:space="preserve">the </w:t>
            </w:r>
            <w:r w:rsidR="000D1345" w:rsidRPr="00EF795E">
              <w:rPr>
                <w:rFonts w:cstheme="minorHAnsi"/>
                <w:color w:val="000000" w:themeColor="text1"/>
              </w:rPr>
              <w:t>D</w:t>
            </w:r>
            <w:r w:rsidR="000D1345">
              <w:rPr>
                <w:rFonts w:cstheme="minorHAnsi"/>
                <w:color w:val="000000" w:themeColor="text1"/>
              </w:rPr>
              <w:t xml:space="preserve">epartment of Transport </w:t>
            </w:r>
            <w:r w:rsidRPr="00EF795E">
              <w:rPr>
                <w:rFonts w:cstheme="minorHAnsi"/>
                <w:color w:val="000000" w:themeColor="text1"/>
              </w:rPr>
              <w:t xml:space="preserve">over a </w:t>
            </w:r>
            <w:r w:rsidR="000D1345" w:rsidRPr="00EF795E">
              <w:rPr>
                <w:rFonts w:cstheme="minorHAnsi"/>
                <w:color w:val="000000" w:themeColor="text1"/>
              </w:rPr>
              <w:t>three-year</w:t>
            </w:r>
            <w:r w:rsidRPr="00EF795E">
              <w:rPr>
                <w:rFonts w:cstheme="minorHAnsi"/>
                <w:color w:val="000000" w:themeColor="text1"/>
              </w:rPr>
              <w:t xml:space="preserve"> period, with the pilot delivered via </w:t>
            </w:r>
            <w:r w:rsidR="000D1345">
              <w:rPr>
                <w:rFonts w:cstheme="minorHAnsi"/>
                <w:color w:val="000000" w:themeColor="text1"/>
              </w:rPr>
              <w:t>the Department of Rural and Community Development’s Community Services Programme.</w:t>
            </w:r>
            <w:r w:rsidRPr="00EF795E">
              <w:rPr>
                <w:rFonts w:cstheme="minorHAnsi"/>
                <w:color w:val="000000" w:themeColor="text1"/>
              </w:rPr>
              <w:t xml:space="preserve"> </w:t>
            </w:r>
          </w:p>
          <w:p w14:paraId="58EBC1A2" w14:textId="77777777" w:rsidR="000D1345" w:rsidRDefault="000D1345" w:rsidP="000D1345">
            <w:pPr>
              <w:shd w:val="clear" w:color="auto" w:fill="C5E0B3" w:themeFill="accent6" w:themeFillTint="66"/>
              <w:autoSpaceDE w:val="0"/>
              <w:autoSpaceDN w:val="0"/>
              <w:adjustRightInd w:val="0"/>
              <w:rPr>
                <w:rFonts w:cstheme="minorHAnsi"/>
                <w:color w:val="000000" w:themeColor="text1"/>
              </w:rPr>
            </w:pPr>
          </w:p>
          <w:p w14:paraId="2B808F64" w14:textId="77777777" w:rsidR="000D1345" w:rsidRDefault="000B46F0" w:rsidP="000D1345">
            <w:pPr>
              <w:shd w:val="clear" w:color="auto" w:fill="C5E0B3" w:themeFill="accent6" w:themeFillTint="66"/>
              <w:autoSpaceDE w:val="0"/>
              <w:autoSpaceDN w:val="0"/>
              <w:adjustRightInd w:val="0"/>
              <w:rPr>
                <w:rFonts w:cstheme="minorHAnsi"/>
              </w:rPr>
            </w:pPr>
            <w:r w:rsidRPr="00EF795E">
              <w:rPr>
                <w:rFonts w:cstheme="minorHAnsi"/>
                <w:color w:val="000000" w:themeColor="text1"/>
              </w:rPr>
              <w:t xml:space="preserve">Five organisations were approved under this pilot with contracts in place up to </w:t>
            </w:r>
            <w:r w:rsidR="000D1345">
              <w:rPr>
                <w:rFonts w:cstheme="minorHAnsi"/>
                <w:color w:val="000000" w:themeColor="text1"/>
              </w:rPr>
              <w:t>the end of</w:t>
            </w:r>
            <w:r w:rsidRPr="00EF795E">
              <w:rPr>
                <w:rFonts w:cstheme="minorHAnsi"/>
                <w:color w:val="000000" w:themeColor="text1"/>
              </w:rPr>
              <w:t xml:space="preserve"> December 2024.  An interim evaluation was undertaken, full details of the report are available in the following link: </w:t>
            </w:r>
            <w:hyperlink r:id="rId19" w:history="1">
              <w:r w:rsidRPr="00EF795E">
                <w:rPr>
                  <w:rFonts w:cstheme="minorHAnsi"/>
                  <w:color w:val="0563C1" w:themeColor="hyperlink"/>
                  <w:u w:val="single"/>
                </w:rPr>
                <w:t>Upcycling of Bicycles and e-Bikes Pilot Initiative Evaluation report</w:t>
              </w:r>
            </w:hyperlink>
            <w:r w:rsidRPr="00EF795E">
              <w:rPr>
                <w:rFonts w:cstheme="minorHAnsi"/>
                <w:color w:val="000000" w:themeColor="text1"/>
              </w:rPr>
              <w:t xml:space="preserve">. </w:t>
            </w:r>
            <w:r w:rsidRPr="00EF795E">
              <w:rPr>
                <w:rFonts w:cstheme="minorHAnsi"/>
              </w:rPr>
              <w:t xml:space="preserve">The report outlined that the pilot programme demonstrated innovative practice and supported the development of an infrastructure for bike refurbishment and re-use in social enterprises in Ireland, which would otherwise be difficult to achieve given the high set-up and premises costs required. </w:t>
            </w:r>
          </w:p>
          <w:p w14:paraId="466F59AF" w14:textId="27AB77C2" w:rsidR="000B46F0" w:rsidRPr="00EF795E" w:rsidRDefault="000D1345" w:rsidP="000D1345">
            <w:pPr>
              <w:shd w:val="clear" w:color="auto" w:fill="C5E0B3" w:themeFill="accent6" w:themeFillTint="66"/>
              <w:autoSpaceDE w:val="0"/>
              <w:autoSpaceDN w:val="0"/>
              <w:adjustRightInd w:val="0"/>
              <w:rPr>
                <w:rFonts w:cstheme="minorHAnsi"/>
                <w:color w:val="000000" w:themeColor="text1"/>
              </w:rPr>
            </w:pPr>
            <w:r>
              <w:rPr>
                <w:rFonts w:cstheme="minorHAnsi"/>
              </w:rPr>
              <w:t>My</w:t>
            </w:r>
            <w:r w:rsidR="000B46F0" w:rsidRPr="00EF795E">
              <w:rPr>
                <w:rFonts w:cstheme="minorHAnsi"/>
              </w:rPr>
              <w:t xml:space="preserve"> Department is currently </w:t>
            </w:r>
            <w:r>
              <w:rPr>
                <w:rFonts w:cstheme="minorHAnsi"/>
              </w:rPr>
              <w:t>engaging</w:t>
            </w:r>
            <w:r w:rsidR="000B46F0" w:rsidRPr="00EF795E">
              <w:rPr>
                <w:rFonts w:cstheme="minorHAnsi"/>
              </w:rPr>
              <w:t xml:space="preserve"> with the Department of Transport and Pobal, who administer the programme on behalf of both Departments, in relation to the current expenditure under this pilot and potential future budgetary negotiations. </w:t>
            </w:r>
          </w:p>
        </w:tc>
        <w:tc>
          <w:tcPr>
            <w:tcW w:w="2693" w:type="dxa"/>
            <w:shd w:val="clear" w:color="auto" w:fill="C5E0B3" w:themeFill="accent6" w:themeFillTint="66"/>
          </w:tcPr>
          <w:p w14:paraId="38D07155" w14:textId="4A404956" w:rsidR="000B46F0" w:rsidRPr="00EF795E" w:rsidRDefault="000B46F0" w:rsidP="008E1F38">
            <w:pPr>
              <w:shd w:val="clear" w:color="auto" w:fill="C5E0B3" w:themeFill="accent6" w:themeFillTint="66"/>
              <w:autoSpaceDE w:val="0"/>
              <w:autoSpaceDN w:val="0"/>
              <w:adjustRightInd w:val="0"/>
              <w:jc w:val="center"/>
              <w:rPr>
                <w:rFonts w:cstheme="minorHAnsi"/>
                <w:color w:val="000000" w:themeColor="text1"/>
              </w:rPr>
            </w:pPr>
            <w:r w:rsidRPr="00EF795E">
              <w:rPr>
                <w:rFonts w:cstheme="minorHAnsi"/>
                <w:color w:val="000000" w:themeColor="text1"/>
              </w:rPr>
              <w:t>Ongoing</w:t>
            </w:r>
          </w:p>
        </w:tc>
      </w:tr>
    </w:tbl>
    <w:p w14:paraId="21D6CB17" w14:textId="6B82A1E7" w:rsidR="00977A86" w:rsidRPr="00EF795E" w:rsidRDefault="00977A86" w:rsidP="00A94CFE">
      <w:pPr>
        <w:autoSpaceDE w:val="0"/>
        <w:autoSpaceDN w:val="0"/>
        <w:adjustRightInd w:val="0"/>
        <w:spacing w:after="0" w:line="240" w:lineRule="auto"/>
        <w:rPr>
          <w:rFonts w:cstheme="minorHAnsi"/>
          <w:b/>
          <w:color w:val="000000" w:themeColor="text1"/>
        </w:rPr>
      </w:pPr>
    </w:p>
    <w:sectPr w:rsidR="00977A86" w:rsidRPr="00EF795E" w:rsidSect="00977A86">
      <w:footerReference w:type="default" r:id="rId20"/>
      <w:pgSz w:w="23811" w:h="16838" w:orient="landscape" w:code="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8EF8D" w14:textId="77777777" w:rsidR="001255FB" w:rsidRDefault="001255FB" w:rsidP="005A4465">
      <w:pPr>
        <w:spacing w:after="0" w:line="240" w:lineRule="auto"/>
      </w:pPr>
      <w:r>
        <w:separator/>
      </w:r>
    </w:p>
  </w:endnote>
  <w:endnote w:type="continuationSeparator" w:id="0">
    <w:p w14:paraId="46A99FB4" w14:textId="77777777" w:rsidR="001255FB" w:rsidRDefault="001255FB" w:rsidP="005A4465">
      <w:pPr>
        <w:spacing w:after="0" w:line="240" w:lineRule="auto"/>
      </w:pPr>
      <w:r>
        <w:continuationSeparator/>
      </w:r>
    </w:p>
  </w:endnote>
  <w:endnote w:type="continuationNotice" w:id="1">
    <w:p w14:paraId="3836A9B1" w14:textId="77777777" w:rsidR="001255FB" w:rsidRDefault="001255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423618"/>
      <w:docPartObj>
        <w:docPartGallery w:val="Page Numbers (Bottom of Page)"/>
        <w:docPartUnique/>
      </w:docPartObj>
    </w:sdtPr>
    <w:sdtEndPr>
      <w:rPr>
        <w:noProof/>
        <w:sz w:val="20"/>
        <w:szCs w:val="20"/>
      </w:rPr>
    </w:sdtEndPr>
    <w:sdtContent>
      <w:p w14:paraId="7D9E51AD" w14:textId="02BB50B4" w:rsidR="001255FB" w:rsidRPr="007311C7" w:rsidRDefault="001255FB">
        <w:pPr>
          <w:pStyle w:val="Footer"/>
          <w:jc w:val="center"/>
          <w:rPr>
            <w:sz w:val="20"/>
            <w:szCs w:val="20"/>
          </w:rPr>
        </w:pPr>
        <w:r w:rsidRPr="007311C7">
          <w:rPr>
            <w:sz w:val="20"/>
            <w:szCs w:val="20"/>
          </w:rPr>
          <w:fldChar w:fldCharType="begin"/>
        </w:r>
        <w:r w:rsidRPr="007311C7">
          <w:rPr>
            <w:sz w:val="20"/>
            <w:szCs w:val="20"/>
          </w:rPr>
          <w:instrText xml:space="preserve"> PAGE   \* MERGEFORMAT </w:instrText>
        </w:r>
        <w:r w:rsidRPr="007311C7">
          <w:rPr>
            <w:sz w:val="20"/>
            <w:szCs w:val="20"/>
          </w:rPr>
          <w:fldChar w:fldCharType="separate"/>
        </w:r>
        <w:r w:rsidR="00BF25B9">
          <w:rPr>
            <w:noProof/>
            <w:sz w:val="20"/>
            <w:szCs w:val="20"/>
          </w:rPr>
          <w:t>5</w:t>
        </w:r>
        <w:r w:rsidRPr="007311C7">
          <w:rPr>
            <w:noProof/>
            <w:sz w:val="20"/>
            <w:szCs w:val="20"/>
          </w:rPr>
          <w:fldChar w:fldCharType="end"/>
        </w:r>
      </w:p>
    </w:sdtContent>
  </w:sdt>
  <w:p w14:paraId="0CE1FAFC" w14:textId="77777777" w:rsidR="001255FB" w:rsidRDefault="00125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7A9D6" w14:textId="77777777" w:rsidR="001255FB" w:rsidRDefault="001255FB" w:rsidP="005A4465">
      <w:pPr>
        <w:spacing w:after="0" w:line="240" w:lineRule="auto"/>
      </w:pPr>
      <w:r>
        <w:separator/>
      </w:r>
    </w:p>
  </w:footnote>
  <w:footnote w:type="continuationSeparator" w:id="0">
    <w:p w14:paraId="4EA6C1B3" w14:textId="77777777" w:rsidR="001255FB" w:rsidRDefault="001255FB" w:rsidP="005A4465">
      <w:pPr>
        <w:spacing w:after="0" w:line="240" w:lineRule="auto"/>
      </w:pPr>
      <w:r>
        <w:continuationSeparator/>
      </w:r>
    </w:p>
  </w:footnote>
  <w:footnote w:type="continuationNotice" w:id="1">
    <w:p w14:paraId="37CC63DB" w14:textId="77777777" w:rsidR="001255FB" w:rsidRDefault="001255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2CC"/>
    <w:multiLevelType w:val="hybridMultilevel"/>
    <w:tmpl w:val="9CA623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3A0DEB"/>
    <w:multiLevelType w:val="hybridMultilevel"/>
    <w:tmpl w:val="F5624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226752"/>
    <w:multiLevelType w:val="hybridMultilevel"/>
    <w:tmpl w:val="04AC9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B85C17"/>
    <w:multiLevelType w:val="multilevel"/>
    <w:tmpl w:val="2E0C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9763FB"/>
    <w:multiLevelType w:val="hybridMultilevel"/>
    <w:tmpl w:val="70F01FD2"/>
    <w:lvl w:ilvl="0" w:tplc="59EADCD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40289D"/>
    <w:multiLevelType w:val="hybridMultilevel"/>
    <w:tmpl w:val="D3226CA0"/>
    <w:lvl w:ilvl="0" w:tplc="18090001">
      <w:start w:val="1"/>
      <w:numFmt w:val="bullet"/>
      <w:lvlText w:val=""/>
      <w:lvlJc w:val="left"/>
      <w:pPr>
        <w:ind w:left="360" w:hanging="360"/>
      </w:pPr>
      <w:rPr>
        <w:rFonts w:ascii="Symbol" w:hAnsi="Symbol" w:hint="default"/>
        <w:b/>
        <w:sz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99559A1"/>
    <w:multiLevelType w:val="hybridMultilevel"/>
    <w:tmpl w:val="685AC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85158"/>
    <w:multiLevelType w:val="hybridMultilevel"/>
    <w:tmpl w:val="EA6E3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8B027A"/>
    <w:multiLevelType w:val="hybridMultilevel"/>
    <w:tmpl w:val="5EDC7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104D31"/>
    <w:multiLevelType w:val="hybridMultilevel"/>
    <w:tmpl w:val="0C824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26108B"/>
    <w:multiLevelType w:val="hybridMultilevel"/>
    <w:tmpl w:val="C20AA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A8811C2"/>
    <w:multiLevelType w:val="hybridMultilevel"/>
    <w:tmpl w:val="D27212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F246DCE"/>
    <w:multiLevelType w:val="hybridMultilevel"/>
    <w:tmpl w:val="88B61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70205B"/>
    <w:multiLevelType w:val="hybridMultilevel"/>
    <w:tmpl w:val="84A41F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4A44FF6"/>
    <w:multiLevelType w:val="hybridMultilevel"/>
    <w:tmpl w:val="007E4838"/>
    <w:lvl w:ilvl="0" w:tplc="B680C6B8">
      <w:start w:val="1"/>
      <w:numFmt w:val="bullet"/>
      <w:suff w:val="space"/>
      <w:lvlText w:val=""/>
      <w:lvlJc w:val="left"/>
      <w:pPr>
        <w:ind w:left="720" w:hanging="72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6596801"/>
    <w:multiLevelType w:val="hybridMultilevel"/>
    <w:tmpl w:val="7E2E2982"/>
    <w:lvl w:ilvl="0" w:tplc="79A0544C">
      <w:start w:val="1"/>
      <w:numFmt w:val="bullet"/>
      <w:suff w:val="space"/>
      <w:lvlText w:val=""/>
      <w:lvlJc w:val="left"/>
      <w:pPr>
        <w:ind w:left="0" w:firstLine="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CE31DA"/>
    <w:multiLevelType w:val="hybridMultilevel"/>
    <w:tmpl w:val="60A61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BFF13BC"/>
    <w:multiLevelType w:val="hybridMultilevel"/>
    <w:tmpl w:val="80FCD3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CAE3B37"/>
    <w:multiLevelType w:val="hybridMultilevel"/>
    <w:tmpl w:val="E88A73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31B5FC6"/>
    <w:multiLevelType w:val="hybridMultilevel"/>
    <w:tmpl w:val="CF78E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33543FA"/>
    <w:multiLevelType w:val="hybridMultilevel"/>
    <w:tmpl w:val="16FAF9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38C3015"/>
    <w:multiLevelType w:val="hybridMultilevel"/>
    <w:tmpl w:val="86E2F8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38E7E25"/>
    <w:multiLevelType w:val="hybridMultilevel"/>
    <w:tmpl w:val="56489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9F412CC"/>
    <w:multiLevelType w:val="hybridMultilevel"/>
    <w:tmpl w:val="8D7C43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AAD45A9"/>
    <w:multiLevelType w:val="hybridMultilevel"/>
    <w:tmpl w:val="71DCA0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AFE69CD"/>
    <w:multiLevelType w:val="hybridMultilevel"/>
    <w:tmpl w:val="590481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BB10B41"/>
    <w:multiLevelType w:val="hybridMultilevel"/>
    <w:tmpl w:val="F15E27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DAA39FC"/>
    <w:multiLevelType w:val="hybridMultilevel"/>
    <w:tmpl w:val="5F8AB8E0"/>
    <w:lvl w:ilvl="0" w:tplc="B680C6B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71179D"/>
    <w:multiLevelType w:val="hybridMultilevel"/>
    <w:tmpl w:val="402A1B08"/>
    <w:lvl w:ilvl="0" w:tplc="B680C6B8">
      <w:start w:val="1"/>
      <w:numFmt w:val="bullet"/>
      <w:suff w:val="space"/>
      <w:lvlText w:val=""/>
      <w:lvlJc w:val="left"/>
      <w:pPr>
        <w:ind w:left="72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1AA28A9"/>
    <w:multiLevelType w:val="hybridMultilevel"/>
    <w:tmpl w:val="0A2A33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54F108A"/>
    <w:multiLevelType w:val="hybridMultilevel"/>
    <w:tmpl w:val="86669A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5893321"/>
    <w:multiLevelType w:val="hybridMultilevel"/>
    <w:tmpl w:val="635A0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6C74694"/>
    <w:multiLevelType w:val="hybridMultilevel"/>
    <w:tmpl w:val="6B400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86A35DE"/>
    <w:multiLevelType w:val="hybridMultilevel"/>
    <w:tmpl w:val="36E2ECFA"/>
    <w:lvl w:ilvl="0" w:tplc="0E982240">
      <w:numFmt w:val="bullet"/>
      <w:lvlText w:val="•"/>
      <w:lvlJc w:val="left"/>
      <w:pPr>
        <w:ind w:left="360" w:hanging="360"/>
      </w:pPr>
      <w:rPr>
        <w:rFonts w:ascii="Calibri" w:eastAsiaTheme="minorHAnsi" w:hAnsi="Calibri" w:cstheme="minorBidi"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F7D1971"/>
    <w:multiLevelType w:val="hybridMultilevel"/>
    <w:tmpl w:val="8904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402361"/>
    <w:multiLevelType w:val="hybridMultilevel"/>
    <w:tmpl w:val="6BA4D260"/>
    <w:lvl w:ilvl="0" w:tplc="30AA4E22">
      <w:start w:val="1"/>
      <w:numFmt w:val="bullet"/>
      <w:suff w:val="space"/>
      <w:lvlText w:val=""/>
      <w:lvlJc w:val="left"/>
      <w:pPr>
        <w:ind w:left="0" w:firstLine="0"/>
      </w:pPr>
      <w:rPr>
        <w:rFonts w:ascii="Symbol" w:hAnsi="Symbol" w:hint="default"/>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2273F06"/>
    <w:multiLevelType w:val="hybridMultilevel"/>
    <w:tmpl w:val="FA16B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3172CC2"/>
    <w:multiLevelType w:val="hybridMultilevel"/>
    <w:tmpl w:val="7EB456DA"/>
    <w:lvl w:ilvl="0" w:tplc="A5E26CD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3E04EB0"/>
    <w:multiLevelType w:val="hybridMultilevel"/>
    <w:tmpl w:val="FAF05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4FA2592"/>
    <w:multiLevelType w:val="hybridMultilevel"/>
    <w:tmpl w:val="0BAAED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8026EAE"/>
    <w:multiLevelType w:val="hybridMultilevel"/>
    <w:tmpl w:val="917E30D8"/>
    <w:lvl w:ilvl="0" w:tplc="1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9535EF8"/>
    <w:multiLevelType w:val="hybridMultilevel"/>
    <w:tmpl w:val="D4764F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B574419"/>
    <w:multiLevelType w:val="hybridMultilevel"/>
    <w:tmpl w:val="3D88F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2B01F3F"/>
    <w:multiLevelType w:val="hybridMultilevel"/>
    <w:tmpl w:val="C8E0B4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342098E"/>
    <w:multiLevelType w:val="hybridMultilevel"/>
    <w:tmpl w:val="5DEC83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56C7EE5"/>
    <w:multiLevelType w:val="hybridMultilevel"/>
    <w:tmpl w:val="FFB43F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58710E0"/>
    <w:multiLevelType w:val="hybridMultilevel"/>
    <w:tmpl w:val="2528CEC8"/>
    <w:lvl w:ilvl="0" w:tplc="8E4EB0E2">
      <w:start w:val="1"/>
      <w:numFmt w:val="bullet"/>
      <w:lvlText w:val=""/>
      <w:lvlJc w:val="left"/>
      <w:pPr>
        <w:ind w:left="360" w:hanging="360"/>
      </w:pPr>
      <w:rPr>
        <w:rFonts w:ascii="Symbol" w:hAnsi="Symbol" w:hint="default"/>
        <w:sz w:val="28"/>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75911615"/>
    <w:multiLevelType w:val="hybridMultilevel"/>
    <w:tmpl w:val="E93C2606"/>
    <w:lvl w:ilvl="0" w:tplc="B680C6B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80518A9"/>
    <w:multiLevelType w:val="hybridMultilevel"/>
    <w:tmpl w:val="59C657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8EB2434"/>
    <w:multiLevelType w:val="hybridMultilevel"/>
    <w:tmpl w:val="3872E412"/>
    <w:lvl w:ilvl="0" w:tplc="18090001">
      <w:start w:val="1"/>
      <w:numFmt w:val="bullet"/>
      <w:lvlText w:val=""/>
      <w:lvlJc w:val="left"/>
      <w:pPr>
        <w:ind w:left="360" w:hanging="360"/>
      </w:pPr>
      <w:rPr>
        <w:rFonts w:ascii="Symbol" w:hAnsi="Symbol" w:hint="default"/>
      </w:rPr>
    </w:lvl>
    <w:lvl w:ilvl="1" w:tplc="2E668DB8">
      <w:numFmt w:val="bullet"/>
      <w:lvlText w:val="•"/>
      <w:lvlJc w:val="left"/>
      <w:pPr>
        <w:ind w:left="1440" w:hanging="720"/>
      </w:pPr>
      <w:rPr>
        <w:rFonts w:ascii="Calibri" w:eastAsiaTheme="minorHAnsi" w:hAnsi="Calibri" w:cs="Calibr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79A46C7E"/>
    <w:multiLevelType w:val="hybridMultilevel"/>
    <w:tmpl w:val="DBCEE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BC50ACF"/>
    <w:multiLevelType w:val="hybridMultilevel"/>
    <w:tmpl w:val="8DA0A4B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2" w15:restartNumberingAfterBreak="0">
    <w:nsid w:val="7E2B0098"/>
    <w:multiLevelType w:val="hybridMultilevel"/>
    <w:tmpl w:val="BB18221E"/>
    <w:lvl w:ilvl="0" w:tplc="1D5CB49E">
      <w:numFmt w:val="bullet"/>
      <w:lvlText w:val=""/>
      <w:lvlJc w:val="left"/>
      <w:pPr>
        <w:ind w:left="360" w:hanging="360"/>
      </w:pPr>
      <w:rPr>
        <w:rFonts w:ascii="Symbol" w:eastAsia="Calibri" w:hAnsi="Symbol" w:cs="Times New Roman" w:hint="default"/>
        <w:color w:val="0000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28"/>
  </w:num>
  <w:num w:numId="3">
    <w:abstractNumId w:val="15"/>
  </w:num>
  <w:num w:numId="4">
    <w:abstractNumId w:val="35"/>
  </w:num>
  <w:num w:numId="5">
    <w:abstractNumId w:val="3"/>
  </w:num>
  <w:num w:numId="6">
    <w:abstractNumId w:val="13"/>
  </w:num>
  <w:num w:numId="7">
    <w:abstractNumId w:val="30"/>
  </w:num>
  <w:num w:numId="8">
    <w:abstractNumId w:val="5"/>
  </w:num>
  <w:num w:numId="9">
    <w:abstractNumId w:val="31"/>
  </w:num>
  <w:num w:numId="10">
    <w:abstractNumId w:val="34"/>
  </w:num>
  <w:num w:numId="11">
    <w:abstractNumId w:val="36"/>
  </w:num>
  <w:num w:numId="12">
    <w:abstractNumId w:val="45"/>
  </w:num>
  <w:num w:numId="13">
    <w:abstractNumId w:val="52"/>
  </w:num>
  <w:num w:numId="14">
    <w:abstractNumId w:val="19"/>
  </w:num>
  <w:num w:numId="15">
    <w:abstractNumId w:val="38"/>
  </w:num>
  <w:num w:numId="16">
    <w:abstractNumId w:val="42"/>
  </w:num>
  <w:num w:numId="17">
    <w:abstractNumId w:val="40"/>
  </w:num>
  <w:num w:numId="18">
    <w:abstractNumId w:val="10"/>
  </w:num>
  <w:num w:numId="19">
    <w:abstractNumId w:val="0"/>
  </w:num>
  <w:num w:numId="20">
    <w:abstractNumId w:val="20"/>
  </w:num>
  <w:num w:numId="21">
    <w:abstractNumId w:val="48"/>
  </w:num>
  <w:num w:numId="22">
    <w:abstractNumId w:val="41"/>
  </w:num>
  <w:num w:numId="23">
    <w:abstractNumId w:val="18"/>
  </w:num>
  <w:num w:numId="24">
    <w:abstractNumId w:val="12"/>
  </w:num>
  <w:num w:numId="25">
    <w:abstractNumId w:val="7"/>
  </w:num>
  <w:num w:numId="26">
    <w:abstractNumId w:val="16"/>
  </w:num>
  <w:num w:numId="27">
    <w:abstractNumId w:val="46"/>
  </w:num>
  <w:num w:numId="28">
    <w:abstractNumId w:val="25"/>
  </w:num>
  <w:num w:numId="29">
    <w:abstractNumId w:val="17"/>
  </w:num>
  <w:num w:numId="30">
    <w:abstractNumId w:val="9"/>
  </w:num>
  <w:num w:numId="31">
    <w:abstractNumId w:val="21"/>
  </w:num>
  <w:num w:numId="32">
    <w:abstractNumId w:val="39"/>
  </w:num>
  <w:num w:numId="33">
    <w:abstractNumId w:val="8"/>
  </w:num>
  <w:num w:numId="34">
    <w:abstractNumId w:val="43"/>
  </w:num>
  <w:num w:numId="35">
    <w:abstractNumId w:val="26"/>
  </w:num>
  <w:num w:numId="36">
    <w:abstractNumId w:val="6"/>
  </w:num>
  <w:num w:numId="37">
    <w:abstractNumId w:val="29"/>
  </w:num>
  <w:num w:numId="38">
    <w:abstractNumId w:val="4"/>
  </w:num>
  <w:num w:numId="39">
    <w:abstractNumId w:val="44"/>
  </w:num>
  <w:num w:numId="40">
    <w:abstractNumId w:val="49"/>
  </w:num>
  <w:num w:numId="41">
    <w:abstractNumId w:val="24"/>
  </w:num>
  <w:num w:numId="42">
    <w:abstractNumId w:val="44"/>
  </w:num>
  <w:num w:numId="43">
    <w:abstractNumId w:val="44"/>
  </w:num>
  <w:num w:numId="44">
    <w:abstractNumId w:val="11"/>
  </w:num>
  <w:num w:numId="45">
    <w:abstractNumId w:val="50"/>
  </w:num>
  <w:num w:numId="46">
    <w:abstractNumId w:val="33"/>
  </w:num>
  <w:num w:numId="47">
    <w:abstractNumId w:val="32"/>
  </w:num>
  <w:num w:numId="48">
    <w:abstractNumId w:val="22"/>
  </w:num>
  <w:num w:numId="49">
    <w:abstractNumId w:val="51"/>
  </w:num>
  <w:num w:numId="50">
    <w:abstractNumId w:val="27"/>
  </w:num>
  <w:num w:numId="51">
    <w:abstractNumId w:val="47"/>
  </w:num>
  <w:num w:numId="52">
    <w:abstractNumId w:val="23"/>
  </w:num>
  <w:num w:numId="53">
    <w:abstractNumId w:val="1"/>
  </w:num>
  <w:num w:numId="54">
    <w:abstractNumId w:val="2"/>
  </w:num>
  <w:num w:numId="55">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28"/>
    <w:rsid w:val="00000349"/>
    <w:rsid w:val="00003DE6"/>
    <w:rsid w:val="00010FEB"/>
    <w:rsid w:val="00013B78"/>
    <w:rsid w:val="000164E3"/>
    <w:rsid w:val="00022903"/>
    <w:rsid w:val="0002426A"/>
    <w:rsid w:val="00025485"/>
    <w:rsid w:val="00034536"/>
    <w:rsid w:val="00051B61"/>
    <w:rsid w:val="000541C6"/>
    <w:rsid w:val="0005450F"/>
    <w:rsid w:val="0005581A"/>
    <w:rsid w:val="00056C71"/>
    <w:rsid w:val="00060069"/>
    <w:rsid w:val="00060801"/>
    <w:rsid w:val="000627BB"/>
    <w:rsid w:val="00062995"/>
    <w:rsid w:val="000641D6"/>
    <w:rsid w:val="0007084A"/>
    <w:rsid w:val="00092D0A"/>
    <w:rsid w:val="000A3B03"/>
    <w:rsid w:val="000A473E"/>
    <w:rsid w:val="000B07C5"/>
    <w:rsid w:val="000B1DB9"/>
    <w:rsid w:val="000B2B60"/>
    <w:rsid w:val="000B46F0"/>
    <w:rsid w:val="000B4D27"/>
    <w:rsid w:val="000B508A"/>
    <w:rsid w:val="000C03CE"/>
    <w:rsid w:val="000D1345"/>
    <w:rsid w:val="000E4C25"/>
    <w:rsid w:val="000E5FDB"/>
    <w:rsid w:val="000F29C2"/>
    <w:rsid w:val="000F53D8"/>
    <w:rsid w:val="00101AA6"/>
    <w:rsid w:val="00105EB4"/>
    <w:rsid w:val="001140AE"/>
    <w:rsid w:val="00122446"/>
    <w:rsid w:val="00122F47"/>
    <w:rsid w:val="0012457B"/>
    <w:rsid w:val="001246CA"/>
    <w:rsid w:val="001255FB"/>
    <w:rsid w:val="0012723A"/>
    <w:rsid w:val="00133D84"/>
    <w:rsid w:val="001341AE"/>
    <w:rsid w:val="001423C9"/>
    <w:rsid w:val="00151FA2"/>
    <w:rsid w:val="00153AD2"/>
    <w:rsid w:val="0016568F"/>
    <w:rsid w:val="001712E4"/>
    <w:rsid w:val="00175888"/>
    <w:rsid w:val="0018661D"/>
    <w:rsid w:val="00186BC8"/>
    <w:rsid w:val="001B1D87"/>
    <w:rsid w:val="001B3F79"/>
    <w:rsid w:val="001C4079"/>
    <w:rsid w:val="001C40AC"/>
    <w:rsid w:val="001C439B"/>
    <w:rsid w:val="001D321B"/>
    <w:rsid w:val="001D44C1"/>
    <w:rsid w:val="001E11E9"/>
    <w:rsid w:val="001E1B90"/>
    <w:rsid w:val="001E5C67"/>
    <w:rsid w:val="001F28F8"/>
    <w:rsid w:val="001F3212"/>
    <w:rsid w:val="002008CC"/>
    <w:rsid w:val="00200CDF"/>
    <w:rsid w:val="002073A8"/>
    <w:rsid w:val="00210350"/>
    <w:rsid w:val="00211ABE"/>
    <w:rsid w:val="00214A9B"/>
    <w:rsid w:val="00215586"/>
    <w:rsid w:val="002238F7"/>
    <w:rsid w:val="002251A5"/>
    <w:rsid w:val="00230BFF"/>
    <w:rsid w:val="00231E87"/>
    <w:rsid w:val="00234802"/>
    <w:rsid w:val="002357AD"/>
    <w:rsid w:val="00237C1A"/>
    <w:rsid w:val="002455FA"/>
    <w:rsid w:val="00246F28"/>
    <w:rsid w:val="002563B3"/>
    <w:rsid w:val="002642C2"/>
    <w:rsid w:val="002666DE"/>
    <w:rsid w:val="00272659"/>
    <w:rsid w:val="002740D6"/>
    <w:rsid w:val="00274152"/>
    <w:rsid w:val="00281172"/>
    <w:rsid w:val="0028220B"/>
    <w:rsid w:val="00282BC2"/>
    <w:rsid w:val="00282D94"/>
    <w:rsid w:val="002869BF"/>
    <w:rsid w:val="00290841"/>
    <w:rsid w:val="002938E9"/>
    <w:rsid w:val="00294126"/>
    <w:rsid w:val="002A2FCD"/>
    <w:rsid w:val="002B2AC3"/>
    <w:rsid w:val="002C2920"/>
    <w:rsid w:val="002D1801"/>
    <w:rsid w:val="002D4DE0"/>
    <w:rsid w:val="002E2383"/>
    <w:rsid w:val="002E42A0"/>
    <w:rsid w:val="002E5EE5"/>
    <w:rsid w:val="00304E08"/>
    <w:rsid w:val="00314134"/>
    <w:rsid w:val="003143B0"/>
    <w:rsid w:val="003200FA"/>
    <w:rsid w:val="00322159"/>
    <w:rsid w:val="0032689F"/>
    <w:rsid w:val="003316EF"/>
    <w:rsid w:val="00347024"/>
    <w:rsid w:val="003476A9"/>
    <w:rsid w:val="003605B6"/>
    <w:rsid w:val="00370360"/>
    <w:rsid w:val="00372E1B"/>
    <w:rsid w:val="00375347"/>
    <w:rsid w:val="0038090A"/>
    <w:rsid w:val="00383CAB"/>
    <w:rsid w:val="003869DA"/>
    <w:rsid w:val="0039026D"/>
    <w:rsid w:val="003A1ADA"/>
    <w:rsid w:val="003A7E03"/>
    <w:rsid w:val="003B168E"/>
    <w:rsid w:val="003B48A0"/>
    <w:rsid w:val="003B4A84"/>
    <w:rsid w:val="003B74BC"/>
    <w:rsid w:val="003C1D7B"/>
    <w:rsid w:val="003C3347"/>
    <w:rsid w:val="003C385A"/>
    <w:rsid w:val="003D196D"/>
    <w:rsid w:val="003E1105"/>
    <w:rsid w:val="00401562"/>
    <w:rsid w:val="00406B19"/>
    <w:rsid w:val="00407A10"/>
    <w:rsid w:val="0041095A"/>
    <w:rsid w:val="004146B2"/>
    <w:rsid w:val="0041710A"/>
    <w:rsid w:val="00417564"/>
    <w:rsid w:val="004175D2"/>
    <w:rsid w:val="00422942"/>
    <w:rsid w:val="004249A2"/>
    <w:rsid w:val="00424E01"/>
    <w:rsid w:val="00424E2A"/>
    <w:rsid w:val="00431489"/>
    <w:rsid w:val="004328F1"/>
    <w:rsid w:val="004422E7"/>
    <w:rsid w:val="0044556A"/>
    <w:rsid w:val="00453B73"/>
    <w:rsid w:val="004574FD"/>
    <w:rsid w:val="00470A5F"/>
    <w:rsid w:val="00471659"/>
    <w:rsid w:val="00472CF1"/>
    <w:rsid w:val="00482B4F"/>
    <w:rsid w:val="00482F79"/>
    <w:rsid w:val="0048479F"/>
    <w:rsid w:val="00487E62"/>
    <w:rsid w:val="00487FAE"/>
    <w:rsid w:val="004B12B1"/>
    <w:rsid w:val="004B2343"/>
    <w:rsid w:val="004C66B8"/>
    <w:rsid w:val="004D138B"/>
    <w:rsid w:val="004D4097"/>
    <w:rsid w:val="004D555D"/>
    <w:rsid w:val="004D6749"/>
    <w:rsid w:val="004D6CD0"/>
    <w:rsid w:val="004E784D"/>
    <w:rsid w:val="004F5CC4"/>
    <w:rsid w:val="0050318B"/>
    <w:rsid w:val="00504C82"/>
    <w:rsid w:val="005051DA"/>
    <w:rsid w:val="00505F1D"/>
    <w:rsid w:val="00506F0F"/>
    <w:rsid w:val="00511727"/>
    <w:rsid w:val="005278BB"/>
    <w:rsid w:val="00535295"/>
    <w:rsid w:val="00540331"/>
    <w:rsid w:val="00541940"/>
    <w:rsid w:val="005519B4"/>
    <w:rsid w:val="00553FC1"/>
    <w:rsid w:val="00554B7D"/>
    <w:rsid w:val="00556024"/>
    <w:rsid w:val="0057250F"/>
    <w:rsid w:val="005733EA"/>
    <w:rsid w:val="00576EA5"/>
    <w:rsid w:val="005779EA"/>
    <w:rsid w:val="00577DA3"/>
    <w:rsid w:val="00581C7B"/>
    <w:rsid w:val="00583DC4"/>
    <w:rsid w:val="005855BE"/>
    <w:rsid w:val="0059118E"/>
    <w:rsid w:val="00591C43"/>
    <w:rsid w:val="00593A44"/>
    <w:rsid w:val="00594F9E"/>
    <w:rsid w:val="00597D7F"/>
    <w:rsid w:val="005A3025"/>
    <w:rsid w:val="005A4465"/>
    <w:rsid w:val="005B1154"/>
    <w:rsid w:val="005B2C1B"/>
    <w:rsid w:val="005B4236"/>
    <w:rsid w:val="005C0D65"/>
    <w:rsid w:val="005C1997"/>
    <w:rsid w:val="005D09C8"/>
    <w:rsid w:val="005D50B0"/>
    <w:rsid w:val="005D6A8C"/>
    <w:rsid w:val="005E1199"/>
    <w:rsid w:val="005E1D64"/>
    <w:rsid w:val="005E59A3"/>
    <w:rsid w:val="005E6977"/>
    <w:rsid w:val="005F24C8"/>
    <w:rsid w:val="005F7338"/>
    <w:rsid w:val="00600DD5"/>
    <w:rsid w:val="00600FCB"/>
    <w:rsid w:val="00601AC3"/>
    <w:rsid w:val="0060356A"/>
    <w:rsid w:val="0061245A"/>
    <w:rsid w:val="00630D64"/>
    <w:rsid w:val="00630F08"/>
    <w:rsid w:val="006378B7"/>
    <w:rsid w:val="006405D2"/>
    <w:rsid w:val="00641CDF"/>
    <w:rsid w:val="00642A01"/>
    <w:rsid w:val="00646C04"/>
    <w:rsid w:val="00650289"/>
    <w:rsid w:val="00655E1E"/>
    <w:rsid w:val="00663F8B"/>
    <w:rsid w:val="00667167"/>
    <w:rsid w:val="00671357"/>
    <w:rsid w:val="006714F2"/>
    <w:rsid w:val="00671C08"/>
    <w:rsid w:val="00674A39"/>
    <w:rsid w:val="00675B23"/>
    <w:rsid w:val="00675FBD"/>
    <w:rsid w:val="0067672B"/>
    <w:rsid w:val="00682093"/>
    <w:rsid w:val="00687112"/>
    <w:rsid w:val="00691F52"/>
    <w:rsid w:val="00693557"/>
    <w:rsid w:val="006A6175"/>
    <w:rsid w:val="006B2443"/>
    <w:rsid w:val="006B4C53"/>
    <w:rsid w:val="006B6AE0"/>
    <w:rsid w:val="006C6B79"/>
    <w:rsid w:val="006C6D31"/>
    <w:rsid w:val="006C7447"/>
    <w:rsid w:val="006D3FC1"/>
    <w:rsid w:val="006E2F94"/>
    <w:rsid w:val="006E4F2B"/>
    <w:rsid w:val="006E7679"/>
    <w:rsid w:val="006F0C3A"/>
    <w:rsid w:val="006F6D94"/>
    <w:rsid w:val="00700928"/>
    <w:rsid w:val="00706D42"/>
    <w:rsid w:val="00712CFD"/>
    <w:rsid w:val="0071331C"/>
    <w:rsid w:val="0071398F"/>
    <w:rsid w:val="007311C7"/>
    <w:rsid w:val="00737B30"/>
    <w:rsid w:val="007426C4"/>
    <w:rsid w:val="0074359B"/>
    <w:rsid w:val="00744452"/>
    <w:rsid w:val="007606A2"/>
    <w:rsid w:val="0076155F"/>
    <w:rsid w:val="00762A6D"/>
    <w:rsid w:val="00764979"/>
    <w:rsid w:val="00785E98"/>
    <w:rsid w:val="0079397D"/>
    <w:rsid w:val="007956D3"/>
    <w:rsid w:val="00795F88"/>
    <w:rsid w:val="00796AAA"/>
    <w:rsid w:val="007A7680"/>
    <w:rsid w:val="007B0B2F"/>
    <w:rsid w:val="007B3D23"/>
    <w:rsid w:val="007B48CD"/>
    <w:rsid w:val="007B6011"/>
    <w:rsid w:val="007C04DA"/>
    <w:rsid w:val="007D3ED7"/>
    <w:rsid w:val="007D45EA"/>
    <w:rsid w:val="007E576B"/>
    <w:rsid w:val="007F1282"/>
    <w:rsid w:val="0080108C"/>
    <w:rsid w:val="0080341E"/>
    <w:rsid w:val="008146CA"/>
    <w:rsid w:val="00817DE4"/>
    <w:rsid w:val="00821D05"/>
    <w:rsid w:val="00824BFD"/>
    <w:rsid w:val="00827FA5"/>
    <w:rsid w:val="0083126D"/>
    <w:rsid w:val="00852937"/>
    <w:rsid w:val="008531D9"/>
    <w:rsid w:val="00853575"/>
    <w:rsid w:val="00863927"/>
    <w:rsid w:val="00865324"/>
    <w:rsid w:val="00877194"/>
    <w:rsid w:val="00880B36"/>
    <w:rsid w:val="00881A4A"/>
    <w:rsid w:val="00881DEF"/>
    <w:rsid w:val="008837DD"/>
    <w:rsid w:val="00884BCC"/>
    <w:rsid w:val="008A01EF"/>
    <w:rsid w:val="008B37D6"/>
    <w:rsid w:val="008C0970"/>
    <w:rsid w:val="008C166F"/>
    <w:rsid w:val="008C5F61"/>
    <w:rsid w:val="008C63FC"/>
    <w:rsid w:val="008D620C"/>
    <w:rsid w:val="008D7775"/>
    <w:rsid w:val="008D7C52"/>
    <w:rsid w:val="008D7FD2"/>
    <w:rsid w:val="008E1F38"/>
    <w:rsid w:val="008E6A65"/>
    <w:rsid w:val="008E7B5A"/>
    <w:rsid w:val="00900B92"/>
    <w:rsid w:val="00905FE1"/>
    <w:rsid w:val="009060EA"/>
    <w:rsid w:val="0091575C"/>
    <w:rsid w:val="0091611A"/>
    <w:rsid w:val="00916393"/>
    <w:rsid w:val="00916775"/>
    <w:rsid w:val="009224C8"/>
    <w:rsid w:val="00922A7A"/>
    <w:rsid w:val="00922EF9"/>
    <w:rsid w:val="00925CAE"/>
    <w:rsid w:val="00937002"/>
    <w:rsid w:val="00940BEB"/>
    <w:rsid w:val="009436EF"/>
    <w:rsid w:val="009441B1"/>
    <w:rsid w:val="009506FD"/>
    <w:rsid w:val="009538AF"/>
    <w:rsid w:val="00953AFD"/>
    <w:rsid w:val="00956C56"/>
    <w:rsid w:val="00962321"/>
    <w:rsid w:val="0096292D"/>
    <w:rsid w:val="00965F07"/>
    <w:rsid w:val="00972D28"/>
    <w:rsid w:val="00977A86"/>
    <w:rsid w:val="009825E6"/>
    <w:rsid w:val="00982B46"/>
    <w:rsid w:val="009852B5"/>
    <w:rsid w:val="00987815"/>
    <w:rsid w:val="0099610B"/>
    <w:rsid w:val="009A2473"/>
    <w:rsid w:val="009A3B52"/>
    <w:rsid w:val="009B20A6"/>
    <w:rsid w:val="009B49C5"/>
    <w:rsid w:val="009B63B5"/>
    <w:rsid w:val="009C29CF"/>
    <w:rsid w:val="009C3082"/>
    <w:rsid w:val="009C6376"/>
    <w:rsid w:val="009D3C69"/>
    <w:rsid w:val="009E076D"/>
    <w:rsid w:val="009E4178"/>
    <w:rsid w:val="009E51E5"/>
    <w:rsid w:val="009E7125"/>
    <w:rsid w:val="009F0E4E"/>
    <w:rsid w:val="009F4FEE"/>
    <w:rsid w:val="009F5F3F"/>
    <w:rsid w:val="009F7ADE"/>
    <w:rsid w:val="00A00A5A"/>
    <w:rsid w:val="00A01606"/>
    <w:rsid w:val="00A03EF5"/>
    <w:rsid w:val="00A04A03"/>
    <w:rsid w:val="00A04AC2"/>
    <w:rsid w:val="00A16886"/>
    <w:rsid w:val="00A1736E"/>
    <w:rsid w:val="00A24D98"/>
    <w:rsid w:val="00A37B7D"/>
    <w:rsid w:val="00A42AE7"/>
    <w:rsid w:val="00A42BBC"/>
    <w:rsid w:val="00A4394D"/>
    <w:rsid w:val="00A542CF"/>
    <w:rsid w:val="00A54A7D"/>
    <w:rsid w:val="00A556DA"/>
    <w:rsid w:val="00A5759D"/>
    <w:rsid w:val="00A601D8"/>
    <w:rsid w:val="00A64F29"/>
    <w:rsid w:val="00A65AA4"/>
    <w:rsid w:val="00A76E91"/>
    <w:rsid w:val="00A842C3"/>
    <w:rsid w:val="00A94CFE"/>
    <w:rsid w:val="00A975B8"/>
    <w:rsid w:val="00AA06ED"/>
    <w:rsid w:val="00AA11C8"/>
    <w:rsid w:val="00AA739C"/>
    <w:rsid w:val="00AB62A7"/>
    <w:rsid w:val="00AB74FD"/>
    <w:rsid w:val="00AB7644"/>
    <w:rsid w:val="00AB7E2C"/>
    <w:rsid w:val="00AC5033"/>
    <w:rsid w:val="00AC533B"/>
    <w:rsid w:val="00AC57A1"/>
    <w:rsid w:val="00AC721D"/>
    <w:rsid w:val="00AD40CF"/>
    <w:rsid w:val="00AD4A65"/>
    <w:rsid w:val="00AD53FC"/>
    <w:rsid w:val="00AD691D"/>
    <w:rsid w:val="00AD6B9A"/>
    <w:rsid w:val="00AE1C84"/>
    <w:rsid w:val="00AE6D89"/>
    <w:rsid w:val="00AF421A"/>
    <w:rsid w:val="00AF7E55"/>
    <w:rsid w:val="00B0057D"/>
    <w:rsid w:val="00B00886"/>
    <w:rsid w:val="00B01AA4"/>
    <w:rsid w:val="00B02020"/>
    <w:rsid w:val="00B126D4"/>
    <w:rsid w:val="00B16C79"/>
    <w:rsid w:val="00B24831"/>
    <w:rsid w:val="00B3004A"/>
    <w:rsid w:val="00B33C80"/>
    <w:rsid w:val="00B349CC"/>
    <w:rsid w:val="00B34B72"/>
    <w:rsid w:val="00B35981"/>
    <w:rsid w:val="00B406E8"/>
    <w:rsid w:val="00B4463B"/>
    <w:rsid w:val="00B5038C"/>
    <w:rsid w:val="00B5178B"/>
    <w:rsid w:val="00B5235A"/>
    <w:rsid w:val="00B624E7"/>
    <w:rsid w:val="00B63F9A"/>
    <w:rsid w:val="00B648A5"/>
    <w:rsid w:val="00B67B2A"/>
    <w:rsid w:val="00B73C74"/>
    <w:rsid w:val="00B75121"/>
    <w:rsid w:val="00B75A95"/>
    <w:rsid w:val="00B76DA8"/>
    <w:rsid w:val="00B926E0"/>
    <w:rsid w:val="00B93765"/>
    <w:rsid w:val="00B94064"/>
    <w:rsid w:val="00BA10E7"/>
    <w:rsid w:val="00BA29C1"/>
    <w:rsid w:val="00BA7CF0"/>
    <w:rsid w:val="00BB3414"/>
    <w:rsid w:val="00BC5A4D"/>
    <w:rsid w:val="00BD0219"/>
    <w:rsid w:val="00BD04FF"/>
    <w:rsid w:val="00BD1213"/>
    <w:rsid w:val="00BD4F9F"/>
    <w:rsid w:val="00BE364C"/>
    <w:rsid w:val="00BE3C1E"/>
    <w:rsid w:val="00BE4D9E"/>
    <w:rsid w:val="00BF25B9"/>
    <w:rsid w:val="00BF2A9D"/>
    <w:rsid w:val="00BF74BE"/>
    <w:rsid w:val="00BF7BE6"/>
    <w:rsid w:val="00C023D5"/>
    <w:rsid w:val="00C02B42"/>
    <w:rsid w:val="00C0475A"/>
    <w:rsid w:val="00C1320F"/>
    <w:rsid w:val="00C1541E"/>
    <w:rsid w:val="00C15F7D"/>
    <w:rsid w:val="00C20F68"/>
    <w:rsid w:val="00C27236"/>
    <w:rsid w:val="00C322AF"/>
    <w:rsid w:val="00C417B4"/>
    <w:rsid w:val="00C42877"/>
    <w:rsid w:val="00C43749"/>
    <w:rsid w:val="00C46B2B"/>
    <w:rsid w:val="00C526A1"/>
    <w:rsid w:val="00C534C3"/>
    <w:rsid w:val="00C55CB7"/>
    <w:rsid w:val="00C5696D"/>
    <w:rsid w:val="00C60F60"/>
    <w:rsid w:val="00C6263D"/>
    <w:rsid w:val="00C661F8"/>
    <w:rsid w:val="00C6755D"/>
    <w:rsid w:val="00C800CA"/>
    <w:rsid w:val="00C80E9C"/>
    <w:rsid w:val="00C849B4"/>
    <w:rsid w:val="00C85FCA"/>
    <w:rsid w:val="00C87206"/>
    <w:rsid w:val="00C9073E"/>
    <w:rsid w:val="00C908A9"/>
    <w:rsid w:val="00C97E2F"/>
    <w:rsid w:val="00CA5582"/>
    <w:rsid w:val="00CB1BEE"/>
    <w:rsid w:val="00CB2E28"/>
    <w:rsid w:val="00CB6E84"/>
    <w:rsid w:val="00CC2795"/>
    <w:rsid w:val="00CC2D9C"/>
    <w:rsid w:val="00CC7A37"/>
    <w:rsid w:val="00CD1A5E"/>
    <w:rsid w:val="00CD4A47"/>
    <w:rsid w:val="00CD70FC"/>
    <w:rsid w:val="00CE0994"/>
    <w:rsid w:val="00CE2BCC"/>
    <w:rsid w:val="00CE3E90"/>
    <w:rsid w:val="00CE4A8F"/>
    <w:rsid w:val="00CE4EF0"/>
    <w:rsid w:val="00CF106F"/>
    <w:rsid w:val="00CF1A37"/>
    <w:rsid w:val="00CF51BB"/>
    <w:rsid w:val="00CF6892"/>
    <w:rsid w:val="00D051F6"/>
    <w:rsid w:val="00D118A6"/>
    <w:rsid w:val="00D12737"/>
    <w:rsid w:val="00D13F9E"/>
    <w:rsid w:val="00D255A1"/>
    <w:rsid w:val="00D2732A"/>
    <w:rsid w:val="00D30782"/>
    <w:rsid w:val="00D30F30"/>
    <w:rsid w:val="00D31611"/>
    <w:rsid w:val="00D31AB3"/>
    <w:rsid w:val="00D32B51"/>
    <w:rsid w:val="00D33CD6"/>
    <w:rsid w:val="00D35BC1"/>
    <w:rsid w:val="00D37399"/>
    <w:rsid w:val="00D37AFA"/>
    <w:rsid w:val="00D45DE6"/>
    <w:rsid w:val="00D464E2"/>
    <w:rsid w:val="00D4717A"/>
    <w:rsid w:val="00D518C9"/>
    <w:rsid w:val="00D543AF"/>
    <w:rsid w:val="00D616BA"/>
    <w:rsid w:val="00D619C1"/>
    <w:rsid w:val="00D8666C"/>
    <w:rsid w:val="00D90CED"/>
    <w:rsid w:val="00D9289F"/>
    <w:rsid w:val="00D93E77"/>
    <w:rsid w:val="00D94F7B"/>
    <w:rsid w:val="00DA1D71"/>
    <w:rsid w:val="00DA22A7"/>
    <w:rsid w:val="00DA58D0"/>
    <w:rsid w:val="00DA6BF7"/>
    <w:rsid w:val="00DB13BC"/>
    <w:rsid w:val="00DB5294"/>
    <w:rsid w:val="00DC3816"/>
    <w:rsid w:val="00DC4148"/>
    <w:rsid w:val="00DC5D68"/>
    <w:rsid w:val="00DD0A0B"/>
    <w:rsid w:val="00DD0A63"/>
    <w:rsid w:val="00DD17A6"/>
    <w:rsid w:val="00DE4CCC"/>
    <w:rsid w:val="00DF350E"/>
    <w:rsid w:val="00DF3CEB"/>
    <w:rsid w:val="00DF793F"/>
    <w:rsid w:val="00E01D7B"/>
    <w:rsid w:val="00E0349B"/>
    <w:rsid w:val="00E03D3D"/>
    <w:rsid w:val="00E04996"/>
    <w:rsid w:val="00E04F99"/>
    <w:rsid w:val="00E0555B"/>
    <w:rsid w:val="00E057FD"/>
    <w:rsid w:val="00E07A1C"/>
    <w:rsid w:val="00E07FF5"/>
    <w:rsid w:val="00E112C2"/>
    <w:rsid w:val="00E15556"/>
    <w:rsid w:val="00E16251"/>
    <w:rsid w:val="00E23B86"/>
    <w:rsid w:val="00E2512E"/>
    <w:rsid w:val="00E31B06"/>
    <w:rsid w:val="00E336CB"/>
    <w:rsid w:val="00E40D7A"/>
    <w:rsid w:val="00E51DD7"/>
    <w:rsid w:val="00E52CAD"/>
    <w:rsid w:val="00E530B8"/>
    <w:rsid w:val="00E54928"/>
    <w:rsid w:val="00E565FA"/>
    <w:rsid w:val="00E60FD0"/>
    <w:rsid w:val="00E63D51"/>
    <w:rsid w:val="00E65B73"/>
    <w:rsid w:val="00E65BD1"/>
    <w:rsid w:val="00E665CE"/>
    <w:rsid w:val="00E6E96A"/>
    <w:rsid w:val="00E749A9"/>
    <w:rsid w:val="00E76B4C"/>
    <w:rsid w:val="00E85A64"/>
    <w:rsid w:val="00EA14DD"/>
    <w:rsid w:val="00EA632F"/>
    <w:rsid w:val="00EB0815"/>
    <w:rsid w:val="00EB094D"/>
    <w:rsid w:val="00EB76CD"/>
    <w:rsid w:val="00EC326B"/>
    <w:rsid w:val="00ED4D97"/>
    <w:rsid w:val="00ED7D1D"/>
    <w:rsid w:val="00EF08D7"/>
    <w:rsid w:val="00EF795E"/>
    <w:rsid w:val="00F00784"/>
    <w:rsid w:val="00F10C24"/>
    <w:rsid w:val="00F14365"/>
    <w:rsid w:val="00F16AD6"/>
    <w:rsid w:val="00F26E2C"/>
    <w:rsid w:val="00F27F54"/>
    <w:rsid w:val="00F31CE5"/>
    <w:rsid w:val="00F34FC3"/>
    <w:rsid w:val="00F35D3A"/>
    <w:rsid w:val="00F42E2D"/>
    <w:rsid w:val="00F45CDF"/>
    <w:rsid w:val="00F5010D"/>
    <w:rsid w:val="00F50621"/>
    <w:rsid w:val="00F532C3"/>
    <w:rsid w:val="00F54162"/>
    <w:rsid w:val="00F55B5E"/>
    <w:rsid w:val="00F55E63"/>
    <w:rsid w:val="00F5761E"/>
    <w:rsid w:val="00F663A0"/>
    <w:rsid w:val="00F72006"/>
    <w:rsid w:val="00F74EB2"/>
    <w:rsid w:val="00F90B79"/>
    <w:rsid w:val="00F935EE"/>
    <w:rsid w:val="00F97BAE"/>
    <w:rsid w:val="00FA1338"/>
    <w:rsid w:val="00FA1AD0"/>
    <w:rsid w:val="00FA2798"/>
    <w:rsid w:val="00FA30F2"/>
    <w:rsid w:val="00FA4B4D"/>
    <w:rsid w:val="00FB5A63"/>
    <w:rsid w:val="00FB694C"/>
    <w:rsid w:val="00FD0466"/>
    <w:rsid w:val="00FE3317"/>
    <w:rsid w:val="00FF0665"/>
    <w:rsid w:val="00FF313E"/>
    <w:rsid w:val="00FF44B0"/>
    <w:rsid w:val="00FF5704"/>
    <w:rsid w:val="00FF5CA9"/>
    <w:rsid w:val="0798165F"/>
    <w:rsid w:val="0FBB1DD2"/>
    <w:rsid w:val="13255C35"/>
    <w:rsid w:val="15CD5DE4"/>
    <w:rsid w:val="15DF931E"/>
    <w:rsid w:val="15ED7F89"/>
    <w:rsid w:val="27D2A186"/>
    <w:rsid w:val="28730B79"/>
    <w:rsid w:val="2AAE54E5"/>
    <w:rsid w:val="2DA30F63"/>
    <w:rsid w:val="2EE44D08"/>
    <w:rsid w:val="31396C42"/>
    <w:rsid w:val="32135A30"/>
    <w:rsid w:val="3FA20628"/>
    <w:rsid w:val="41899FBF"/>
    <w:rsid w:val="4677BA13"/>
    <w:rsid w:val="475AEFFC"/>
    <w:rsid w:val="4F6042D7"/>
    <w:rsid w:val="5FBF8043"/>
    <w:rsid w:val="602280AD"/>
    <w:rsid w:val="6CC0A7D4"/>
    <w:rsid w:val="70941DCC"/>
    <w:rsid w:val="79D17076"/>
    <w:rsid w:val="7A27E4CB"/>
    <w:rsid w:val="7B172E82"/>
    <w:rsid w:val="7BCCE434"/>
    <w:rsid w:val="7C4B7D6D"/>
    <w:rsid w:val="7CAA1F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B516"/>
  <w15:chartTrackingRefBased/>
  <w15:docId w15:val="{10489D1C-E084-4B72-983E-C830028E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note,Dot pt,No Spacing1,List Paragraph Char Char Char,Indicator Text,Numbered Para 1,List Paragraph1,Bullet Points,MAIN CONTENT,OBC Bullet,List Paragraph11,List Paragraph12,F5 List Paragraph,Colorful List - Accent 11,Normal numbered"/>
    <w:basedOn w:val="Normal"/>
    <w:link w:val="ListParagraphChar"/>
    <w:uiPriority w:val="34"/>
    <w:qFormat/>
    <w:rsid w:val="00700928"/>
    <w:pPr>
      <w:spacing w:line="360" w:lineRule="auto"/>
      <w:ind w:left="720"/>
      <w:contextualSpacing/>
      <w:jc w:val="both"/>
    </w:pPr>
  </w:style>
  <w:style w:type="character" w:customStyle="1" w:styleId="ListParagraphChar">
    <w:name w:val="List Paragraph Char"/>
    <w:aliases w:val="Table note Char,Dot pt Char,No Spacing1 Char,List Paragraph Char Char Char Char,Indicator Text Char,Numbered Para 1 Char,List Paragraph1 Char,Bullet Points Char,MAIN CONTENT Char,OBC Bullet Char,List Paragraph11 Char"/>
    <w:basedOn w:val="DefaultParagraphFont"/>
    <w:link w:val="ListParagraph"/>
    <w:uiPriority w:val="34"/>
    <w:qFormat/>
    <w:locked/>
    <w:rsid w:val="00700928"/>
  </w:style>
  <w:style w:type="paragraph" w:styleId="NoSpacing">
    <w:name w:val="No Spacing"/>
    <w:basedOn w:val="Normal"/>
    <w:uiPriority w:val="1"/>
    <w:qFormat/>
    <w:rsid w:val="00237C1A"/>
    <w:pPr>
      <w:spacing w:line="360" w:lineRule="auto"/>
      <w:jc w:val="both"/>
    </w:pPr>
  </w:style>
  <w:style w:type="paragraph" w:customStyle="1" w:styleId="Default">
    <w:name w:val="Default"/>
    <w:rsid w:val="009E417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53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B73"/>
    <w:rPr>
      <w:rFonts w:ascii="Segoe UI" w:hAnsi="Segoe UI" w:cs="Segoe UI"/>
      <w:sz w:val="18"/>
      <w:szCs w:val="18"/>
    </w:rPr>
  </w:style>
  <w:style w:type="paragraph" w:styleId="Header">
    <w:name w:val="header"/>
    <w:basedOn w:val="Normal"/>
    <w:link w:val="HeaderChar"/>
    <w:uiPriority w:val="99"/>
    <w:unhideWhenUsed/>
    <w:rsid w:val="005A4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65"/>
  </w:style>
  <w:style w:type="paragraph" w:styleId="Footer">
    <w:name w:val="footer"/>
    <w:basedOn w:val="Normal"/>
    <w:link w:val="FooterChar"/>
    <w:uiPriority w:val="99"/>
    <w:unhideWhenUsed/>
    <w:rsid w:val="005A4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465"/>
  </w:style>
  <w:style w:type="character" w:styleId="Strong">
    <w:name w:val="Strong"/>
    <w:basedOn w:val="DefaultParagraphFont"/>
    <w:uiPriority w:val="22"/>
    <w:qFormat/>
    <w:rsid w:val="005779EA"/>
    <w:rPr>
      <w:b/>
      <w:bCs/>
    </w:rPr>
  </w:style>
  <w:style w:type="character" w:styleId="CommentReference">
    <w:name w:val="annotation reference"/>
    <w:basedOn w:val="DefaultParagraphFont"/>
    <w:uiPriority w:val="99"/>
    <w:semiHidden/>
    <w:unhideWhenUsed/>
    <w:rsid w:val="00E0555B"/>
    <w:rPr>
      <w:sz w:val="16"/>
      <w:szCs w:val="16"/>
    </w:rPr>
  </w:style>
  <w:style w:type="paragraph" w:styleId="CommentText">
    <w:name w:val="annotation text"/>
    <w:basedOn w:val="Normal"/>
    <w:link w:val="CommentTextChar"/>
    <w:uiPriority w:val="99"/>
    <w:semiHidden/>
    <w:unhideWhenUsed/>
    <w:rsid w:val="00E0555B"/>
    <w:pPr>
      <w:spacing w:line="240" w:lineRule="auto"/>
    </w:pPr>
    <w:rPr>
      <w:sz w:val="20"/>
      <w:szCs w:val="20"/>
    </w:rPr>
  </w:style>
  <w:style w:type="character" w:customStyle="1" w:styleId="CommentTextChar">
    <w:name w:val="Comment Text Char"/>
    <w:basedOn w:val="DefaultParagraphFont"/>
    <w:link w:val="CommentText"/>
    <w:uiPriority w:val="99"/>
    <w:semiHidden/>
    <w:rsid w:val="00E0555B"/>
    <w:rPr>
      <w:sz w:val="20"/>
      <w:szCs w:val="20"/>
    </w:rPr>
  </w:style>
  <w:style w:type="paragraph" w:styleId="CommentSubject">
    <w:name w:val="annotation subject"/>
    <w:basedOn w:val="CommentText"/>
    <w:next w:val="CommentText"/>
    <w:link w:val="CommentSubjectChar"/>
    <w:uiPriority w:val="99"/>
    <w:semiHidden/>
    <w:unhideWhenUsed/>
    <w:rsid w:val="008C0970"/>
    <w:rPr>
      <w:b/>
      <w:bCs/>
    </w:rPr>
  </w:style>
  <w:style w:type="character" w:customStyle="1" w:styleId="CommentSubjectChar">
    <w:name w:val="Comment Subject Char"/>
    <w:basedOn w:val="CommentTextChar"/>
    <w:link w:val="CommentSubject"/>
    <w:uiPriority w:val="99"/>
    <w:semiHidden/>
    <w:rsid w:val="008C0970"/>
    <w:rPr>
      <w:b/>
      <w:bCs/>
      <w:sz w:val="20"/>
      <w:szCs w:val="20"/>
    </w:rPr>
  </w:style>
  <w:style w:type="table" w:styleId="TableGrid">
    <w:name w:val="Table Grid"/>
    <w:basedOn w:val="TableNormal"/>
    <w:uiPriority w:val="59"/>
    <w:rsid w:val="00AC5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356A"/>
    <w:rPr>
      <w:color w:val="0563C1" w:themeColor="hyperlink"/>
      <w:u w:val="single"/>
    </w:rPr>
  </w:style>
  <w:style w:type="paragraph" w:styleId="NormalWeb">
    <w:name w:val="Normal (Web)"/>
    <w:basedOn w:val="Normal"/>
    <w:uiPriority w:val="99"/>
    <w:semiHidden/>
    <w:unhideWhenUsed/>
    <w:rsid w:val="0069355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AB7E2C"/>
    <w:pPr>
      <w:spacing w:after="0" w:line="240" w:lineRule="auto"/>
    </w:pPr>
  </w:style>
  <w:style w:type="character" w:styleId="FollowedHyperlink">
    <w:name w:val="FollowedHyperlink"/>
    <w:basedOn w:val="DefaultParagraphFont"/>
    <w:uiPriority w:val="99"/>
    <w:semiHidden/>
    <w:unhideWhenUsed/>
    <w:rsid w:val="008E7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4579">
      <w:bodyDiv w:val="1"/>
      <w:marLeft w:val="0"/>
      <w:marRight w:val="0"/>
      <w:marTop w:val="0"/>
      <w:marBottom w:val="0"/>
      <w:divBdr>
        <w:top w:val="none" w:sz="0" w:space="0" w:color="auto"/>
        <w:left w:val="none" w:sz="0" w:space="0" w:color="auto"/>
        <w:bottom w:val="none" w:sz="0" w:space="0" w:color="auto"/>
        <w:right w:val="none" w:sz="0" w:space="0" w:color="auto"/>
      </w:divBdr>
    </w:div>
    <w:div w:id="281109515">
      <w:bodyDiv w:val="1"/>
      <w:marLeft w:val="0"/>
      <w:marRight w:val="0"/>
      <w:marTop w:val="0"/>
      <w:marBottom w:val="0"/>
      <w:divBdr>
        <w:top w:val="none" w:sz="0" w:space="0" w:color="auto"/>
        <w:left w:val="none" w:sz="0" w:space="0" w:color="auto"/>
        <w:bottom w:val="none" w:sz="0" w:space="0" w:color="auto"/>
        <w:right w:val="none" w:sz="0" w:space="0" w:color="auto"/>
      </w:divBdr>
    </w:div>
    <w:div w:id="350377845">
      <w:bodyDiv w:val="1"/>
      <w:marLeft w:val="0"/>
      <w:marRight w:val="0"/>
      <w:marTop w:val="0"/>
      <w:marBottom w:val="0"/>
      <w:divBdr>
        <w:top w:val="none" w:sz="0" w:space="0" w:color="auto"/>
        <w:left w:val="none" w:sz="0" w:space="0" w:color="auto"/>
        <w:bottom w:val="none" w:sz="0" w:space="0" w:color="auto"/>
        <w:right w:val="none" w:sz="0" w:space="0" w:color="auto"/>
      </w:divBdr>
    </w:div>
    <w:div w:id="413822874">
      <w:bodyDiv w:val="1"/>
      <w:marLeft w:val="0"/>
      <w:marRight w:val="0"/>
      <w:marTop w:val="0"/>
      <w:marBottom w:val="0"/>
      <w:divBdr>
        <w:top w:val="none" w:sz="0" w:space="0" w:color="auto"/>
        <w:left w:val="none" w:sz="0" w:space="0" w:color="auto"/>
        <w:bottom w:val="none" w:sz="0" w:space="0" w:color="auto"/>
        <w:right w:val="none" w:sz="0" w:space="0" w:color="auto"/>
      </w:divBdr>
    </w:div>
    <w:div w:id="497582005">
      <w:bodyDiv w:val="1"/>
      <w:marLeft w:val="0"/>
      <w:marRight w:val="0"/>
      <w:marTop w:val="0"/>
      <w:marBottom w:val="0"/>
      <w:divBdr>
        <w:top w:val="none" w:sz="0" w:space="0" w:color="auto"/>
        <w:left w:val="none" w:sz="0" w:space="0" w:color="auto"/>
        <w:bottom w:val="none" w:sz="0" w:space="0" w:color="auto"/>
        <w:right w:val="none" w:sz="0" w:space="0" w:color="auto"/>
      </w:divBdr>
    </w:div>
    <w:div w:id="537855346">
      <w:bodyDiv w:val="1"/>
      <w:marLeft w:val="0"/>
      <w:marRight w:val="0"/>
      <w:marTop w:val="0"/>
      <w:marBottom w:val="0"/>
      <w:divBdr>
        <w:top w:val="none" w:sz="0" w:space="0" w:color="auto"/>
        <w:left w:val="none" w:sz="0" w:space="0" w:color="auto"/>
        <w:bottom w:val="none" w:sz="0" w:space="0" w:color="auto"/>
        <w:right w:val="none" w:sz="0" w:space="0" w:color="auto"/>
      </w:divBdr>
    </w:div>
    <w:div w:id="770245103">
      <w:bodyDiv w:val="1"/>
      <w:marLeft w:val="0"/>
      <w:marRight w:val="0"/>
      <w:marTop w:val="0"/>
      <w:marBottom w:val="0"/>
      <w:divBdr>
        <w:top w:val="none" w:sz="0" w:space="0" w:color="auto"/>
        <w:left w:val="none" w:sz="0" w:space="0" w:color="auto"/>
        <w:bottom w:val="none" w:sz="0" w:space="0" w:color="auto"/>
        <w:right w:val="none" w:sz="0" w:space="0" w:color="auto"/>
      </w:divBdr>
    </w:div>
    <w:div w:id="810944901">
      <w:bodyDiv w:val="1"/>
      <w:marLeft w:val="0"/>
      <w:marRight w:val="0"/>
      <w:marTop w:val="0"/>
      <w:marBottom w:val="0"/>
      <w:divBdr>
        <w:top w:val="none" w:sz="0" w:space="0" w:color="auto"/>
        <w:left w:val="none" w:sz="0" w:space="0" w:color="auto"/>
        <w:bottom w:val="none" w:sz="0" w:space="0" w:color="auto"/>
        <w:right w:val="none" w:sz="0" w:space="0" w:color="auto"/>
      </w:divBdr>
    </w:div>
    <w:div w:id="911234697">
      <w:bodyDiv w:val="1"/>
      <w:marLeft w:val="0"/>
      <w:marRight w:val="0"/>
      <w:marTop w:val="0"/>
      <w:marBottom w:val="0"/>
      <w:divBdr>
        <w:top w:val="none" w:sz="0" w:space="0" w:color="auto"/>
        <w:left w:val="none" w:sz="0" w:space="0" w:color="auto"/>
        <w:bottom w:val="none" w:sz="0" w:space="0" w:color="auto"/>
        <w:right w:val="none" w:sz="0" w:space="0" w:color="auto"/>
      </w:divBdr>
      <w:divsChild>
        <w:div w:id="1537691209">
          <w:marLeft w:val="0"/>
          <w:marRight w:val="0"/>
          <w:marTop w:val="0"/>
          <w:marBottom w:val="0"/>
          <w:divBdr>
            <w:top w:val="none" w:sz="0" w:space="0" w:color="auto"/>
            <w:left w:val="none" w:sz="0" w:space="0" w:color="auto"/>
            <w:bottom w:val="none" w:sz="0" w:space="0" w:color="auto"/>
            <w:right w:val="none" w:sz="0" w:space="0" w:color="auto"/>
          </w:divBdr>
          <w:divsChild>
            <w:div w:id="1191643149">
              <w:marLeft w:val="-225"/>
              <w:marRight w:val="-225"/>
              <w:marTop w:val="0"/>
              <w:marBottom w:val="0"/>
              <w:divBdr>
                <w:top w:val="none" w:sz="0" w:space="0" w:color="auto"/>
                <w:left w:val="none" w:sz="0" w:space="0" w:color="auto"/>
                <w:bottom w:val="none" w:sz="0" w:space="0" w:color="auto"/>
                <w:right w:val="none" w:sz="0" w:space="0" w:color="auto"/>
              </w:divBdr>
            </w:div>
          </w:divsChild>
        </w:div>
        <w:div w:id="1735160552">
          <w:marLeft w:val="0"/>
          <w:marRight w:val="0"/>
          <w:marTop w:val="0"/>
          <w:marBottom w:val="0"/>
          <w:divBdr>
            <w:top w:val="none" w:sz="0" w:space="0" w:color="auto"/>
            <w:left w:val="none" w:sz="0" w:space="0" w:color="auto"/>
            <w:bottom w:val="none" w:sz="0" w:space="0" w:color="auto"/>
            <w:right w:val="none" w:sz="0" w:space="0" w:color="auto"/>
          </w:divBdr>
          <w:divsChild>
            <w:div w:id="1645502637">
              <w:marLeft w:val="-225"/>
              <w:marRight w:val="-225"/>
              <w:marTop w:val="0"/>
              <w:marBottom w:val="0"/>
              <w:divBdr>
                <w:top w:val="none" w:sz="0" w:space="0" w:color="auto"/>
                <w:left w:val="none" w:sz="0" w:space="0" w:color="auto"/>
                <w:bottom w:val="none" w:sz="0" w:space="0" w:color="auto"/>
                <w:right w:val="none" w:sz="0" w:space="0" w:color="auto"/>
              </w:divBdr>
            </w:div>
          </w:divsChild>
        </w:div>
        <w:div w:id="778764758">
          <w:marLeft w:val="0"/>
          <w:marRight w:val="0"/>
          <w:marTop w:val="0"/>
          <w:marBottom w:val="0"/>
          <w:divBdr>
            <w:top w:val="none" w:sz="0" w:space="0" w:color="auto"/>
            <w:left w:val="none" w:sz="0" w:space="0" w:color="auto"/>
            <w:bottom w:val="none" w:sz="0" w:space="0" w:color="auto"/>
            <w:right w:val="none" w:sz="0" w:space="0" w:color="auto"/>
          </w:divBdr>
          <w:divsChild>
            <w:div w:id="1173571770">
              <w:marLeft w:val="-225"/>
              <w:marRight w:val="-225"/>
              <w:marTop w:val="0"/>
              <w:marBottom w:val="0"/>
              <w:divBdr>
                <w:top w:val="none" w:sz="0" w:space="0" w:color="auto"/>
                <w:left w:val="none" w:sz="0" w:space="0" w:color="auto"/>
                <w:bottom w:val="none" w:sz="0" w:space="0" w:color="auto"/>
                <w:right w:val="none" w:sz="0" w:space="0" w:color="auto"/>
              </w:divBdr>
            </w:div>
          </w:divsChild>
        </w:div>
        <w:div w:id="1219509604">
          <w:marLeft w:val="0"/>
          <w:marRight w:val="0"/>
          <w:marTop w:val="0"/>
          <w:marBottom w:val="0"/>
          <w:divBdr>
            <w:top w:val="none" w:sz="0" w:space="0" w:color="auto"/>
            <w:left w:val="none" w:sz="0" w:space="0" w:color="auto"/>
            <w:bottom w:val="none" w:sz="0" w:space="0" w:color="auto"/>
            <w:right w:val="none" w:sz="0" w:space="0" w:color="auto"/>
          </w:divBdr>
          <w:divsChild>
            <w:div w:id="2109810479">
              <w:marLeft w:val="-225"/>
              <w:marRight w:val="-225"/>
              <w:marTop w:val="0"/>
              <w:marBottom w:val="0"/>
              <w:divBdr>
                <w:top w:val="none" w:sz="0" w:space="0" w:color="auto"/>
                <w:left w:val="none" w:sz="0" w:space="0" w:color="auto"/>
                <w:bottom w:val="none" w:sz="0" w:space="0" w:color="auto"/>
                <w:right w:val="none" w:sz="0" w:space="0" w:color="auto"/>
              </w:divBdr>
            </w:div>
          </w:divsChild>
        </w:div>
        <w:div w:id="822964186">
          <w:marLeft w:val="0"/>
          <w:marRight w:val="0"/>
          <w:marTop w:val="0"/>
          <w:marBottom w:val="0"/>
          <w:divBdr>
            <w:top w:val="none" w:sz="0" w:space="0" w:color="auto"/>
            <w:left w:val="none" w:sz="0" w:space="0" w:color="auto"/>
            <w:bottom w:val="none" w:sz="0" w:space="0" w:color="auto"/>
            <w:right w:val="none" w:sz="0" w:space="0" w:color="auto"/>
          </w:divBdr>
          <w:divsChild>
            <w:div w:id="1128276111">
              <w:marLeft w:val="-225"/>
              <w:marRight w:val="-225"/>
              <w:marTop w:val="0"/>
              <w:marBottom w:val="0"/>
              <w:divBdr>
                <w:top w:val="none" w:sz="0" w:space="0" w:color="auto"/>
                <w:left w:val="none" w:sz="0" w:space="0" w:color="auto"/>
                <w:bottom w:val="none" w:sz="0" w:space="0" w:color="auto"/>
                <w:right w:val="none" w:sz="0" w:space="0" w:color="auto"/>
              </w:divBdr>
            </w:div>
          </w:divsChild>
        </w:div>
        <w:div w:id="1220093096">
          <w:marLeft w:val="0"/>
          <w:marRight w:val="0"/>
          <w:marTop w:val="0"/>
          <w:marBottom w:val="0"/>
          <w:divBdr>
            <w:top w:val="none" w:sz="0" w:space="0" w:color="auto"/>
            <w:left w:val="none" w:sz="0" w:space="0" w:color="auto"/>
            <w:bottom w:val="none" w:sz="0" w:space="0" w:color="auto"/>
            <w:right w:val="none" w:sz="0" w:space="0" w:color="auto"/>
          </w:divBdr>
          <w:divsChild>
            <w:div w:id="673342846">
              <w:marLeft w:val="-225"/>
              <w:marRight w:val="-225"/>
              <w:marTop w:val="0"/>
              <w:marBottom w:val="0"/>
              <w:divBdr>
                <w:top w:val="none" w:sz="0" w:space="0" w:color="auto"/>
                <w:left w:val="none" w:sz="0" w:space="0" w:color="auto"/>
                <w:bottom w:val="none" w:sz="0" w:space="0" w:color="auto"/>
                <w:right w:val="none" w:sz="0" w:space="0" w:color="auto"/>
              </w:divBdr>
            </w:div>
          </w:divsChild>
        </w:div>
        <w:div w:id="213659506">
          <w:marLeft w:val="0"/>
          <w:marRight w:val="0"/>
          <w:marTop w:val="0"/>
          <w:marBottom w:val="0"/>
          <w:divBdr>
            <w:top w:val="none" w:sz="0" w:space="0" w:color="auto"/>
            <w:left w:val="none" w:sz="0" w:space="0" w:color="auto"/>
            <w:bottom w:val="none" w:sz="0" w:space="0" w:color="auto"/>
            <w:right w:val="none" w:sz="0" w:space="0" w:color="auto"/>
          </w:divBdr>
          <w:divsChild>
            <w:div w:id="1201554670">
              <w:marLeft w:val="-225"/>
              <w:marRight w:val="-225"/>
              <w:marTop w:val="0"/>
              <w:marBottom w:val="0"/>
              <w:divBdr>
                <w:top w:val="none" w:sz="0" w:space="0" w:color="auto"/>
                <w:left w:val="none" w:sz="0" w:space="0" w:color="auto"/>
                <w:bottom w:val="none" w:sz="0" w:space="0" w:color="auto"/>
                <w:right w:val="none" w:sz="0" w:space="0" w:color="auto"/>
              </w:divBdr>
            </w:div>
          </w:divsChild>
        </w:div>
        <w:div w:id="350183108">
          <w:marLeft w:val="0"/>
          <w:marRight w:val="0"/>
          <w:marTop w:val="0"/>
          <w:marBottom w:val="0"/>
          <w:divBdr>
            <w:top w:val="none" w:sz="0" w:space="0" w:color="auto"/>
            <w:left w:val="none" w:sz="0" w:space="0" w:color="auto"/>
            <w:bottom w:val="none" w:sz="0" w:space="0" w:color="auto"/>
            <w:right w:val="none" w:sz="0" w:space="0" w:color="auto"/>
          </w:divBdr>
          <w:divsChild>
            <w:div w:id="101642294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05788067">
      <w:bodyDiv w:val="1"/>
      <w:marLeft w:val="0"/>
      <w:marRight w:val="0"/>
      <w:marTop w:val="0"/>
      <w:marBottom w:val="0"/>
      <w:divBdr>
        <w:top w:val="none" w:sz="0" w:space="0" w:color="auto"/>
        <w:left w:val="none" w:sz="0" w:space="0" w:color="auto"/>
        <w:bottom w:val="none" w:sz="0" w:space="0" w:color="auto"/>
        <w:right w:val="none" w:sz="0" w:space="0" w:color="auto"/>
      </w:divBdr>
    </w:div>
    <w:div w:id="1055399278">
      <w:bodyDiv w:val="1"/>
      <w:marLeft w:val="0"/>
      <w:marRight w:val="0"/>
      <w:marTop w:val="0"/>
      <w:marBottom w:val="0"/>
      <w:divBdr>
        <w:top w:val="none" w:sz="0" w:space="0" w:color="auto"/>
        <w:left w:val="none" w:sz="0" w:space="0" w:color="auto"/>
        <w:bottom w:val="none" w:sz="0" w:space="0" w:color="auto"/>
        <w:right w:val="none" w:sz="0" w:space="0" w:color="auto"/>
      </w:divBdr>
    </w:div>
    <w:div w:id="1272779747">
      <w:bodyDiv w:val="1"/>
      <w:marLeft w:val="0"/>
      <w:marRight w:val="0"/>
      <w:marTop w:val="0"/>
      <w:marBottom w:val="0"/>
      <w:divBdr>
        <w:top w:val="none" w:sz="0" w:space="0" w:color="auto"/>
        <w:left w:val="none" w:sz="0" w:space="0" w:color="auto"/>
        <w:bottom w:val="none" w:sz="0" w:space="0" w:color="auto"/>
        <w:right w:val="none" w:sz="0" w:space="0" w:color="auto"/>
      </w:divBdr>
    </w:div>
    <w:div w:id="1322268507">
      <w:bodyDiv w:val="1"/>
      <w:marLeft w:val="0"/>
      <w:marRight w:val="0"/>
      <w:marTop w:val="0"/>
      <w:marBottom w:val="0"/>
      <w:divBdr>
        <w:top w:val="none" w:sz="0" w:space="0" w:color="auto"/>
        <w:left w:val="none" w:sz="0" w:space="0" w:color="auto"/>
        <w:bottom w:val="none" w:sz="0" w:space="0" w:color="auto"/>
        <w:right w:val="none" w:sz="0" w:space="0" w:color="auto"/>
      </w:divBdr>
    </w:div>
    <w:div w:id="1379622972">
      <w:bodyDiv w:val="1"/>
      <w:marLeft w:val="0"/>
      <w:marRight w:val="0"/>
      <w:marTop w:val="0"/>
      <w:marBottom w:val="0"/>
      <w:divBdr>
        <w:top w:val="none" w:sz="0" w:space="0" w:color="auto"/>
        <w:left w:val="none" w:sz="0" w:space="0" w:color="auto"/>
        <w:bottom w:val="none" w:sz="0" w:space="0" w:color="auto"/>
        <w:right w:val="none" w:sz="0" w:space="0" w:color="auto"/>
      </w:divBdr>
    </w:div>
    <w:div w:id="1391491287">
      <w:bodyDiv w:val="1"/>
      <w:marLeft w:val="0"/>
      <w:marRight w:val="0"/>
      <w:marTop w:val="0"/>
      <w:marBottom w:val="0"/>
      <w:divBdr>
        <w:top w:val="none" w:sz="0" w:space="0" w:color="auto"/>
        <w:left w:val="none" w:sz="0" w:space="0" w:color="auto"/>
        <w:bottom w:val="none" w:sz="0" w:space="0" w:color="auto"/>
        <w:right w:val="none" w:sz="0" w:space="0" w:color="auto"/>
      </w:divBdr>
      <w:divsChild>
        <w:div w:id="2070372108">
          <w:marLeft w:val="0"/>
          <w:marRight w:val="0"/>
          <w:marTop w:val="0"/>
          <w:marBottom w:val="0"/>
          <w:divBdr>
            <w:top w:val="none" w:sz="0" w:space="0" w:color="auto"/>
            <w:left w:val="none" w:sz="0" w:space="0" w:color="auto"/>
            <w:bottom w:val="none" w:sz="0" w:space="0" w:color="auto"/>
            <w:right w:val="none" w:sz="0" w:space="0" w:color="auto"/>
          </w:divBdr>
          <w:divsChild>
            <w:div w:id="1721710205">
              <w:marLeft w:val="-225"/>
              <w:marRight w:val="-225"/>
              <w:marTop w:val="0"/>
              <w:marBottom w:val="0"/>
              <w:divBdr>
                <w:top w:val="none" w:sz="0" w:space="0" w:color="auto"/>
                <w:left w:val="none" w:sz="0" w:space="0" w:color="auto"/>
                <w:bottom w:val="none" w:sz="0" w:space="0" w:color="auto"/>
                <w:right w:val="none" w:sz="0" w:space="0" w:color="auto"/>
              </w:divBdr>
            </w:div>
          </w:divsChild>
        </w:div>
        <w:div w:id="911233186">
          <w:marLeft w:val="0"/>
          <w:marRight w:val="0"/>
          <w:marTop w:val="0"/>
          <w:marBottom w:val="0"/>
          <w:divBdr>
            <w:top w:val="none" w:sz="0" w:space="0" w:color="auto"/>
            <w:left w:val="none" w:sz="0" w:space="0" w:color="auto"/>
            <w:bottom w:val="none" w:sz="0" w:space="0" w:color="auto"/>
            <w:right w:val="none" w:sz="0" w:space="0" w:color="auto"/>
          </w:divBdr>
          <w:divsChild>
            <w:div w:id="2077047880">
              <w:marLeft w:val="-225"/>
              <w:marRight w:val="-225"/>
              <w:marTop w:val="0"/>
              <w:marBottom w:val="0"/>
              <w:divBdr>
                <w:top w:val="none" w:sz="0" w:space="0" w:color="auto"/>
                <w:left w:val="none" w:sz="0" w:space="0" w:color="auto"/>
                <w:bottom w:val="none" w:sz="0" w:space="0" w:color="auto"/>
                <w:right w:val="none" w:sz="0" w:space="0" w:color="auto"/>
              </w:divBdr>
            </w:div>
          </w:divsChild>
        </w:div>
        <w:div w:id="885146004">
          <w:marLeft w:val="0"/>
          <w:marRight w:val="0"/>
          <w:marTop w:val="0"/>
          <w:marBottom w:val="0"/>
          <w:divBdr>
            <w:top w:val="none" w:sz="0" w:space="0" w:color="auto"/>
            <w:left w:val="none" w:sz="0" w:space="0" w:color="auto"/>
            <w:bottom w:val="none" w:sz="0" w:space="0" w:color="auto"/>
            <w:right w:val="none" w:sz="0" w:space="0" w:color="auto"/>
          </w:divBdr>
          <w:divsChild>
            <w:div w:id="113448379">
              <w:marLeft w:val="-225"/>
              <w:marRight w:val="-225"/>
              <w:marTop w:val="0"/>
              <w:marBottom w:val="0"/>
              <w:divBdr>
                <w:top w:val="none" w:sz="0" w:space="0" w:color="auto"/>
                <w:left w:val="none" w:sz="0" w:space="0" w:color="auto"/>
                <w:bottom w:val="none" w:sz="0" w:space="0" w:color="auto"/>
                <w:right w:val="none" w:sz="0" w:space="0" w:color="auto"/>
              </w:divBdr>
            </w:div>
          </w:divsChild>
        </w:div>
        <w:div w:id="748694902">
          <w:marLeft w:val="0"/>
          <w:marRight w:val="0"/>
          <w:marTop w:val="0"/>
          <w:marBottom w:val="0"/>
          <w:divBdr>
            <w:top w:val="none" w:sz="0" w:space="0" w:color="auto"/>
            <w:left w:val="none" w:sz="0" w:space="0" w:color="auto"/>
            <w:bottom w:val="none" w:sz="0" w:space="0" w:color="auto"/>
            <w:right w:val="none" w:sz="0" w:space="0" w:color="auto"/>
          </w:divBdr>
          <w:divsChild>
            <w:div w:id="1818297769">
              <w:marLeft w:val="-225"/>
              <w:marRight w:val="-225"/>
              <w:marTop w:val="0"/>
              <w:marBottom w:val="0"/>
              <w:divBdr>
                <w:top w:val="none" w:sz="0" w:space="0" w:color="auto"/>
                <w:left w:val="none" w:sz="0" w:space="0" w:color="auto"/>
                <w:bottom w:val="none" w:sz="0" w:space="0" w:color="auto"/>
                <w:right w:val="none" w:sz="0" w:space="0" w:color="auto"/>
              </w:divBdr>
            </w:div>
          </w:divsChild>
        </w:div>
        <w:div w:id="1247613343">
          <w:marLeft w:val="0"/>
          <w:marRight w:val="0"/>
          <w:marTop w:val="0"/>
          <w:marBottom w:val="0"/>
          <w:divBdr>
            <w:top w:val="none" w:sz="0" w:space="0" w:color="auto"/>
            <w:left w:val="none" w:sz="0" w:space="0" w:color="auto"/>
            <w:bottom w:val="none" w:sz="0" w:space="0" w:color="auto"/>
            <w:right w:val="none" w:sz="0" w:space="0" w:color="auto"/>
          </w:divBdr>
          <w:divsChild>
            <w:div w:id="705299068">
              <w:marLeft w:val="-225"/>
              <w:marRight w:val="-225"/>
              <w:marTop w:val="0"/>
              <w:marBottom w:val="0"/>
              <w:divBdr>
                <w:top w:val="none" w:sz="0" w:space="0" w:color="auto"/>
                <w:left w:val="none" w:sz="0" w:space="0" w:color="auto"/>
                <w:bottom w:val="none" w:sz="0" w:space="0" w:color="auto"/>
                <w:right w:val="none" w:sz="0" w:space="0" w:color="auto"/>
              </w:divBdr>
            </w:div>
          </w:divsChild>
        </w:div>
        <w:div w:id="566917664">
          <w:marLeft w:val="0"/>
          <w:marRight w:val="0"/>
          <w:marTop w:val="0"/>
          <w:marBottom w:val="0"/>
          <w:divBdr>
            <w:top w:val="none" w:sz="0" w:space="0" w:color="auto"/>
            <w:left w:val="none" w:sz="0" w:space="0" w:color="auto"/>
            <w:bottom w:val="none" w:sz="0" w:space="0" w:color="auto"/>
            <w:right w:val="none" w:sz="0" w:space="0" w:color="auto"/>
          </w:divBdr>
          <w:divsChild>
            <w:div w:id="10873937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96129025">
      <w:bodyDiv w:val="1"/>
      <w:marLeft w:val="0"/>
      <w:marRight w:val="0"/>
      <w:marTop w:val="0"/>
      <w:marBottom w:val="0"/>
      <w:divBdr>
        <w:top w:val="none" w:sz="0" w:space="0" w:color="auto"/>
        <w:left w:val="none" w:sz="0" w:space="0" w:color="auto"/>
        <w:bottom w:val="none" w:sz="0" w:space="0" w:color="auto"/>
        <w:right w:val="none" w:sz="0" w:space="0" w:color="auto"/>
      </w:divBdr>
    </w:div>
    <w:div w:id="1468208107">
      <w:bodyDiv w:val="1"/>
      <w:marLeft w:val="0"/>
      <w:marRight w:val="0"/>
      <w:marTop w:val="0"/>
      <w:marBottom w:val="0"/>
      <w:divBdr>
        <w:top w:val="none" w:sz="0" w:space="0" w:color="auto"/>
        <w:left w:val="none" w:sz="0" w:space="0" w:color="auto"/>
        <w:bottom w:val="none" w:sz="0" w:space="0" w:color="auto"/>
        <w:right w:val="none" w:sz="0" w:space="0" w:color="auto"/>
      </w:divBdr>
    </w:div>
    <w:div w:id="1540237238">
      <w:bodyDiv w:val="1"/>
      <w:marLeft w:val="0"/>
      <w:marRight w:val="0"/>
      <w:marTop w:val="0"/>
      <w:marBottom w:val="0"/>
      <w:divBdr>
        <w:top w:val="none" w:sz="0" w:space="0" w:color="auto"/>
        <w:left w:val="none" w:sz="0" w:space="0" w:color="auto"/>
        <w:bottom w:val="none" w:sz="0" w:space="0" w:color="auto"/>
        <w:right w:val="none" w:sz="0" w:space="0" w:color="auto"/>
      </w:divBdr>
      <w:divsChild>
        <w:div w:id="649407790">
          <w:marLeft w:val="0"/>
          <w:marRight w:val="0"/>
          <w:marTop w:val="0"/>
          <w:marBottom w:val="0"/>
          <w:divBdr>
            <w:top w:val="none" w:sz="0" w:space="0" w:color="auto"/>
            <w:left w:val="none" w:sz="0" w:space="0" w:color="auto"/>
            <w:bottom w:val="none" w:sz="0" w:space="0" w:color="auto"/>
            <w:right w:val="none" w:sz="0" w:space="0" w:color="auto"/>
          </w:divBdr>
          <w:divsChild>
            <w:div w:id="70155474">
              <w:marLeft w:val="-225"/>
              <w:marRight w:val="-225"/>
              <w:marTop w:val="0"/>
              <w:marBottom w:val="0"/>
              <w:divBdr>
                <w:top w:val="none" w:sz="0" w:space="0" w:color="auto"/>
                <w:left w:val="none" w:sz="0" w:space="0" w:color="auto"/>
                <w:bottom w:val="none" w:sz="0" w:space="0" w:color="auto"/>
                <w:right w:val="none" w:sz="0" w:space="0" w:color="auto"/>
              </w:divBdr>
            </w:div>
          </w:divsChild>
        </w:div>
        <w:div w:id="1559632590">
          <w:marLeft w:val="0"/>
          <w:marRight w:val="0"/>
          <w:marTop w:val="0"/>
          <w:marBottom w:val="0"/>
          <w:divBdr>
            <w:top w:val="none" w:sz="0" w:space="0" w:color="auto"/>
            <w:left w:val="none" w:sz="0" w:space="0" w:color="auto"/>
            <w:bottom w:val="none" w:sz="0" w:space="0" w:color="auto"/>
            <w:right w:val="none" w:sz="0" w:space="0" w:color="auto"/>
          </w:divBdr>
          <w:divsChild>
            <w:div w:id="124730046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15139283">
      <w:bodyDiv w:val="1"/>
      <w:marLeft w:val="0"/>
      <w:marRight w:val="0"/>
      <w:marTop w:val="0"/>
      <w:marBottom w:val="0"/>
      <w:divBdr>
        <w:top w:val="none" w:sz="0" w:space="0" w:color="auto"/>
        <w:left w:val="none" w:sz="0" w:space="0" w:color="auto"/>
        <w:bottom w:val="none" w:sz="0" w:space="0" w:color="auto"/>
        <w:right w:val="none" w:sz="0" w:space="0" w:color="auto"/>
      </w:divBdr>
    </w:div>
    <w:div w:id="1643775557">
      <w:bodyDiv w:val="1"/>
      <w:marLeft w:val="0"/>
      <w:marRight w:val="0"/>
      <w:marTop w:val="0"/>
      <w:marBottom w:val="0"/>
      <w:divBdr>
        <w:top w:val="none" w:sz="0" w:space="0" w:color="auto"/>
        <w:left w:val="none" w:sz="0" w:space="0" w:color="auto"/>
        <w:bottom w:val="none" w:sz="0" w:space="0" w:color="auto"/>
        <w:right w:val="none" w:sz="0" w:space="0" w:color="auto"/>
      </w:divBdr>
    </w:div>
    <w:div w:id="1701010636">
      <w:bodyDiv w:val="1"/>
      <w:marLeft w:val="0"/>
      <w:marRight w:val="0"/>
      <w:marTop w:val="0"/>
      <w:marBottom w:val="0"/>
      <w:divBdr>
        <w:top w:val="none" w:sz="0" w:space="0" w:color="auto"/>
        <w:left w:val="none" w:sz="0" w:space="0" w:color="auto"/>
        <w:bottom w:val="none" w:sz="0" w:space="0" w:color="auto"/>
        <w:right w:val="none" w:sz="0" w:space="0" w:color="auto"/>
      </w:divBdr>
    </w:div>
    <w:div w:id="1860653794">
      <w:bodyDiv w:val="1"/>
      <w:marLeft w:val="0"/>
      <w:marRight w:val="0"/>
      <w:marTop w:val="0"/>
      <w:marBottom w:val="0"/>
      <w:divBdr>
        <w:top w:val="none" w:sz="0" w:space="0" w:color="auto"/>
        <w:left w:val="none" w:sz="0" w:space="0" w:color="auto"/>
        <w:bottom w:val="none" w:sz="0" w:space="0" w:color="auto"/>
        <w:right w:val="none" w:sz="0" w:space="0" w:color="auto"/>
      </w:divBdr>
    </w:div>
    <w:div w:id="1955288036">
      <w:bodyDiv w:val="1"/>
      <w:marLeft w:val="0"/>
      <w:marRight w:val="0"/>
      <w:marTop w:val="0"/>
      <w:marBottom w:val="0"/>
      <w:divBdr>
        <w:top w:val="none" w:sz="0" w:space="0" w:color="auto"/>
        <w:left w:val="none" w:sz="0" w:space="0" w:color="auto"/>
        <w:bottom w:val="none" w:sz="0" w:space="0" w:color="auto"/>
        <w:right w:val="none" w:sz="0" w:space="0" w:color="auto"/>
      </w:divBdr>
    </w:div>
    <w:div w:id="1961062883">
      <w:bodyDiv w:val="1"/>
      <w:marLeft w:val="0"/>
      <w:marRight w:val="0"/>
      <w:marTop w:val="0"/>
      <w:marBottom w:val="0"/>
      <w:divBdr>
        <w:top w:val="none" w:sz="0" w:space="0" w:color="auto"/>
        <w:left w:val="none" w:sz="0" w:space="0" w:color="auto"/>
        <w:bottom w:val="none" w:sz="0" w:space="0" w:color="auto"/>
        <w:right w:val="none" w:sz="0" w:space="0" w:color="auto"/>
      </w:divBdr>
    </w:div>
    <w:div w:id="2005087474">
      <w:bodyDiv w:val="1"/>
      <w:marLeft w:val="0"/>
      <w:marRight w:val="0"/>
      <w:marTop w:val="0"/>
      <w:marBottom w:val="0"/>
      <w:divBdr>
        <w:top w:val="none" w:sz="0" w:space="0" w:color="auto"/>
        <w:left w:val="none" w:sz="0" w:space="0" w:color="auto"/>
        <w:bottom w:val="none" w:sz="0" w:space="0" w:color="auto"/>
        <w:right w:val="none" w:sz="0" w:space="0" w:color="auto"/>
      </w:divBdr>
    </w:div>
    <w:div w:id="2061053938">
      <w:bodyDiv w:val="1"/>
      <w:marLeft w:val="0"/>
      <w:marRight w:val="0"/>
      <w:marTop w:val="0"/>
      <w:marBottom w:val="0"/>
      <w:divBdr>
        <w:top w:val="none" w:sz="0" w:space="0" w:color="auto"/>
        <w:left w:val="none" w:sz="0" w:space="0" w:color="auto"/>
        <w:bottom w:val="none" w:sz="0" w:space="0" w:color="auto"/>
        <w:right w:val="none" w:sz="0" w:space="0" w:color="auto"/>
      </w:divBdr>
    </w:div>
    <w:div w:id="214677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collection/bcbca-our-rural-future-annual-work-programmes-and-progress-reports/" TargetMode="External"/><Relationship Id="rId18" Type="http://schemas.openxmlformats.org/officeDocument/2006/relationships/hyperlink" Target="https://www.gov.ie/en/news/e6d8e-the-library-is-the-place-new-five-year-strategy-for-public-libraries-unveil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ie/en/publication/4c236-our-rural-future-vision-and-policy-context/" TargetMode="External"/><Relationship Id="rId17" Type="http://schemas.openxmlformats.org/officeDocument/2006/relationships/hyperlink" Target="https://www.gov.ie/en/publication/2204a-national-volunteering-strategy-annual-update-2021/" TargetMode="External"/><Relationship Id="rId2" Type="http://schemas.openxmlformats.org/officeDocument/2006/relationships/customXml" Target="../customXml/item2.xml"/><Relationship Id="rId16" Type="http://schemas.openxmlformats.org/officeDocument/2006/relationships/hyperlink" Target="https://www.gov.ie/en/publication/3cba6-national-volunteering-strateg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policy-information/43eee-embracing-irelands-outdoors-national-outdoor-recreation-strategy-2023-2027/" TargetMode="External"/><Relationship Id="rId5" Type="http://schemas.openxmlformats.org/officeDocument/2006/relationships/numbering" Target="numbering.xml"/><Relationship Id="rId15" Type="http://schemas.openxmlformats.org/officeDocument/2006/relationships/hyperlink" Target="https://www.gov.ie/en/policy-information/7abc2-trading-for-impact-national-social-enterprise-policy-2024-2027/" TargetMode="External"/><Relationship Id="rId10" Type="http://schemas.openxmlformats.org/officeDocument/2006/relationships/endnotes" Target="endnotes.xml"/><Relationship Id="rId19" Type="http://schemas.openxmlformats.org/officeDocument/2006/relationships/hyperlink" Target="https://www.pobal.ie/app/uploads/2023/12/Upcycling-of-Bicycles-and-e-Bikes-Pilot-Initiative-EVALUATION-REPORT_.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e/en/policy-information/a7188-our-living-islan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03E9948EC5C74AB522ED73700547DB" ma:contentTypeVersion="3" ma:contentTypeDescription="Create a new document." ma:contentTypeScope="" ma:versionID="c9fd3b146f9adbbd64ea49ec7c2f0de1">
  <xsd:schema xmlns:xsd="http://www.w3.org/2001/XMLSchema" xmlns:xs="http://www.w3.org/2001/XMLSchema" xmlns:p="http://schemas.microsoft.com/office/2006/metadata/properties" targetNamespace="http://schemas.microsoft.com/office/2006/metadata/properties" ma:root="true" ma:fieldsID="c4c53e4adff4a49a1eaad53da88809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5E318-CEDC-4897-BC39-1E260DE6FC7A}"/>
</file>

<file path=customXml/itemProps2.xml><?xml version="1.0" encoding="utf-8"?>
<ds:datastoreItem xmlns:ds="http://schemas.openxmlformats.org/officeDocument/2006/customXml" ds:itemID="{7C6A7D2A-CF26-4B28-A946-3B8A547A041C}">
  <ds:schemaRefs>
    <ds:schemaRef ds:uri="http://schemas.microsoft.com/office/2006/metadata/properties"/>
    <ds:schemaRef ds:uri="http://purl.org/dc/terms/"/>
    <ds:schemaRef ds:uri="381fe9e1-90d3-4e06-9b9f-92425f0ab97a"/>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414C807-5DBC-432B-8A57-DC8C74424F3A}">
  <ds:schemaRefs>
    <ds:schemaRef ds:uri="http://schemas.microsoft.com/sharepoint/v3/contenttype/forms"/>
  </ds:schemaRefs>
</ds:datastoreItem>
</file>

<file path=customXml/itemProps4.xml><?xml version="1.0" encoding="utf-8"?>
<ds:datastoreItem xmlns:ds="http://schemas.openxmlformats.org/officeDocument/2006/customXml" ds:itemID="{34D03E7E-DB19-4DD3-B5D8-0BD23AB9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3618</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the Taoiseach</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Dillon</dc:creator>
  <cp:keywords/>
  <dc:description/>
  <cp:lastModifiedBy>Michelle Casserly  (DRCD)</cp:lastModifiedBy>
  <cp:revision>2</cp:revision>
  <cp:lastPrinted>2021-06-15T10:22:00Z</cp:lastPrinted>
  <dcterms:created xsi:type="dcterms:W3CDTF">2024-09-06T14:19:00Z</dcterms:created>
  <dcterms:modified xsi:type="dcterms:W3CDTF">2024-09-06T14:19:00Z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0x010100F103E9948EC5C74AB522ED73700547DB</vt:lpwstr>
  </property>
  <property fmtid="{D5CDD505-2E9C-101B-9397-08002B2CF9AE}" pid="3" name="eDocs_FileTopics">
    <vt:lpwstr>3;#Administration|69de52f0-4635-46fd-ab40-afe2eb3f944d</vt:lpwstr>
  </property>
  <property fmtid="{D5CDD505-2E9C-101B-9397-08002B2CF9AE}" pid="4" name="eDocs_Year">
    <vt:lpwstr>2;#2019|b47dcb1a-ffe9-4290-92a8-716699eb43a5</vt:lpwstr>
  </property>
  <property fmtid="{D5CDD505-2E9C-101B-9397-08002B2CF9AE}" pid="5" name="eDocs_SeriesSubSeries">
    <vt:lpwstr>2;#004|5f7a0e96-4d16-4bc7-8d2d-9cad01784662</vt:lpwstr>
  </property>
  <property fmtid="{D5CDD505-2E9C-101B-9397-08002B2CF9AE}" pid="6" name="_dlc_policyId">
    <vt:lpwstr>0x0101000BC94875665D404BB1351B53C41FD2C0|151133126</vt:lpwstr>
  </property>
  <property fmtid="{D5CDD505-2E9C-101B-9397-08002B2CF9AE}" pid="7" name="ItemRetentionFormula">
    <vt:lpwstr/>
  </property>
  <property fmtid="{D5CDD505-2E9C-101B-9397-08002B2CF9AE}" pid="8" name="eDocs_SecurityClassification">
    <vt:lpwstr>4;#Unclassified|633aad03-fabf-442b-85c7-8209b03da9f6</vt:lpwstr>
  </property>
  <property fmtid="{D5CDD505-2E9C-101B-9397-08002B2CF9AE}" pid="9" name="eDocs_DocumentTopics">
    <vt:lpwstr/>
  </property>
  <property fmtid="{D5CDD505-2E9C-101B-9397-08002B2CF9AE}" pid="10" name="eDocs_SecurityClassificationTaxHTField0">
    <vt:lpwstr>Unclassified|633aad03-fabf-442b-85c7-8209b03da9f6</vt:lpwstr>
  </property>
  <property fmtid="{D5CDD505-2E9C-101B-9397-08002B2CF9AE}" pid="11" name="eDocs_SeriesSubSeriesTaxHTField0">
    <vt:lpwstr>004|5f7a0e96-4d16-4bc7-8d2d-9cad01784662</vt:lpwstr>
  </property>
  <property fmtid="{D5CDD505-2E9C-101B-9397-08002B2CF9AE}" pid="12" name="eDocs_FileStatus">
    <vt:lpwstr>Live</vt:lpwstr>
  </property>
  <property fmtid="{D5CDD505-2E9C-101B-9397-08002B2CF9AE}" pid="13" name="eDocs_FileTopicsTaxHTField0">
    <vt:lpwstr>Government Initiative|5903df0a-893a-48f3-ab5e-7e25322652bf;Policy|6aa302f1-4262-4dc9-ac90-4b2eebdcac5d;Administration|69de52f0-4635-46fd-ab40-afe2eb3f944d</vt:lpwstr>
  </property>
  <property fmtid="{D5CDD505-2E9C-101B-9397-08002B2CF9AE}" pid="14" name="eDocs_YearTaxHTField0">
    <vt:lpwstr>2019|b47dcb1a-ffe9-4290-92a8-716699eb43a5</vt:lpwstr>
  </property>
  <property fmtid="{D5CDD505-2E9C-101B-9397-08002B2CF9AE}" pid="15" name="eDocs_DocumentTopicsTaxHTField0">
    <vt:lpwstr/>
  </property>
  <property fmtid="{D5CDD505-2E9C-101B-9397-08002B2CF9AE}" pid="16" name="TaxCatchAll">
    <vt:lpwstr>9;#Government Initiative|5903df0a-893a-48f3-ab5e-7e25322652bf;#8;#Policy|6aa302f1-4262-4dc9-ac90-4b2eebdcac5d;#10;#Administration|69de52f0-4635-46fd-ab40-afe2eb3f944d;#2;#004|5f7a0e96-4d16-4bc7-8d2d-9cad01784662;#1;#2019|b47dcb1a-ffe9-4290-92a8-716699eb43</vt:lpwstr>
  </property>
  <property fmtid="{D5CDD505-2E9C-101B-9397-08002B2CF9AE}" pid="17" name="eDocs_FileName">
    <vt:lpwstr>RCDCS004-012-2019</vt:lpwstr>
  </property>
  <property fmtid="{D5CDD505-2E9C-101B-9397-08002B2CF9AE}" pid="18" name="_docset_NoMedatataSyncRequired">
    <vt:lpwstr>False</vt:lpwstr>
  </property>
  <property fmtid="{D5CDD505-2E9C-101B-9397-08002B2CF9AE}" pid="19" name="_dlc_LastRun">
    <vt:lpwstr>05/21/2022 23:02:27</vt:lpwstr>
  </property>
  <property fmtid="{D5CDD505-2E9C-101B-9397-08002B2CF9AE}" pid="20" name="_dlc_ItemStageId">
    <vt:lpwstr>1</vt:lpwstr>
  </property>
  <property fmtid="{D5CDD505-2E9C-101B-9397-08002B2CF9AE}" pid="21" name="eDocs_SecurityLevel">
    <vt:lpwstr>Unclassified</vt:lpwstr>
  </property>
  <property fmtid="{D5CDD505-2E9C-101B-9397-08002B2CF9AE}" pid="22" name="eDocs_Series">
    <vt:lpwstr>1;#004|5f7a0e96-4d16-4bc7-8d2d-9cad01784662</vt:lpwstr>
  </property>
  <property fmtid="{D5CDD505-2E9C-101B-9397-08002B2CF9AE}" pid="23" name="ge25f6a3ef6f42d4865685f2a74bf8c7">
    <vt:lpwstr/>
  </property>
  <property fmtid="{D5CDD505-2E9C-101B-9397-08002B2CF9AE}" pid="24" name="eDocs_RetentionPeriodTerm">
    <vt:lpwstr/>
  </property>
</Properties>
</file>