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0BC4F" w14:textId="0A312BDB" w:rsidR="00A754D1" w:rsidRPr="00F673AA" w:rsidRDefault="00A754D1" w:rsidP="00A754D1">
      <w:pPr>
        <w:rPr>
          <w:rFonts w:ascii="Calibri" w:hAnsi="Calibri" w:cs="Open Sans"/>
          <w:b/>
          <w:bCs/>
          <w:i/>
          <w:iCs/>
          <w:sz w:val="24"/>
          <w:szCs w:val="24"/>
        </w:rPr>
      </w:pPr>
      <w:r w:rsidRPr="00F673AA">
        <w:rPr>
          <w:rFonts w:ascii="Calibri" w:hAnsi="Calibri" w:cs="Open Sans"/>
          <w:b/>
          <w:bCs/>
          <w:i/>
          <w:iCs/>
          <w:sz w:val="24"/>
          <w:szCs w:val="24"/>
        </w:rPr>
        <w:t>PQ</w:t>
      </w:r>
      <w:r w:rsidR="000D06C7" w:rsidRPr="00F673AA">
        <w:rPr>
          <w:rFonts w:ascii="Calibri" w:hAnsi="Calibri" w:cs="Open Sans"/>
          <w:b/>
          <w:bCs/>
          <w:i/>
          <w:iCs/>
          <w:sz w:val="24"/>
          <w:szCs w:val="24"/>
        </w:rPr>
        <w:t xml:space="preserve"> </w:t>
      </w:r>
      <w:r w:rsidR="000D06C7" w:rsidRPr="00F673AA">
        <w:rPr>
          <w:rFonts w:ascii="Calibri" w:hAnsi="Calibri" w:cs="Segoe UI Light"/>
          <w:b/>
          <w:bCs/>
          <w:i/>
          <w:iCs/>
          <w:color w:val="262626"/>
          <w:sz w:val="24"/>
          <w:szCs w:val="24"/>
        </w:rPr>
        <w:t>Ref</w:t>
      </w:r>
      <w:r w:rsidR="000D06C7" w:rsidRPr="00F673AA">
        <w:rPr>
          <w:rFonts w:ascii="Calibri" w:hAnsi="Calibri" w:cs="Segoe UI Light"/>
          <w:b/>
          <w:bCs/>
          <w:color w:val="262626"/>
          <w:sz w:val="24"/>
          <w:szCs w:val="24"/>
        </w:rPr>
        <w:t>: 2</w:t>
      </w:r>
      <w:r w:rsidR="0045441B" w:rsidRPr="00F673AA">
        <w:rPr>
          <w:rFonts w:ascii="Calibri" w:hAnsi="Calibri" w:cs="Segoe UI Light"/>
          <w:b/>
          <w:bCs/>
          <w:color w:val="262626"/>
          <w:sz w:val="24"/>
          <w:szCs w:val="24"/>
        </w:rPr>
        <w:t>8670</w:t>
      </w:r>
      <w:r w:rsidR="000D06C7" w:rsidRPr="00F673AA">
        <w:rPr>
          <w:rFonts w:ascii="Calibri" w:hAnsi="Calibri" w:cs="Segoe UI Light"/>
          <w:b/>
          <w:bCs/>
          <w:color w:val="262626"/>
          <w:sz w:val="24"/>
          <w:szCs w:val="24"/>
        </w:rPr>
        <w:t xml:space="preserve">/24 </w:t>
      </w:r>
      <w:r w:rsidR="0045441B" w:rsidRPr="00F673AA">
        <w:rPr>
          <w:rFonts w:ascii="Calibri" w:hAnsi="Calibri" w:cs="Segoe UI Light"/>
          <w:b/>
          <w:bCs/>
          <w:color w:val="262626"/>
          <w:sz w:val="24"/>
          <w:szCs w:val="24"/>
        </w:rPr>
        <w:t>–</w:t>
      </w:r>
      <w:r w:rsidR="000D06C7" w:rsidRPr="00F673AA">
        <w:rPr>
          <w:rFonts w:ascii="Calibri" w:hAnsi="Calibri" w:cs="Segoe UI Light"/>
          <w:b/>
          <w:bCs/>
          <w:color w:val="262626"/>
          <w:sz w:val="24"/>
          <w:szCs w:val="24"/>
        </w:rPr>
        <w:t xml:space="preserve"> </w:t>
      </w:r>
      <w:r w:rsidR="000D06C7" w:rsidRPr="00F673AA">
        <w:rPr>
          <w:rFonts w:ascii="Calibri" w:hAnsi="Calibri" w:cs="Open Sans"/>
          <w:b/>
          <w:bCs/>
          <w:color w:val="001A26"/>
          <w:sz w:val="24"/>
          <w:szCs w:val="24"/>
        </w:rPr>
        <w:t>Paul</w:t>
      </w:r>
      <w:r w:rsidR="0045441B" w:rsidRPr="00F673AA">
        <w:rPr>
          <w:rFonts w:ascii="Calibri" w:hAnsi="Calibri" w:cs="Open Sans"/>
          <w:b/>
          <w:bCs/>
          <w:color w:val="001A26"/>
          <w:sz w:val="24"/>
          <w:szCs w:val="24"/>
        </w:rPr>
        <w:t>ine Tully</w:t>
      </w:r>
    </w:p>
    <w:p w14:paraId="27E8EC7C" w14:textId="43691053" w:rsidR="00E84DF2" w:rsidRPr="00F673AA" w:rsidRDefault="00E84DF2" w:rsidP="00E84DF2">
      <w:pPr>
        <w:rPr>
          <w:rFonts w:ascii="Calibri" w:hAnsi="Calibri" w:cs="Calibri"/>
          <w:b/>
          <w:bCs/>
          <w:i/>
          <w:iCs/>
          <w:color w:val="262626"/>
          <w:sz w:val="24"/>
          <w:szCs w:val="24"/>
          <w:lang w:eastAsia="en-IE"/>
        </w:rPr>
      </w:pPr>
      <w:r w:rsidRPr="00F673AA">
        <w:rPr>
          <w:rFonts w:ascii="Calibri" w:hAnsi="Calibri" w:cs="Calibri"/>
          <w:b/>
          <w:bCs/>
          <w:i/>
          <w:iCs/>
          <w:color w:val="262626"/>
          <w:sz w:val="24"/>
          <w:szCs w:val="24"/>
          <w:lang w:eastAsia="en-IE"/>
        </w:rPr>
        <w:t>Question</w:t>
      </w:r>
    </w:p>
    <w:p w14:paraId="2DC51EAD" w14:textId="77777777" w:rsidR="00E84DF2" w:rsidRDefault="00E84DF2" w:rsidP="00E84DF2">
      <w:pPr>
        <w:rPr>
          <w:rFonts w:ascii="Calibri" w:hAnsi="Calibri" w:cs="Open Sans"/>
          <w:sz w:val="24"/>
          <w:szCs w:val="24"/>
        </w:rPr>
      </w:pPr>
      <w:r>
        <w:rPr>
          <w:rFonts w:ascii="Calibri" w:hAnsi="Calibri" w:cs="Open Sans"/>
          <w:sz w:val="24"/>
          <w:szCs w:val="24"/>
        </w:rPr>
        <w:t>To ask the Minister for Agriculture; Food and the Marine if all State agencies under the remit of his Department received more than 66% of their total current funding from the Exchequer for the year 2023; and if not, the agencies that received less than the 66% of their total current funding from the Exchequer, in tabular form.</w:t>
      </w:r>
    </w:p>
    <w:p w14:paraId="23D1065A" w14:textId="567BB35A" w:rsidR="00BF51FD" w:rsidRDefault="00F673AA" w:rsidP="00BA1E60">
      <w:pPr>
        <w:rPr>
          <w:rFonts w:ascii="Segoe UI" w:eastAsia="Times New Roman" w:hAnsi="Segoe UI" w:cs="Segoe UI"/>
          <w:color w:val="444444"/>
          <w:sz w:val="20"/>
          <w:szCs w:val="20"/>
          <w:lang w:eastAsia="en-IE"/>
        </w:rPr>
      </w:pPr>
      <w:r w:rsidRPr="00F673AA">
        <w:rPr>
          <w:rFonts w:ascii="Calibri" w:hAnsi="Calibri" w:cs="Open Sans"/>
          <w:b/>
          <w:bCs/>
          <w:sz w:val="24"/>
          <w:szCs w:val="24"/>
        </w:rPr>
        <w:t>Year 2023</w:t>
      </w:r>
    </w:p>
    <w:tbl>
      <w:tblPr>
        <w:tblStyle w:val="TableGrid"/>
        <w:tblW w:w="11624" w:type="dxa"/>
        <w:tblInd w:w="-1281" w:type="dxa"/>
        <w:tblLook w:val="04A0" w:firstRow="1" w:lastRow="0" w:firstColumn="1" w:lastColumn="0" w:noHBand="0" w:noVBand="1"/>
      </w:tblPr>
      <w:tblGrid>
        <w:gridCol w:w="3227"/>
        <w:gridCol w:w="1593"/>
        <w:gridCol w:w="1796"/>
        <w:gridCol w:w="1084"/>
        <w:gridCol w:w="3924"/>
      </w:tblGrid>
      <w:tr w:rsidR="00E84DF2" w14:paraId="55922105" w14:textId="11934161" w:rsidTr="00AA6F2E">
        <w:tc>
          <w:tcPr>
            <w:tcW w:w="3227" w:type="dxa"/>
          </w:tcPr>
          <w:p w14:paraId="3845F967" w14:textId="0C7F92FC" w:rsidR="00E84DF2" w:rsidRPr="00697BB5" w:rsidRDefault="00E84DF2" w:rsidP="00E84DF2">
            <w:pPr>
              <w:rPr>
                <w:rFonts w:ascii="Calibri" w:eastAsia="Times New Roman" w:hAnsi="Calibri" w:cs="Segoe UI"/>
                <w:b/>
                <w:bCs/>
                <w:sz w:val="20"/>
                <w:szCs w:val="20"/>
                <w:lang w:eastAsia="en-IE"/>
              </w:rPr>
            </w:pPr>
            <w:r w:rsidRPr="00697BB5">
              <w:rPr>
                <w:rFonts w:ascii="Calibri" w:eastAsia="Times New Roman" w:hAnsi="Calibri" w:cs="Segoe UI"/>
                <w:b/>
                <w:bCs/>
                <w:sz w:val="20"/>
                <w:szCs w:val="20"/>
                <w:lang w:eastAsia="en-IE"/>
              </w:rPr>
              <w:t>Name of Agency</w:t>
            </w:r>
          </w:p>
          <w:p w14:paraId="11DCE4DA" w14:textId="02F2D0EE" w:rsidR="00E84DF2" w:rsidRPr="00697BB5" w:rsidRDefault="00E84DF2" w:rsidP="00E84DF2">
            <w:pPr>
              <w:rPr>
                <w:rFonts w:ascii="Calibri" w:eastAsia="Times New Roman" w:hAnsi="Calibri" w:cs="Segoe UI"/>
                <w:b/>
                <w:bCs/>
                <w:color w:val="444444"/>
                <w:sz w:val="20"/>
                <w:szCs w:val="20"/>
                <w:lang w:eastAsia="en-IE"/>
              </w:rPr>
            </w:pPr>
          </w:p>
        </w:tc>
        <w:tc>
          <w:tcPr>
            <w:tcW w:w="1593" w:type="dxa"/>
          </w:tcPr>
          <w:p w14:paraId="62443B83" w14:textId="02E1B8C9" w:rsidR="00E84DF2" w:rsidRPr="00697BB5" w:rsidRDefault="00E84DF2" w:rsidP="00E84DF2">
            <w:pPr>
              <w:rPr>
                <w:rFonts w:ascii="Calibri" w:eastAsia="Times New Roman" w:hAnsi="Calibri" w:cs="Segoe UI"/>
                <w:b/>
                <w:bCs/>
                <w:sz w:val="20"/>
                <w:szCs w:val="20"/>
                <w:lang w:eastAsia="en-IE"/>
              </w:rPr>
            </w:pPr>
            <w:r w:rsidRPr="00697BB5">
              <w:rPr>
                <w:rFonts w:ascii="Calibri" w:eastAsia="Times New Roman" w:hAnsi="Calibri" w:cs="Segoe UI"/>
                <w:b/>
                <w:bCs/>
                <w:sz w:val="20"/>
                <w:szCs w:val="20"/>
                <w:lang w:eastAsia="en-IE"/>
              </w:rPr>
              <w:t>Current Funding</w:t>
            </w:r>
          </w:p>
        </w:tc>
        <w:tc>
          <w:tcPr>
            <w:tcW w:w="1796" w:type="dxa"/>
          </w:tcPr>
          <w:p w14:paraId="61D4C2C2" w14:textId="3748D07F" w:rsidR="00E84DF2" w:rsidRPr="00697BB5" w:rsidRDefault="00E84DF2" w:rsidP="00E84DF2">
            <w:pPr>
              <w:rPr>
                <w:rFonts w:ascii="Calibri" w:hAnsi="Calibri" w:cs="Open Sans"/>
                <w:b/>
                <w:bCs/>
                <w:sz w:val="20"/>
                <w:szCs w:val="20"/>
              </w:rPr>
            </w:pPr>
            <w:r w:rsidRPr="00697BB5">
              <w:rPr>
                <w:rFonts w:ascii="Calibri" w:hAnsi="Calibri"/>
                <w:b/>
                <w:bCs/>
                <w:sz w:val="20"/>
                <w:szCs w:val="20"/>
              </w:rPr>
              <w:t xml:space="preserve">Funding From </w:t>
            </w:r>
            <w:r w:rsidR="005F667D" w:rsidRPr="005F667D">
              <w:rPr>
                <w:rFonts w:ascii="Calibri" w:hAnsi="Calibri"/>
                <w:b/>
                <w:bCs/>
                <w:sz w:val="20"/>
                <w:szCs w:val="20"/>
              </w:rPr>
              <w:t>Exchequer</w:t>
            </w:r>
          </w:p>
        </w:tc>
        <w:tc>
          <w:tcPr>
            <w:tcW w:w="1084" w:type="dxa"/>
          </w:tcPr>
          <w:p w14:paraId="4FA68601" w14:textId="52CE0A31" w:rsidR="00E84DF2" w:rsidRPr="00697BB5" w:rsidRDefault="00E84DF2" w:rsidP="00E84DF2">
            <w:pPr>
              <w:rPr>
                <w:rFonts w:ascii="Calibri" w:hAnsi="Calibri" w:cs="Open Sans"/>
                <w:b/>
                <w:bCs/>
                <w:sz w:val="20"/>
                <w:szCs w:val="20"/>
              </w:rPr>
            </w:pPr>
            <w:r w:rsidRPr="00697BB5">
              <w:rPr>
                <w:rFonts w:ascii="Calibri" w:hAnsi="Calibri"/>
                <w:b/>
                <w:bCs/>
                <w:sz w:val="20"/>
                <w:szCs w:val="20"/>
              </w:rPr>
              <w:t xml:space="preserve">% Funding from </w:t>
            </w:r>
            <w:r w:rsidR="005F667D" w:rsidRPr="005F667D">
              <w:rPr>
                <w:rFonts w:ascii="Calibri" w:hAnsi="Calibri"/>
                <w:b/>
                <w:bCs/>
                <w:sz w:val="20"/>
                <w:szCs w:val="20"/>
              </w:rPr>
              <w:t>Exchequer</w:t>
            </w:r>
          </w:p>
        </w:tc>
        <w:tc>
          <w:tcPr>
            <w:tcW w:w="3924" w:type="dxa"/>
          </w:tcPr>
          <w:p w14:paraId="593FF224" w14:textId="667F55F7" w:rsidR="00E84DF2" w:rsidRPr="00697BB5" w:rsidRDefault="00E84DF2" w:rsidP="00E84DF2">
            <w:pPr>
              <w:rPr>
                <w:rFonts w:ascii="Calibri" w:hAnsi="Calibri"/>
                <w:b/>
                <w:bCs/>
                <w:sz w:val="20"/>
                <w:szCs w:val="20"/>
              </w:rPr>
            </w:pPr>
            <w:r w:rsidRPr="00697BB5">
              <w:rPr>
                <w:rFonts w:ascii="Calibri" w:hAnsi="Calibri"/>
                <w:b/>
                <w:bCs/>
                <w:sz w:val="20"/>
                <w:szCs w:val="20"/>
              </w:rPr>
              <w:t>Comment</w:t>
            </w:r>
          </w:p>
        </w:tc>
      </w:tr>
      <w:tr w:rsidR="00AC743D" w:rsidRPr="00D33446" w14:paraId="4FE09D78" w14:textId="2F869647" w:rsidTr="00AA6F2E">
        <w:tc>
          <w:tcPr>
            <w:tcW w:w="3227" w:type="dxa"/>
          </w:tcPr>
          <w:p w14:paraId="03C6E882" w14:textId="77777777"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Aquaculture Licensing Appeals Board</w:t>
            </w:r>
          </w:p>
          <w:p w14:paraId="620990F6" w14:textId="00D26D31" w:rsidR="00AC743D" w:rsidRPr="00697BB5" w:rsidRDefault="00AC743D" w:rsidP="00AC743D">
            <w:pPr>
              <w:rPr>
                <w:rFonts w:ascii="Calibri" w:eastAsia="Times New Roman" w:hAnsi="Calibri" w:cs="Segoe UI"/>
                <w:sz w:val="20"/>
                <w:szCs w:val="20"/>
                <w:lang w:eastAsia="en-IE"/>
              </w:rPr>
            </w:pPr>
          </w:p>
        </w:tc>
        <w:tc>
          <w:tcPr>
            <w:tcW w:w="1593" w:type="dxa"/>
          </w:tcPr>
          <w:p w14:paraId="240B0689" w14:textId="4CA2E523"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€828,869</w:t>
            </w:r>
          </w:p>
        </w:tc>
        <w:tc>
          <w:tcPr>
            <w:tcW w:w="1796" w:type="dxa"/>
          </w:tcPr>
          <w:p w14:paraId="53F55040" w14:textId="18CD618E"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€778,869</w:t>
            </w:r>
          </w:p>
        </w:tc>
        <w:tc>
          <w:tcPr>
            <w:tcW w:w="1084" w:type="dxa"/>
          </w:tcPr>
          <w:p w14:paraId="4ECE68B7" w14:textId="1C049815"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94%</w:t>
            </w:r>
          </w:p>
        </w:tc>
        <w:tc>
          <w:tcPr>
            <w:tcW w:w="3924" w:type="dxa"/>
          </w:tcPr>
          <w:p w14:paraId="593FF08B" w14:textId="77777777" w:rsidR="00AC743D" w:rsidRPr="00697BB5" w:rsidRDefault="00AC743D" w:rsidP="00AC743D">
            <w:pPr>
              <w:rPr>
                <w:rFonts w:ascii="Calibri" w:eastAsia="Times New Roman" w:hAnsi="Calibri" w:cs="Segoe UI"/>
                <w:sz w:val="20"/>
                <w:szCs w:val="20"/>
                <w:lang w:eastAsia="en-IE"/>
              </w:rPr>
            </w:pPr>
          </w:p>
        </w:tc>
      </w:tr>
      <w:tr w:rsidR="00AC743D" w:rsidRPr="00D33446" w14:paraId="4D95CAC6" w14:textId="276B57C2" w:rsidTr="00AA6F2E">
        <w:tc>
          <w:tcPr>
            <w:tcW w:w="3227" w:type="dxa"/>
          </w:tcPr>
          <w:p w14:paraId="6A866EDD" w14:textId="0BD62146"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Bord Iascaigh Mhara </w:t>
            </w:r>
          </w:p>
          <w:p w14:paraId="7705F5CF" w14:textId="3FD8F92F" w:rsidR="00AC743D" w:rsidRPr="00697BB5" w:rsidRDefault="00AC743D" w:rsidP="00AC743D">
            <w:pPr>
              <w:rPr>
                <w:rFonts w:ascii="Calibri" w:eastAsia="Times New Roman" w:hAnsi="Calibri" w:cs="Segoe UI"/>
                <w:sz w:val="20"/>
                <w:szCs w:val="20"/>
                <w:lang w:eastAsia="en-IE"/>
              </w:rPr>
            </w:pPr>
          </w:p>
        </w:tc>
        <w:tc>
          <w:tcPr>
            <w:tcW w:w="1593" w:type="dxa"/>
          </w:tcPr>
          <w:p w14:paraId="3AB3F1A6" w14:textId="5E93A573"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€125,240,259</w:t>
            </w:r>
          </w:p>
        </w:tc>
        <w:tc>
          <w:tcPr>
            <w:tcW w:w="1796" w:type="dxa"/>
          </w:tcPr>
          <w:p w14:paraId="37669CC2" w14:textId="495FA034"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€123,686,178</w:t>
            </w:r>
          </w:p>
        </w:tc>
        <w:tc>
          <w:tcPr>
            <w:tcW w:w="1084" w:type="dxa"/>
          </w:tcPr>
          <w:p w14:paraId="2788244B" w14:textId="43348DFD"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99%</w:t>
            </w:r>
          </w:p>
        </w:tc>
        <w:tc>
          <w:tcPr>
            <w:tcW w:w="3924" w:type="dxa"/>
          </w:tcPr>
          <w:p w14:paraId="5C126958" w14:textId="77777777" w:rsidR="00AC743D" w:rsidRPr="00697BB5" w:rsidRDefault="00AC743D" w:rsidP="00AC743D">
            <w:pPr>
              <w:rPr>
                <w:rFonts w:ascii="Calibri" w:eastAsia="Times New Roman" w:hAnsi="Calibri" w:cs="Segoe UI"/>
                <w:sz w:val="20"/>
                <w:szCs w:val="20"/>
                <w:lang w:eastAsia="en-IE"/>
              </w:rPr>
            </w:pPr>
          </w:p>
        </w:tc>
      </w:tr>
      <w:tr w:rsidR="00AC743D" w:rsidRPr="00D33446" w14:paraId="7776F367" w14:textId="48C6D713" w:rsidTr="00AA6F2E">
        <w:tc>
          <w:tcPr>
            <w:tcW w:w="3227" w:type="dxa"/>
          </w:tcPr>
          <w:p w14:paraId="4636C6AE" w14:textId="51F049A5"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Marine Institute  </w:t>
            </w:r>
          </w:p>
          <w:p w14:paraId="0690DF3B" w14:textId="7E3B6EA0" w:rsidR="00AC743D" w:rsidRPr="00697BB5" w:rsidRDefault="00AC743D" w:rsidP="00AC743D">
            <w:pPr>
              <w:rPr>
                <w:rFonts w:ascii="Calibri" w:eastAsia="Times New Roman" w:hAnsi="Calibri" w:cs="Segoe UI"/>
                <w:sz w:val="20"/>
                <w:szCs w:val="20"/>
                <w:lang w:eastAsia="en-IE"/>
              </w:rPr>
            </w:pPr>
            <w:r w:rsidRPr="00697BB5">
              <w:rPr>
                <w:rFonts w:ascii="Calibri" w:eastAsia="Calibri" w:hAnsi="Calibri" w:cs="Calibri"/>
                <w:sz w:val="20"/>
                <w:szCs w:val="20"/>
                <w:lang w:eastAsia="en-IE"/>
              </w:rPr>
              <w:t> </w:t>
            </w:r>
          </w:p>
        </w:tc>
        <w:tc>
          <w:tcPr>
            <w:tcW w:w="1593" w:type="dxa"/>
          </w:tcPr>
          <w:p w14:paraId="7ED090FA" w14:textId="71297AFB"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€27,121,000</w:t>
            </w:r>
          </w:p>
        </w:tc>
        <w:tc>
          <w:tcPr>
            <w:tcW w:w="1796" w:type="dxa"/>
          </w:tcPr>
          <w:p w14:paraId="1AB0FEDE" w14:textId="47BE0436"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€27,105,003</w:t>
            </w:r>
          </w:p>
        </w:tc>
        <w:tc>
          <w:tcPr>
            <w:tcW w:w="1084" w:type="dxa"/>
          </w:tcPr>
          <w:p w14:paraId="4B287C73" w14:textId="1CD88AD1"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99%</w:t>
            </w:r>
          </w:p>
        </w:tc>
        <w:tc>
          <w:tcPr>
            <w:tcW w:w="3924" w:type="dxa"/>
          </w:tcPr>
          <w:p w14:paraId="0F35DB3B" w14:textId="77777777" w:rsidR="00AC743D" w:rsidRPr="00697BB5" w:rsidRDefault="00AC743D" w:rsidP="00AC743D">
            <w:pPr>
              <w:rPr>
                <w:rFonts w:ascii="Calibri" w:eastAsia="Times New Roman" w:hAnsi="Calibri" w:cs="Segoe UI"/>
                <w:sz w:val="20"/>
                <w:szCs w:val="20"/>
                <w:lang w:eastAsia="en-IE"/>
              </w:rPr>
            </w:pPr>
          </w:p>
        </w:tc>
      </w:tr>
      <w:tr w:rsidR="00AC743D" w:rsidRPr="00D33446" w14:paraId="010BA57D" w14:textId="783914CE" w:rsidTr="00AA6F2E">
        <w:trPr>
          <w:trHeight w:val="385"/>
        </w:trPr>
        <w:tc>
          <w:tcPr>
            <w:tcW w:w="3227" w:type="dxa"/>
            <w:vAlign w:val="bottom"/>
          </w:tcPr>
          <w:p w14:paraId="0A25F82F" w14:textId="3CD0AF7E"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Sea Fisheries Protection Authority </w:t>
            </w:r>
          </w:p>
          <w:p w14:paraId="2964C156" w14:textId="22FCF911" w:rsidR="00AC743D" w:rsidRPr="00697BB5" w:rsidRDefault="00AC743D" w:rsidP="00AC743D">
            <w:pPr>
              <w:rPr>
                <w:rFonts w:ascii="Calibri" w:eastAsia="Times New Roman" w:hAnsi="Calibri" w:cs="Segoe UI"/>
                <w:sz w:val="20"/>
                <w:szCs w:val="20"/>
                <w:lang w:eastAsia="en-IE"/>
              </w:rPr>
            </w:pPr>
          </w:p>
        </w:tc>
        <w:tc>
          <w:tcPr>
            <w:tcW w:w="1593" w:type="dxa"/>
          </w:tcPr>
          <w:p w14:paraId="1959D118" w14:textId="53B7406C"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€27,381,000</w:t>
            </w:r>
          </w:p>
        </w:tc>
        <w:tc>
          <w:tcPr>
            <w:tcW w:w="1796" w:type="dxa"/>
          </w:tcPr>
          <w:p w14:paraId="709AF0AD" w14:textId="0E39852B"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€21,469,562</w:t>
            </w:r>
          </w:p>
        </w:tc>
        <w:tc>
          <w:tcPr>
            <w:tcW w:w="1084" w:type="dxa"/>
          </w:tcPr>
          <w:p w14:paraId="1EE5F1EB" w14:textId="56881D40" w:rsidR="00AC743D" w:rsidRPr="006A233A" w:rsidRDefault="00AC743D"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78%</w:t>
            </w:r>
          </w:p>
        </w:tc>
        <w:tc>
          <w:tcPr>
            <w:tcW w:w="3924" w:type="dxa"/>
          </w:tcPr>
          <w:p w14:paraId="40E0273C" w14:textId="77777777" w:rsidR="00AC743D" w:rsidRPr="00697BB5" w:rsidRDefault="00AC743D" w:rsidP="00AC743D">
            <w:pPr>
              <w:rPr>
                <w:rFonts w:ascii="Calibri" w:eastAsia="Times New Roman" w:hAnsi="Calibri" w:cs="Segoe UI"/>
                <w:sz w:val="20"/>
                <w:szCs w:val="20"/>
                <w:lang w:eastAsia="en-IE"/>
              </w:rPr>
            </w:pPr>
          </w:p>
        </w:tc>
      </w:tr>
      <w:tr w:rsidR="00AC743D" w:rsidRPr="00D33446" w14:paraId="7FB11DF9" w14:textId="3623B031" w:rsidTr="00AA6F2E">
        <w:trPr>
          <w:trHeight w:val="451"/>
        </w:trPr>
        <w:tc>
          <w:tcPr>
            <w:tcW w:w="3227" w:type="dxa"/>
          </w:tcPr>
          <w:p w14:paraId="066C4094" w14:textId="77777777" w:rsidR="00AC743D" w:rsidRPr="00BE17BB" w:rsidRDefault="00AC743D" w:rsidP="00AC743D">
            <w:pPr>
              <w:rPr>
                <w:rFonts w:ascii="Calibri" w:eastAsia="Calibri" w:hAnsi="Calibri" w:cs="Calibri"/>
                <w:sz w:val="20"/>
                <w:szCs w:val="20"/>
                <w:lang w:eastAsia="en-IE"/>
              </w:rPr>
            </w:pPr>
            <w:r w:rsidRPr="00BE17BB">
              <w:rPr>
                <w:rFonts w:ascii="Calibri" w:eastAsia="Calibri" w:hAnsi="Calibri" w:cs="Calibri"/>
                <w:sz w:val="20"/>
                <w:szCs w:val="20"/>
                <w:lang w:eastAsia="en-IE"/>
              </w:rPr>
              <w:t xml:space="preserve">            </w:t>
            </w:r>
          </w:p>
          <w:p w14:paraId="36D84DAE" w14:textId="3F8380B0" w:rsidR="00AC743D" w:rsidRPr="00BE17BB" w:rsidRDefault="00AC743D" w:rsidP="00AC743D">
            <w:pPr>
              <w:rPr>
                <w:rFonts w:ascii="Calibri" w:eastAsia="Calibri" w:hAnsi="Calibri" w:cs="Calibri"/>
                <w:sz w:val="20"/>
                <w:szCs w:val="20"/>
                <w:lang w:eastAsia="en-IE"/>
              </w:rPr>
            </w:pPr>
            <w:r w:rsidRPr="00BE17BB">
              <w:rPr>
                <w:rFonts w:ascii="Calibri" w:eastAsia="Calibri" w:hAnsi="Calibri" w:cs="Calibri"/>
                <w:sz w:val="20"/>
                <w:szCs w:val="20"/>
                <w:lang w:eastAsia="en-IE"/>
              </w:rPr>
              <w:t>Greyhound Racing Ireland (Rásaíocht Con Éireann)</w:t>
            </w:r>
          </w:p>
        </w:tc>
        <w:tc>
          <w:tcPr>
            <w:tcW w:w="1593" w:type="dxa"/>
            <w:vAlign w:val="bottom"/>
          </w:tcPr>
          <w:p w14:paraId="2328D891" w14:textId="766C563D" w:rsidR="00AC743D" w:rsidRPr="00BE17BB" w:rsidRDefault="00AC743D" w:rsidP="00AC743D">
            <w:pPr>
              <w:rPr>
                <w:rFonts w:ascii="Calibri" w:eastAsia="Calibri" w:hAnsi="Calibri" w:cs="Calibri"/>
                <w:sz w:val="20"/>
                <w:szCs w:val="20"/>
                <w:lang w:eastAsia="en-IE"/>
              </w:rPr>
            </w:pPr>
            <w:r w:rsidRPr="00BE17BB">
              <w:rPr>
                <w:rFonts w:ascii="Calibri" w:eastAsia="Calibri" w:hAnsi="Calibri" w:cs="Calibri"/>
                <w:sz w:val="20"/>
                <w:szCs w:val="20"/>
                <w:lang w:eastAsia="en-IE"/>
              </w:rPr>
              <w:t>2023 Audited Accounts are not yet available</w:t>
            </w:r>
          </w:p>
        </w:tc>
        <w:tc>
          <w:tcPr>
            <w:tcW w:w="1796" w:type="dxa"/>
          </w:tcPr>
          <w:p w14:paraId="100AAD05" w14:textId="16A8DC10" w:rsidR="00AC743D" w:rsidRPr="00BE17BB" w:rsidRDefault="00AC743D" w:rsidP="00AC743D">
            <w:pPr>
              <w:rPr>
                <w:rFonts w:ascii="Calibri" w:eastAsia="Calibri" w:hAnsi="Calibri" w:cs="Calibri"/>
                <w:sz w:val="20"/>
                <w:szCs w:val="20"/>
                <w:lang w:eastAsia="en-IE"/>
              </w:rPr>
            </w:pPr>
            <w:r w:rsidRPr="00BE17BB">
              <w:rPr>
                <w:rFonts w:ascii="Calibri" w:eastAsia="Calibri" w:hAnsi="Calibri" w:cs="Calibri"/>
                <w:sz w:val="20"/>
                <w:szCs w:val="20"/>
                <w:lang w:eastAsia="en-IE"/>
              </w:rPr>
              <w:t>€18.2m total funding from the Horse and Greyhound Racing Fund. Current €17.8m and Capital €0.4m</w:t>
            </w:r>
          </w:p>
        </w:tc>
        <w:tc>
          <w:tcPr>
            <w:tcW w:w="1084" w:type="dxa"/>
          </w:tcPr>
          <w:p w14:paraId="483C300A" w14:textId="300FA3BC" w:rsidR="00AC743D" w:rsidRPr="00BE17BB" w:rsidRDefault="00AC743D" w:rsidP="00AC743D">
            <w:pPr>
              <w:rPr>
                <w:rFonts w:ascii="Calibri" w:eastAsia="Calibri" w:hAnsi="Calibri" w:cs="Calibri"/>
                <w:sz w:val="20"/>
                <w:szCs w:val="20"/>
                <w:lang w:eastAsia="en-IE"/>
              </w:rPr>
            </w:pPr>
            <w:r w:rsidRPr="00BE17BB">
              <w:rPr>
                <w:rFonts w:ascii="Calibri" w:eastAsia="Calibri" w:hAnsi="Calibri" w:cs="Calibri"/>
                <w:sz w:val="20"/>
                <w:szCs w:val="20"/>
                <w:lang w:eastAsia="en-IE"/>
              </w:rPr>
              <w:t>Not available</w:t>
            </w:r>
          </w:p>
        </w:tc>
        <w:tc>
          <w:tcPr>
            <w:tcW w:w="3924" w:type="dxa"/>
          </w:tcPr>
          <w:p w14:paraId="122B1C79" w14:textId="3300A01C" w:rsidR="00AC743D" w:rsidRPr="00BE17BB" w:rsidRDefault="00AC743D" w:rsidP="00AC743D">
            <w:pPr>
              <w:rPr>
                <w:rFonts w:ascii="Calibri" w:eastAsia="Calibri" w:hAnsi="Calibri" w:cs="Calibri"/>
                <w:sz w:val="20"/>
                <w:szCs w:val="20"/>
                <w:lang w:eastAsia="en-IE"/>
              </w:rPr>
            </w:pPr>
            <w:r w:rsidRPr="00BE17BB">
              <w:rPr>
                <w:rFonts w:ascii="Calibri" w:eastAsia="Calibri" w:hAnsi="Calibri" w:cs="Calibri"/>
                <w:sz w:val="20"/>
                <w:szCs w:val="20"/>
                <w:lang w:eastAsia="en-IE"/>
              </w:rPr>
              <w:t>2023 Audited Accounts are not yet available, so percentage is not yet known.</w:t>
            </w:r>
          </w:p>
        </w:tc>
      </w:tr>
      <w:tr w:rsidR="00AC743D" w:rsidRPr="00D33446" w14:paraId="65E2FAB1" w14:textId="69E765CF" w:rsidTr="00AA6F2E">
        <w:tc>
          <w:tcPr>
            <w:tcW w:w="3227" w:type="dxa"/>
          </w:tcPr>
          <w:p w14:paraId="0751E0D0" w14:textId="77777777" w:rsidR="00AC743D" w:rsidRPr="00697BB5" w:rsidRDefault="00AC743D" w:rsidP="00AC743D">
            <w:pPr>
              <w:rPr>
                <w:rFonts w:ascii="Calibri" w:eastAsia="Calibri" w:hAnsi="Calibri" w:cs="Calibri"/>
                <w:sz w:val="20"/>
                <w:szCs w:val="20"/>
                <w:lang w:eastAsia="en-IE"/>
              </w:rPr>
            </w:pPr>
          </w:p>
          <w:p w14:paraId="48D7C6C7" w14:textId="7AFFD7BF" w:rsidR="00AC743D" w:rsidRPr="00697BB5" w:rsidRDefault="00AC743D" w:rsidP="00AC743D">
            <w:pPr>
              <w:rPr>
                <w:rFonts w:ascii="Calibri" w:eastAsia="Times New Roman" w:hAnsi="Calibri" w:cs="Segoe UI"/>
                <w:sz w:val="20"/>
                <w:szCs w:val="20"/>
                <w:lang w:eastAsia="en-IE"/>
              </w:rPr>
            </w:pPr>
            <w:r w:rsidRPr="00697BB5">
              <w:rPr>
                <w:rFonts w:ascii="Calibri" w:eastAsia="Calibri" w:hAnsi="Calibri" w:cs="Calibri"/>
                <w:sz w:val="20"/>
                <w:szCs w:val="20"/>
                <w:lang w:eastAsia="en-IE"/>
              </w:rPr>
              <w:t>Horse Racing Ireland </w:t>
            </w:r>
          </w:p>
        </w:tc>
        <w:tc>
          <w:tcPr>
            <w:tcW w:w="1593" w:type="dxa"/>
            <w:vAlign w:val="bottom"/>
          </w:tcPr>
          <w:p w14:paraId="18F19ABC" w14:textId="14B8C85E" w:rsidR="00AC743D" w:rsidRPr="0077791B" w:rsidRDefault="00AC743D" w:rsidP="00AC743D">
            <w:pPr>
              <w:rPr>
                <w:rFonts w:ascii="Calibri" w:eastAsia="Times New Roman" w:hAnsi="Calibri" w:cs="Segoe UI"/>
                <w:color w:val="444444"/>
                <w:sz w:val="20"/>
                <w:szCs w:val="20"/>
                <w:lang w:eastAsia="en-IE"/>
              </w:rPr>
            </w:pPr>
            <w:r w:rsidRPr="0077791B">
              <w:rPr>
                <w:rFonts w:ascii="Calibri" w:eastAsia="Times New Roman" w:hAnsi="Calibri" w:cs="Segoe UI"/>
                <w:sz w:val="20"/>
                <w:szCs w:val="20"/>
                <w:lang w:eastAsia="en-IE"/>
              </w:rPr>
              <w:t>2023 Audited Accounts are not yet available</w:t>
            </w:r>
          </w:p>
        </w:tc>
        <w:tc>
          <w:tcPr>
            <w:tcW w:w="1796" w:type="dxa"/>
          </w:tcPr>
          <w:p w14:paraId="6676CF97" w14:textId="1FF6F827" w:rsidR="00AC743D" w:rsidRPr="00A4692A" w:rsidRDefault="00AC743D" w:rsidP="00AC743D">
            <w:pPr>
              <w:rPr>
                <w:rFonts w:ascii="Calibri" w:eastAsia="Times New Roman" w:hAnsi="Calibri" w:cs="Segoe UI"/>
                <w:color w:val="444444"/>
                <w:sz w:val="20"/>
                <w:szCs w:val="20"/>
                <w:lang w:eastAsia="en-IE"/>
              </w:rPr>
            </w:pPr>
            <w:r w:rsidRPr="00A4692A">
              <w:rPr>
                <w:rFonts w:ascii="Calibri" w:eastAsia="Times New Roman" w:hAnsi="Calibri" w:cs="Segoe UI"/>
                <w:sz w:val="20"/>
                <w:szCs w:val="20"/>
                <w:lang w:eastAsia="en-IE"/>
              </w:rPr>
              <w:t>€72.8 total funding from the Horse and Greyhound Fund. Current €58.1m and Capital €14.7m</w:t>
            </w:r>
          </w:p>
        </w:tc>
        <w:tc>
          <w:tcPr>
            <w:tcW w:w="1084" w:type="dxa"/>
          </w:tcPr>
          <w:p w14:paraId="1F77CA6E" w14:textId="5DC454A3" w:rsidR="00AC743D" w:rsidRPr="00A4692A" w:rsidRDefault="00AC743D" w:rsidP="00AC743D">
            <w:pPr>
              <w:rPr>
                <w:rFonts w:ascii="Calibri" w:eastAsia="Times New Roman" w:hAnsi="Calibri" w:cs="Segoe UI"/>
                <w:color w:val="444444"/>
                <w:sz w:val="20"/>
                <w:szCs w:val="20"/>
                <w:lang w:eastAsia="en-IE"/>
              </w:rPr>
            </w:pPr>
            <w:r w:rsidRPr="00A4692A">
              <w:rPr>
                <w:rFonts w:ascii="Calibri" w:eastAsia="Times New Roman" w:hAnsi="Calibri" w:cs="Segoe UI"/>
                <w:sz w:val="20"/>
                <w:szCs w:val="20"/>
                <w:lang w:eastAsia="en-IE"/>
              </w:rPr>
              <w:t>Not available</w:t>
            </w:r>
          </w:p>
        </w:tc>
        <w:tc>
          <w:tcPr>
            <w:tcW w:w="3924" w:type="dxa"/>
          </w:tcPr>
          <w:p w14:paraId="6D39B520" w14:textId="090A8541" w:rsidR="00AC743D" w:rsidRPr="00A4692A" w:rsidRDefault="00AC743D" w:rsidP="00AC743D">
            <w:pPr>
              <w:rPr>
                <w:rFonts w:ascii="Calibri" w:eastAsia="Times New Roman" w:hAnsi="Calibri" w:cs="Segoe UI"/>
                <w:color w:val="444444"/>
                <w:sz w:val="20"/>
                <w:szCs w:val="20"/>
                <w:lang w:eastAsia="en-IE"/>
              </w:rPr>
            </w:pPr>
            <w:r w:rsidRPr="00A4692A">
              <w:rPr>
                <w:rFonts w:ascii="Calibri" w:eastAsia="Times New Roman" w:hAnsi="Calibri" w:cs="Segoe UI"/>
                <w:sz w:val="20"/>
                <w:szCs w:val="20"/>
                <w:lang w:eastAsia="en-IE"/>
              </w:rPr>
              <w:t>2023 Audited Accounts are not yet available, so percentage is not yet known.</w:t>
            </w:r>
          </w:p>
        </w:tc>
      </w:tr>
      <w:tr w:rsidR="00AC743D" w:rsidRPr="00D33446" w14:paraId="788A4F0D" w14:textId="01A4D00A" w:rsidTr="00AA6F2E">
        <w:tc>
          <w:tcPr>
            <w:tcW w:w="3227" w:type="dxa"/>
          </w:tcPr>
          <w:p w14:paraId="6733135A" w14:textId="664859FC"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Irish National Stud </w:t>
            </w:r>
          </w:p>
          <w:p w14:paraId="38EE6A92" w14:textId="48997FC0" w:rsidR="00AC743D" w:rsidRPr="00697BB5" w:rsidRDefault="00AC743D" w:rsidP="00AC743D">
            <w:pPr>
              <w:rPr>
                <w:rFonts w:ascii="Calibri" w:eastAsia="Calibri" w:hAnsi="Calibri" w:cs="Calibri"/>
                <w:sz w:val="20"/>
                <w:szCs w:val="20"/>
                <w:lang w:eastAsia="en-IE"/>
              </w:rPr>
            </w:pPr>
          </w:p>
        </w:tc>
        <w:tc>
          <w:tcPr>
            <w:tcW w:w="1593" w:type="dxa"/>
            <w:vAlign w:val="bottom"/>
          </w:tcPr>
          <w:p w14:paraId="2D7B23DA" w14:textId="4D9FC3CE" w:rsidR="00AC743D" w:rsidRPr="00697BB5" w:rsidRDefault="00AC743D" w:rsidP="00AC743D">
            <w:pPr>
              <w:rPr>
                <w:rFonts w:ascii="Calibri" w:eastAsia="Times New Roman" w:hAnsi="Calibri" w:cs="Segoe UI"/>
                <w:color w:val="444444"/>
                <w:sz w:val="20"/>
                <w:szCs w:val="20"/>
                <w:lang w:eastAsia="en-IE"/>
              </w:rPr>
            </w:pPr>
            <w:r w:rsidRPr="007C243F">
              <w:rPr>
                <w:rFonts w:ascii="Calibri" w:eastAsia="Times New Roman" w:hAnsi="Calibri" w:cs="Segoe UI"/>
                <w:sz w:val="20"/>
                <w:szCs w:val="20"/>
                <w:lang w:eastAsia="en-IE"/>
              </w:rPr>
              <w:t>Nil</w:t>
            </w:r>
          </w:p>
        </w:tc>
        <w:tc>
          <w:tcPr>
            <w:tcW w:w="1796" w:type="dxa"/>
          </w:tcPr>
          <w:p w14:paraId="744D581C" w14:textId="581C179E" w:rsidR="00AC743D" w:rsidRPr="00697BB5" w:rsidRDefault="00925CE3" w:rsidP="00AC743D">
            <w:pPr>
              <w:rPr>
                <w:rFonts w:ascii="Calibri" w:eastAsia="Times New Roman" w:hAnsi="Calibri" w:cs="Segoe UI"/>
                <w:color w:val="444444"/>
                <w:sz w:val="20"/>
                <w:szCs w:val="20"/>
                <w:lang w:eastAsia="en-IE"/>
              </w:rPr>
            </w:pPr>
            <w:r>
              <w:rPr>
                <w:rFonts w:ascii="Calibri" w:eastAsia="Times New Roman" w:hAnsi="Calibri" w:cs="Segoe UI"/>
                <w:color w:val="444444"/>
                <w:sz w:val="20"/>
                <w:szCs w:val="20"/>
                <w:lang w:eastAsia="en-IE"/>
              </w:rPr>
              <w:t>Nil</w:t>
            </w:r>
          </w:p>
        </w:tc>
        <w:tc>
          <w:tcPr>
            <w:tcW w:w="1084" w:type="dxa"/>
          </w:tcPr>
          <w:p w14:paraId="092B4FA4" w14:textId="323D719B" w:rsidR="00AC743D" w:rsidRPr="00697BB5" w:rsidRDefault="00925CE3" w:rsidP="00AC743D">
            <w:pPr>
              <w:rPr>
                <w:rFonts w:ascii="Calibri" w:eastAsia="Times New Roman" w:hAnsi="Calibri" w:cs="Segoe UI"/>
                <w:color w:val="444444"/>
                <w:sz w:val="20"/>
                <w:szCs w:val="20"/>
                <w:lang w:eastAsia="en-IE"/>
              </w:rPr>
            </w:pPr>
            <w:r>
              <w:rPr>
                <w:rFonts w:ascii="Calibri" w:eastAsia="Times New Roman" w:hAnsi="Calibri" w:cs="Segoe UI"/>
                <w:color w:val="444444"/>
                <w:sz w:val="20"/>
                <w:szCs w:val="20"/>
                <w:lang w:eastAsia="en-IE"/>
              </w:rPr>
              <w:t>Nil</w:t>
            </w:r>
          </w:p>
        </w:tc>
        <w:tc>
          <w:tcPr>
            <w:tcW w:w="3924" w:type="dxa"/>
          </w:tcPr>
          <w:p w14:paraId="2ACDC668" w14:textId="77777777" w:rsidR="00AC743D" w:rsidRPr="00697BB5" w:rsidRDefault="00AC743D" w:rsidP="00AC743D">
            <w:pPr>
              <w:rPr>
                <w:rFonts w:ascii="Calibri" w:eastAsia="Times New Roman" w:hAnsi="Calibri" w:cs="Segoe UI"/>
                <w:color w:val="444444"/>
                <w:sz w:val="20"/>
                <w:szCs w:val="20"/>
                <w:lang w:eastAsia="en-IE"/>
              </w:rPr>
            </w:pPr>
          </w:p>
        </w:tc>
      </w:tr>
      <w:tr w:rsidR="00AC743D" w:rsidRPr="00D33446" w14:paraId="3D871CCE" w14:textId="1F8AF038" w:rsidTr="00AA6F2E">
        <w:tc>
          <w:tcPr>
            <w:tcW w:w="3227" w:type="dxa"/>
          </w:tcPr>
          <w:p w14:paraId="01F7FBDC" w14:textId="2D7A3EBC"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Bord Bia </w:t>
            </w:r>
          </w:p>
          <w:p w14:paraId="72B4CA47" w14:textId="6AA61EC9" w:rsidR="00AC743D" w:rsidRPr="00697BB5" w:rsidRDefault="00AC743D" w:rsidP="00AC743D">
            <w:pPr>
              <w:rPr>
                <w:rFonts w:ascii="Calibri" w:eastAsia="Calibri" w:hAnsi="Calibri" w:cs="Calibri"/>
                <w:sz w:val="20"/>
                <w:szCs w:val="20"/>
                <w:lang w:eastAsia="en-IE"/>
              </w:rPr>
            </w:pPr>
          </w:p>
        </w:tc>
        <w:tc>
          <w:tcPr>
            <w:tcW w:w="1593" w:type="dxa"/>
            <w:vAlign w:val="center"/>
          </w:tcPr>
          <w:p w14:paraId="1CC108D8" w14:textId="3F3F64F2" w:rsidR="00AC743D" w:rsidRPr="006E4BED" w:rsidRDefault="00F04F55" w:rsidP="00AC743D">
            <w:pPr>
              <w:rPr>
                <w:rFonts w:ascii="Calibri" w:eastAsia="Times New Roman" w:hAnsi="Calibri" w:cs="Segoe UI"/>
                <w:sz w:val="20"/>
                <w:szCs w:val="20"/>
                <w:lang w:eastAsia="en-IE"/>
              </w:rPr>
            </w:pPr>
            <w:r w:rsidRPr="00F04F55">
              <w:rPr>
                <w:rFonts w:ascii="Calibri" w:eastAsia="Times New Roman" w:hAnsi="Calibri" w:cs="Segoe UI"/>
                <w:sz w:val="20"/>
                <w:szCs w:val="20"/>
                <w:lang w:eastAsia="en-IE"/>
              </w:rPr>
              <w:t>€</w:t>
            </w:r>
            <w:r w:rsidR="00AC743D" w:rsidRPr="006E4BED">
              <w:rPr>
                <w:rFonts w:ascii="Calibri" w:eastAsia="Times New Roman" w:hAnsi="Calibri" w:cs="Segoe UI"/>
                <w:sz w:val="20"/>
                <w:szCs w:val="20"/>
                <w:lang w:eastAsia="en-IE"/>
              </w:rPr>
              <w:t>91,70</w:t>
            </w:r>
            <w:r>
              <w:rPr>
                <w:rFonts w:ascii="Calibri" w:eastAsia="Times New Roman" w:hAnsi="Calibri" w:cs="Segoe UI"/>
                <w:sz w:val="20"/>
                <w:szCs w:val="20"/>
                <w:lang w:eastAsia="en-IE"/>
              </w:rPr>
              <w:t>1,000</w:t>
            </w:r>
            <w:r w:rsidR="00AC743D" w:rsidRPr="006E4BED">
              <w:rPr>
                <w:rFonts w:ascii="Calibri" w:eastAsia="Times New Roman" w:hAnsi="Calibri" w:cs="Segoe UI"/>
                <w:sz w:val="20"/>
                <w:szCs w:val="20"/>
                <w:lang w:eastAsia="en-IE"/>
              </w:rPr>
              <w:t xml:space="preserve"> (total income)</w:t>
            </w:r>
          </w:p>
        </w:tc>
        <w:tc>
          <w:tcPr>
            <w:tcW w:w="1796" w:type="dxa"/>
          </w:tcPr>
          <w:p w14:paraId="76B92380" w14:textId="1B04ED02" w:rsidR="00AC743D" w:rsidRPr="006E4BED" w:rsidRDefault="00F04F55" w:rsidP="00AC743D">
            <w:pPr>
              <w:rPr>
                <w:rFonts w:ascii="Calibri" w:eastAsia="Times New Roman" w:hAnsi="Calibri" w:cs="Segoe UI"/>
                <w:sz w:val="20"/>
                <w:szCs w:val="20"/>
                <w:lang w:eastAsia="en-IE"/>
              </w:rPr>
            </w:pPr>
            <w:r w:rsidRPr="006A233A">
              <w:rPr>
                <w:rFonts w:ascii="Calibri" w:eastAsia="Times New Roman" w:hAnsi="Calibri" w:cs="Segoe UI"/>
                <w:sz w:val="20"/>
                <w:szCs w:val="20"/>
                <w:lang w:eastAsia="en-IE"/>
              </w:rPr>
              <w:t>€</w:t>
            </w:r>
            <w:r w:rsidR="00AC743D" w:rsidRPr="006E4BED">
              <w:rPr>
                <w:rFonts w:ascii="Calibri" w:eastAsia="Times New Roman" w:hAnsi="Calibri" w:cs="Segoe UI"/>
                <w:sz w:val="20"/>
                <w:szCs w:val="20"/>
                <w:lang w:eastAsia="en-IE"/>
              </w:rPr>
              <w:t>67,793</w:t>
            </w:r>
            <w:r>
              <w:rPr>
                <w:rFonts w:ascii="Calibri" w:eastAsia="Times New Roman" w:hAnsi="Calibri" w:cs="Segoe UI"/>
                <w:sz w:val="20"/>
                <w:szCs w:val="20"/>
                <w:lang w:eastAsia="en-IE"/>
              </w:rPr>
              <w:t>,000</w:t>
            </w:r>
          </w:p>
        </w:tc>
        <w:tc>
          <w:tcPr>
            <w:tcW w:w="1084" w:type="dxa"/>
          </w:tcPr>
          <w:p w14:paraId="73F3AD72" w14:textId="4425BA9B" w:rsidR="00AC743D" w:rsidRPr="006E4BED" w:rsidRDefault="00AC743D" w:rsidP="00AC743D">
            <w:pPr>
              <w:rPr>
                <w:rFonts w:ascii="Calibri" w:eastAsia="Times New Roman" w:hAnsi="Calibri" w:cs="Segoe UI"/>
                <w:sz w:val="20"/>
                <w:szCs w:val="20"/>
                <w:lang w:eastAsia="en-IE"/>
              </w:rPr>
            </w:pPr>
            <w:r w:rsidRPr="006E4BED">
              <w:rPr>
                <w:rFonts w:ascii="Calibri" w:eastAsia="Times New Roman" w:hAnsi="Calibri" w:cs="Segoe UI"/>
                <w:sz w:val="20"/>
                <w:szCs w:val="20"/>
                <w:lang w:eastAsia="en-IE"/>
              </w:rPr>
              <w:t xml:space="preserve">74% </w:t>
            </w:r>
          </w:p>
        </w:tc>
        <w:tc>
          <w:tcPr>
            <w:tcW w:w="3924" w:type="dxa"/>
          </w:tcPr>
          <w:p w14:paraId="302E5F0C" w14:textId="78A13646" w:rsidR="00AC743D" w:rsidRPr="006E4BED" w:rsidRDefault="00AC743D" w:rsidP="00AC743D">
            <w:pPr>
              <w:rPr>
                <w:rFonts w:ascii="Calibri" w:eastAsia="Times New Roman" w:hAnsi="Calibri" w:cs="Segoe UI"/>
                <w:sz w:val="20"/>
                <w:szCs w:val="20"/>
                <w:lang w:eastAsia="en-IE"/>
              </w:rPr>
            </w:pPr>
            <w:r w:rsidRPr="006E4BED">
              <w:rPr>
                <w:rFonts w:ascii="Calibri" w:eastAsia="Times New Roman" w:hAnsi="Calibri" w:cs="Segoe UI"/>
                <w:sz w:val="20"/>
                <w:szCs w:val="20"/>
                <w:lang w:eastAsia="en-IE"/>
              </w:rPr>
              <w:t>Source = REV 2024</w:t>
            </w:r>
          </w:p>
        </w:tc>
      </w:tr>
      <w:tr w:rsidR="00AC743D" w:rsidRPr="00D33446" w14:paraId="7A7B49D3" w14:textId="77AFD1A2" w:rsidTr="00AA6F2E">
        <w:tc>
          <w:tcPr>
            <w:tcW w:w="3227" w:type="dxa"/>
          </w:tcPr>
          <w:p w14:paraId="12537A86" w14:textId="743A84D1"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Coillte </w:t>
            </w:r>
          </w:p>
          <w:p w14:paraId="382706BE" w14:textId="1A128146" w:rsidR="00AC743D" w:rsidRPr="00697BB5" w:rsidRDefault="00AC743D" w:rsidP="00AC743D">
            <w:pPr>
              <w:rPr>
                <w:rFonts w:ascii="Calibri" w:eastAsia="Calibri" w:hAnsi="Calibri" w:cs="Calibri"/>
                <w:sz w:val="20"/>
                <w:szCs w:val="20"/>
                <w:lang w:eastAsia="en-IE"/>
              </w:rPr>
            </w:pPr>
          </w:p>
        </w:tc>
        <w:tc>
          <w:tcPr>
            <w:tcW w:w="1593" w:type="dxa"/>
            <w:vAlign w:val="bottom"/>
          </w:tcPr>
          <w:p w14:paraId="4C3A76F9" w14:textId="7C1FA5B2" w:rsidR="00AC743D" w:rsidRPr="00697BB5" w:rsidRDefault="00AC743D" w:rsidP="00AC743D">
            <w:pPr>
              <w:rPr>
                <w:rFonts w:ascii="Calibri" w:eastAsia="Times New Roman" w:hAnsi="Calibri" w:cs="Segoe UI"/>
                <w:sz w:val="20"/>
                <w:szCs w:val="20"/>
                <w:lang w:eastAsia="en-IE"/>
              </w:rPr>
            </w:pPr>
            <w:r w:rsidRPr="00DE334F">
              <w:rPr>
                <w:rFonts w:ascii="Calibri" w:eastAsia="Times New Roman" w:hAnsi="Calibri" w:cs="Segoe UI"/>
                <w:sz w:val="20"/>
                <w:szCs w:val="20"/>
                <w:lang w:eastAsia="en-IE"/>
              </w:rPr>
              <w:t>Nil</w:t>
            </w:r>
          </w:p>
        </w:tc>
        <w:tc>
          <w:tcPr>
            <w:tcW w:w="1796" w:type="dxa"/>
          </w:tcPr>
          <w:p w14:paraId="40A533EA" w14:textId="3937F3D9" w:rsidR="00AC743D" w:rsidRPr="00DE334F" w:rsidRDefault="00AC743D" w:rsidP="00AC743D">
            <w:pPr>
              <w:rPr>
                <w:rFonts w:ascii="Calibri" w:eastAsia="Times New Roman" w:hAnsi="Calibri" w:cs="Segoe UI"/>
                <w:sz w:val="20"/>
                <w:szCs w:val="20"/>
                <w:lang w:eastAsia="en-IE"/>
              </w:rPr>
            </w:pPr>
            <w:r w:rsidRPr="00DE334F">
              <w:rPr>
                <w:rFonts w:ascii="Calibri" w:eastAsia="Times New Roman" w:hAnsi="Calibri" w:cs="Segoe UI"/>
                <w:sz w:val="20"/>
                <w:szCs w:val="20"/>
                <w:lang w:eastAsia="en-IE"/>
              </w:rPr>
              <w:t>Nil</w:t>
            </w:r>
          </w:p>
        </w:tc>
        <w:tc>
          <w:tcPr>
            <w:tcW w:w="1084" w:type="dxa"/>
          </w:tcPr>
          <w:p w14:paraId="3C681FB7" w14:textId="2F0F3D84" w:rsidR="00AC743D" w:rsidRPr="00DE334F" w:rsidRDefault="00AC743D" w:rsidP="00AC743D">
            <w:pPr>
              <w:rPr>
                <w:rFonts w:ascii="Calibri" w:eastAsia="Times New Roman" w:hAnsi="Calibri" w:cs="Segoe UI"/>
                <w:sz w:val="20"/>
                <w:szCs w:val="20"/>
                <w:lang w:eastAsia="en-IE"/>
              </w:rPr>
            </w:pPr>
            <w:r w:rsidRPr="00DE334F">
              <w:rPr>
                <w:rFonts w:ascii="Calibri" w:eastAsia="Times New Roman" w:hAnsi="Calibri" w:cs="Segoe UI"/>
                <w:sz w:val="20"/>
                <w:szCs w:val="20"/>
                <w:lang w:eastAsia="en-IE"/>
              </w:rPr>
              <w:t>Nil</w:t>
            </w:r>
          </w:p>
        </w:tc>
        <w:tc>
          <w:tcPr>
            <w:tcW w:w="3924" w:type="dxa"/>
          </w:tcPr>
          <w:p w14:paraId="2F0A1B67" w14:textId="108EDE19" w:rsidR="00AC743D" w:rsidRPr="00DE334F" w:rsidRDefault="00AC743D" w:rsidP="00AC743D">
            <w:pPr>
              <w:rPr>
                <w:rFonts w:ascii="Calibri" w:eastAsia="Times New Roman" w:hAnsi="Calibri" w:cs="Segoe UI"/>
                <w:sz w:val="20"/>
                <w:szCs w:val="20"/>
                <w:lang w:eastAsia="en-IE"/>
              </w:rPr>
            </w:pPr>
            <w:r w:rsidRPr="00DE334F">
              <w:rPr>
                <w:rFonts w:ascii="Calibri" w:eastAsia="Times New Roman" w:hAnsi="Calibri" w:cs="Segoe UI"/>
                <w:sz w:val="20"/>
                <w:szCs w:val="20"/>
                <w:lang w:eastAsia="en-IE"/>
              </w:rPr>
              <w:t>No direct exchequer funding is paid to Coillte (Commercial State Body). Same as for all landowners in the State, Coillte are eligible to receive grants and premia under the Schemes included in the Forestry Programmes.</w:t>
            </w:r>
          </w:p>
        </w:tc>
      </w:tr>
      <w:tr w:rsidR="00AC743D" w:rsidRPr="00D33446" w14:paraId="36D674C0" w14:textId="690EF0F1" w:rsidTr="00AA6F2E">
        <w:tc>
          <w:tcPr>
            <w:tcW w:w="3227" w:type="dxa"/>
          </w:tcPr>
          <w:p w14:paraId="2791074D" w14:textId="77777777"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National Milk Agency </w:t>
            </w:r>
          </w:p>
          <w:p w14:paraId="51D8F042" w14:textId="2185DD8C" w:rsidR="00AC743D" w:rsidRPr="00697BB5" w:rsidRDefault="00AC743D" w:rsidP="00AC743D">
            <w:pPr>
              <w:rPr>
                <w:rFonts w:ascii="Calibri" w:eastAsia="Calibri" w:hAnsi="Calibri" w:cs="Calibri"/>
                <w:sz w:val="20"/>
                <w:szCs w:val="20"/>
                <w:lang w:eastAsia="en-IE"/>
              </w:rPr>
            </w:pPr>
          </w:p>
        </w:tc>
        <w:tc>
          <w:tcPr>
            <w:tcW w:w="1593" w:type="dxa"/>
            <w:vAlign w:val="bottom"/>
          </w:tcPr>
          <w:p w14:paraId="0A85E461" w14:textId="4AED7FE7" w:rsidR="00AC743D" w:rsidRPr="00BE17BB" w:rsidRDefault="00AC743D" w:rsidP="00AC743D">
            <w:pPr>
              <w:rPr>
                <w:rFonts w:ascii="Calibri" w:eastAsia="Times New Roman" w:hAnsi="Calibri" w:cs="Segoe UI"/>
                <w:sz w:val="20"/>
                <w:szCs w:val="20"/>
                <w:lang w:eastAsia="en-IE"/>
              </w:rPr>
            </w:pPr>
          </w:p>
        </w:tc>
        <w:tc>
          <w:tcPr>
            <w:tcW w:w="1796" w:type="dxa"/>
          </w:tcPr>
          <w:p w14:paraId="3A92FDAB" w14:textId="77777777" w:rsidR="00AC743D" w:rsidRPr="00697BB5" w:rsidRDefault="00AC743D" w:rsidP="00AC743D">
            <w:pPr>
              <w:rPr>
                <w:rFonts w:ascii="Calibri" w:eastAsia="Times New Roman" w:hAnsi="Calibri" w:cs="Segoe UI"/>
                <w:color w:val="444444"/>
                <w:sz w:val="20"/>
                <w:szCs w:val="20"/>
                <w:lang w:eastAsia="en-IE"/>
              </w:rPr>
            </w:pPr>
          </w:p>
        </w:tc>
        <w:tc>
          <w:tcPr>
            <w:tcW w:w="1084" w:type="dxa"/>
          </w:tcPr>
          <w:p w14:paraId="6ADB612F" w14:textId="20A37A2E" w:rsidR="00AC743D" w:rsidRPr="00697BB5" w:rsidRDefault="00AC743D" w:rsidP="00AC743D">
            <w:pPr>
              <w:rPr>
                <w:rFonts w:ascii="Calibri" w:eastAsia="Times New Roman" w:hAnsi="Calibri" w:cs="Segoe UI"/>
                <w:color w:val="444444"/>
                <w:sz w:val="20"/>
                <w:szCs w:val="20"/>
                <w:lang w:eastAsia="en-IE"/>
              </w:rPr>
            </w:pPr>
          </w:p>
        </w:tc>
        <w:tc>
          <w:tcPr>
            <w:tcW w:w="3924" w:type="dxa"/>
          </w:tcPr>
          <w:p w14:paraId="7D3E4821" w14:textId="38877A74" w:rsidR="00AC743D" w:rsidRPr="00697BB5" w:rsidRDefault="00AC743D" w:rsidP="00AC743D">
            <w:pPr>
              <w:rPr>
                <w:rFonts w:ascii="Calibri" w:eastAsia="Times New Roman" w:hAnsi="Calibri" w:cs="Segoe UI"/>
                <w:color w:val="444444"/>
                <w:sz w:val="20"/>
                <w:szCs w:val="20"/>
                <w:lang w:eastAsia="en-IE"/>
              </w:rPr>
            </w:pPr>
            <w:r w:rsidRPr="00C75C40">
              <w:rPr>
                <w:rFonts w:ascii="Aptos" w:hAnsi="Aptos"/>
                <w:sz w:val="20"/>
                <w:szCs w:val="20"/>
              </w:rPr>
              <w:t xml:space="preserve">The National Milk Agency is self-funded via a levy to Industry. It is not in receipt of any funding from the Exchequer. </w:t>
            </w:r>
          </w:p>
        </w:tc>
      </w:tr>
      <w:tr w:rsidR="00AC743D" w:rsidRPr="00D33446" w14:paraId="4E43E7E6" w14:textId="1FDDE909" w:rsidTr="00AA6F2E">
        <w:tc>
          <w:tcPr>
            <w:tcW w:w="3227" w:type="dxa"/>
          </w:tcPr>
          <w:p w14:paraId="6873D067" w14:textId="77777777"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t>Teagasc </w:t>
            </w:r>
          </w:p>
          <w:p w14:paraId="097F7E33" w14:textId="01D1CB60" w:rsidR="00AC743D" w:rsidRPr="00697BB5" w:rsidRDefault="00AC743D" w:rsidP="00AC743D">
            <w:pPr>
              <w:rPr>
                <w:rFonts w:ascii="Calibri" w:eastAsia="Calibri" w:hAnsi="Calibri" w:cs="Calibri"/>
                <w:sz w:val="20"/>
                <w:szCs w:val="20"/>
                <w:lang w:eastAsia="en-IE"/>
              </w:rPr>
            </w:pPr>
          </w:p>
        </w:tc>
        <w:tc>
          <w:tcPr>
            <w:tcW w:w="1593" w:type="dxa"/>
            <w:vAlign w:val="bottom"/>
          </w:tcPr>
          <w:p w14:paraId="7B19123C" w14:textId="74FA002C" w:rsidR="00AC743D" w:rsidRPr="00C352C6" w:rsidRDefault="00AC743D" w:rsidP="00AC743D">
            <w:pPr>
              <w:rPr>
                <w:rFonts w:ascii="Calibri" w:eastAsia="Times New Roman" w:hAnsi="Calibri" w:cs="Segoe UI"/>
                <w:color w:val="444444"/>
                <w:sz w:val="20"/>
                <w:szCs w:val="20"/>
                <w:lang w:eastAsia="en-IE"/>
              </w:rPr>
            </w:pPr>
            <w:r w:rsidRPr="00C352C6">
              <w:rPr>
                <w:rFonts w:ascii="Calibri" w:eastAsia="Times New Roman" w:hAnsi="Calibri" w:cs="Segoe UI"/>
                <w:sz w:val="20"/>
                <w:szCs w:val="20"/>
                <w:lang w:eastAsia="en-IE"/>
              </w:rPr>
              <w:t>€232</w:t>
            </w:r>
            <w:r w:rsidR="00392A91">
              <w:rPr>
                <w:rFonts w:ascii="Calibri" w:eastAsia="Times New Roman" w:hAnsi="Calibri" w:cs="Segoe UI"/>
                <w:sz w:val="20"/>
                <w:szCs w:val="20"/>
                <w:lang w:eastAsia="en-IE"/>
              </w:rPr>
              <w:t>,000,000</w:t>
            </w:r>
          </w:p>
        </w:tc>
        <w:tc>
          <w:tcPr>
            <w:tcW w:w="1796" w:type="dxa"/>
          </w:tcPr>
          <w:p w14:paraId="7777103A" w14:textId="77777777" w:rsidR="00AC743D" w:rsidRDefault="00AC743D" w:rsidP="00AC743D">
            <w:pPr>
              <w:rPr>
                <w:rFonts w:ascii="Calibri" w:eastAsia="Times New Roman" w:hAnsi="Calibri" w:cs="Segoe UI"/>
                <w:sz w:val="20"/>
                <w:szCs w:val="20"/>
                <w:lang w:eastAsia="en-IE"/>
              </w:rPr>
            </w:pPr>
          </w:p>
          <w:p w14:paraId="27D98BD3" w14:textId="0A8B9744" w:rsidR="00AC743D" w:rsidRPr="00C352C6" w:rsidRDefault="00AC743D" w:rsidP="00AC743D">
            <w:pPr>
              <w:rPr>
                <w:rFonts w:ascii="Calibri" w:eastAsia="Times New Roman" w:hAnsi="Calibri" w:cs="Segoe UI"/>
                <w:color w:val="444444"/>
                <w:sz w:val="20"/>
                <w:szCs w:val="20"/>
                <w:lang w:eastAsia="en-IE"/>
              </w:rPr>
            </w:pPr>
            <w:r w:rsidRPr="00C352C6">
              <w:rPr>
                <w:rFonts w:ascii="Calibri" w:eastAsia="Times New Roman" w:hAnsi="Calibri" w:cs="Segoe UI"/>
                <w:sz w:val="20"/>
                <w:szCs w:val="20"/>
                <w:lang w:eastAsia="en-IE"/>
              </w:rPr>
              <w:t>€168</w:t>
            </w:r>
            <w:r w:rsidR="00392A91">
              <w:rPr>
                <w:rFonts w:ascii="Calibri" w:eastAsia="Times New Roman" w:hAnsi="Calibri" w:cs="Segoe UI"/>
                <w:sz w:val="20"/>
                <w:szCs w:val="20"/>
                <w:lang w:eastAsia="en-IE"/>
              </w:rPr>
              <w:t>,</w:t>
            </w:r>
            <w:r w:rsidRPr="00C352C6">
              <w:rPr>
                <w:rFonts w:ascii="Calibri" w:eastAsia="Times New Roman" w:hAnsi="Calibri" w:cs="Segoe UI"/>
                <w:sz w:val="20"/>
                <w:szCs w:val="20"/>
                <w:lang w:eastAsia="en-IE"/>
              </w:rPr>
              <w:t>6</w:t>
            </w:r>
            <w:r w:rsidR="00392A91">
              <w:rPr>
                <w:rFonts w:ascii="Calibri" w:eastAsia="Times New Roman" w:hAnsi="Calibri" w:cs="Segoe UI"/>
                <w:sz w:val="20"/>
                <w:szCs w:val="20"/>
                <w:lang w:eastAsia="en-IE"/>
              </w:rPr>
              <w:t>00,000</w:t>
            </w:r>
          </w:p>
        </w:tc>
        <w:tc>
          <w:tcPr>
            <w:tcW w:w="1084" w:type="dxa"/>
          </w:tcPr>
          <w:p w14:paraId="6D3571D8" w14:textId="77777777" w:rsidR="00AC743D" w:rsidRDefault="00AC743D" w:rsidP="00AC743D">
            <w:pPr>
              <w:rPr>
                <w:rFonts w:ascii="Calibri" w:eastAsia="Times New Roman" w:hAnsi="Calibri" w:cs="Segoe UI"/>
                <w:sz w:val="20"/>
                <w:szCs w:val="20"/>
                <w:lang w:eastAsia="en-IE"/>
              </w:rPr>
            </w:pPr>
          </w:p>
          <w:p w14:paraId="32CF871E" w14:textId="163AEA26" w:rsidR="00AC743D" w:rsidRPr="00C2784C" w:rsidRDefault="00AC743D" w:rsidP="00AC743D">
            <w:pPr>
              <w:rPr>
                <w:rFonts w:ascii="Calibri" w:eastAsia="Times New Roman" w:hAnsi="Calibri" w:cs="Segoe UI"/>
                <w:color w:val="444444"/>
                <w:sz w:val="20"/>
                <w:szCs w:val="20"/>
                <w:lang w:eastAsia="en-IE"/>
              </w:rPr>
            </w:pPr>
            <w:r w:rsidRPr="00C2784C">
              <w:rPr>
                <w:rFonts w:ascii="Calibri" w:eastAsia="Times New Roman" w:hAnsi="Calibri" w:cs="Segoe UI"/>
                <w:sz w:val="20"/>
                <w:szCs w:val="20"/>
                <w:lang w:eastAsia="en-IE"/>
              </w:rPr>
              <w:t>72.6%</w:t>
            </w:r>
          </w:p>
        </w:tc>
        <w:tc>
          <w:tcPr>
            <w:tcW w:w="3924" w:type="dxa"/>
          </w:tcPr>
          <w:p w14:paraId="1F41C17C" w14:textId="463A0C13" w:rsidR="00AC743D" w:rsidRPr="00C2784C" w:rsidRDefault="00AC743D" w:rsidP="00AA6F2E">
            <w:pPr>
              <w:rPr>
                <w:rFonts w:ascii="Calibri" w:eastAsia="Times New Roman" w:hAnsi="Calibri" w:cs="Segoe UI"/>
                <w:sz w:val="20"/>
                <w:szCs w:val="20"/>
                <w:lang w:eastAsia="en-IE"/>
              </w:rPr>
            </w:pPr>
            <w:r w:rsidRPr="00C2784C">
              <w:rPr>
                <w:rFonts w:ascii="Calibri" w:eastAsia="Times New Roman" w:hAnsi="Calibri" w:cs="Segoe UI"/>
                <w:sz w:val="20"/>
                <w:szCs w:val="20"/>
                <w:lang w:eastAsia="en-IE"/>
              </w:rPr>
              <w:t>The overall amount (€232m) includes €12.6m   exchequer funding that Teagasc received from non DAFM sources</w:t>
            </w:r>
            <w:r w:rsidR="00AA6F2E">
              <w:rPr>
                <w:rFonts w:ascii="Calibri" w:eastAsia="Times New Roman" w:hAnsi="Calibri" w:cs="Segoe UI"/>
                <w:sz w:val="20"/>
                <w:szCs w:val="20"/>
                <w:lang w:eastAsia="en-IE"/>
              </w:rPr>
              <w:t xml:space="preserve">. </w:t>
            </w:r>
            <w:r w:rsidR="00392A91">
              <w:rPr>
                <w:rFonts w:ascii="Aptos" w:hAnsi="Aptos"/>
                <w:sz w:val="20"/>
                <w:szCs w:val="20"/>
              </w:rPr>
              <w:t>I</w:t>
            </w:r>
            <w:r w:rsidRPr="00BA3B4C">
              <w:rPr>
                <w:rFonts w:ascii="Aptos" w:hAnsi="Aptos"/>
                <w:sz w:val="20"/>
                <w:szCs w:val="20"/>
              </w:rPr>
              <w:t xml:space="preserve">ncluded </w:t>
            </w:r>
            <w:r w:rsidR="00392A91">
              <w:rPr>
                <w:rFonts w:ascii="Aptos" w:hAnsi="Aptos"/>
                <w:sz w:val="20"/>
                <w:szCs w:val="20"/>
              </w:rPr>
              <w:t xml:space="preserve">are </w:t>
            </w:r>
            <w:r w:rsidRPr="00BA3B4C">
              <w:rPr>
                <w:rFonts w:ascii="Aptos" w:hAnsi="Aptos"/>
                <w:sz w:val="20"/>
                <w:szCs w:val="20"/>
              </w:rPr>
              <w:t xml:space="preserve">figures for DAFM funds and non DAFM funds that also came from the exchequer e.g. SFI, EPA, EI </w:t>
            </w:r>
            <w:r w:rsidR="00925CE3" w:rsidRPr="00BA3B4C">
              <w:rPr>
                <w:rFonts w:ascii="Aptos" w:hAnsi="Aptos"/>
                <w:sz w:val="20"/>
                <w:szCs w:val="20"/>
              </w:rPr>
              <w:t>etc.</w:t>
            </w:r>
          </w:p>
        </w:tc>
      </w:tr>
      <w:tr w:rsidR="00AC743D" w:rsidRPr="00D33446" w14:paraId="0E1D6281" w14:textId="6E59B6E9" w:rsidTr="00AA6F2E">
        <w:tc>
          <w:tcPr>
            <w:tcW w:w="3227" w:type="dxa"/>
          </w:tcPr>
          <w:p w14:paraId="5B4CEA24" w14:textId="77777777" w:rsidR="00AC743D" w:rsidRPr="00697BB5" w:rsidRDefault="00AC743D" w:rsidP="00AC743D">
            <w:pPr>
              <w:rPr>
                <w:rFonts w:ascii="Calibri" w:eastAsia="Calibri" w:hAnsi="Calibri" w:cs="Calibri"/>
                <w:sz w:val="20"/>
                <w:szCs w:val="20"/>
                <w:lang w:eastAsia="en-IE"/>
              </w:rPr>
            </w:pPr>
            <w:r w:rsidRPr="00697BB5">
              <w:rPr>
                <w:rFonts w:ascii="Calibri" w:eastAsia="Calibri" w:hAnsi="Calibri" w:cs="Calibri"/>
                <w:sz w:val="20"/>
                <w:szCs w:val="20"/>
                <w:lang w:eastAsia="en-IE"/>
              </w:rPr>
              <w:lastRenderedPageBreak/>
              <w:t>Veterinary Council of Ireland </w:t>
            </w:r>
          </w:p>
          <w:p w14:paraId="6EA50834" w14:textId="039DE453" w:rsidR="00AC743D" w:rsidRPr="00697BB5" w:rsidRDefault="00AC743D" w:rsidP="00AC743D">
            <w:pPr>
              <w:rPr>
                <w:rFonts w:ascii="Calibri" w:eastAsia="Calibri" w:hAnsi="Calibri" w:cs="Calibri"/>
                <w:sz w:val="20"/>
                <w:szCs w:val="20"/>
                <w:lang w:eastAsia="en-IE"/>
              </w:rPr>
            </w:pPr>
          </w:p>
        </w:tc>
        <w:tc>
          <w:tcPr>
            <w:tcW w:w="1593" w:type="dxa"/>
            <w:vAlign w:val="bottom"/>
          </w:tcPr>
          <w:p w14:paraId="4C38A6BB" w14:textId="4756F4F2" w:rsidR="00AC743D" w:rsidRPr="00697BB5" w:rsidRDefault="00AC743D" w:rsidP="00166864">
            <w:pPr>
              <w:rPr>
                <w:rFonts w:ascii="Calibri" w:eastAsia="Times New Roman" w:hAnsi="Calibri" w:cs="Segoe UI"/>
                <w:color w:val="444444"/>
                <w:sz w:val="20"/>
                <w:szCs w:val="20"/>
                <w:lang w:eastAsia="en-IE"/>
              </w:rPr>
            </w:pPr>
            <w:r w:rsidRPr="00DE334F">
              <w:rPr>
                <w:rFonts w:ascii="Calibri" w:eastAsia="Times New Roman" w:hAnsi="Calibri" w:cs="Segoe UI"/>
                <w:sz w:val="20"/>
                <w:szCs w:val="20"/>
                <w:lang w:eastAsia="en-IE"/>
              </w:rPr>
              <w:t>N/A</w:t>
            </w:r>
          </w:p>
        </w:tc>
        <w:tc>
          <w:tcPr>
            <w:tcW w:w="1796" w:type="dxa"/>
          </w:tcPr>
          <w:p w14:paraId="3311F00C" w14:textId="0899D174" w:rsidR="00AC743D" w:rsidRPr="00DE334F" w:rsidRDefault="00AC743D" w:rsidP="00AC743D">
            <w:pPr>
              <w:rPr>
                <w:rFonts w:ascii="Calibri" w:eastAsia="Times New Roman" w:hAnsi="Calibri" w:cs="Segoe UI"/>
                <w:sz w:val="20"/>
                <w:szCs w:val="20"/>
                <w:lang w:eastAsia="en-IE"/>
              </w:rPr>
            </w:pPr>
            <w:r w:rsidRPr="00DE334F">
              <w:rPr>
                <w:rFonts w:ascii="Calibri" w:eastAsia="Times New Roman" w:hAnsi="Calibri" w:cs="Segoe UI"/>
                <w:sz w:val="20"/>
                <w:szCs w:val="20"/>
                <w:lang w:eastAsia="en-IE"/>
              </w:rPr>
              <w:t>N/A</w:t>
            </w:r>
          </w:p>
        </w:tc>
        <w:tc>
          <w:tcPr>
            <w:tcW w:w="1084" w:type="dxa"/>
          </w:tcPr>
          <w:p w14:paraId="57E647B1" w14:textId="4433A3D9" w:rsidR="00AC743D" w:rsidRPr="00DE334F" w:rsidRDefault="00AC743D" w:rsidP="00AC743D">
            <w:pPr>
              <w:rPr>
                <w:rFonts w:ascii="Calibri" w:eastAsia="Times New Roman" w:hAnsi="Calibri" w:cs="Segoe UI"/>
                <w:sz w:val="20"/>
                <w:szCs w:val="20"/>
                <w:lang w:eastAsia="en-IE"/>
              </w:rPr>
            </w:pPr>
            <w:r w:rsidRPr="00DE334F">
              <w:rPr>
                <w:rFonts w:ascii="Calibri" w:eastAsia="Times New Roman" w:hAnsi="Calibri" w:cs="Segoe UI"/>
                <w:sz w:val="20"/>
                <w:szCs w:val="20"/>
                <w:lang w:eastAsia="en-IE"/>
              </w:rPr>
              <w:t>N/A</w:t>
            </w:r>
          </w:p>
        </w:tc>
        <w:tc>
          <w:tcPr>
            <w:tcW w:w="3924" w:type="dxa"/>
          </w:tcPr>
          <w:p w14:paraId="02CAF020" w14:textId="5D6929E0" w:rsidR="00AC743D" w:rsidRPr="001679E2" w:rsidRDefault="00AC743D" w:rsidP="00110323">
            <w:pPr>
              <w:autoSpaceDE w:val="0"/>
              <w:autoSpaceDN w:val="0"/>
              <w:adjustRightInd w:val="0"/>
              <w:rPr>
                <w:rFonts w:ascii="Calibri" w:eastAsia="Times New Roman" w:hAnsi="Calibri" w:cs="Segoe UI"/>
                <w:color w:val="444444"/>
                <w:sz w:val="20"/>
                <w:szCs w:val="20"/>
                <w:lang w:eastAsia="en-IE"/>
              </w:rPr>
            </w:pPr>
            <w:r w:rsidRPr="001679E2">
              <w:rPr>
                <w:rFonts w:ascii="Calibri" w:hAnsi="Calibri" w:cs="HelveticaNeue"/>
                <w:sz w:val="20"/>
                <w:szCs w:val="20"/>
              </w:rPr>
              <w:t>The VCI is self-financing. It is funded through income</w:t>
            </w:r>
            <w:r w:rsidR="00110323">
              <w:rPr>
                <w:rFonts w:ascii="Calibri" w:hAnsi="Calibri" w:cs="HelveticaNeue"/>
                <w:sz w:val="20"/>
                <w:szCs w:val="20"/>
              </w:rPr>
              <w:t xml:space="preserve"> </w:t>
            </w:r>
            <w:r w:rsidRPr="001679E2">
              <w:rPr>
                <w:rFonts w:ascii="Calibri" w:hAnsi="Calibri" w:cs="HelveticaNeue"/>
                <w:sz w:val="20"/>
                <w:szCs w:val="20"/>
              </w:rPr>
              <w:t>from registration fees and practice premises</w:t>
            </w:r>
            <w:r w:rsidR="00110323">
              <w:rPr>
                <w:rFonts w:ascii="Calibri" w:hAnsi="Calibri" w:cs="HelveticaNeue"/>
                <w:sz w:val="20"/>
                <w:szCs w:val="20"/>
              </w:rPr>
              <w:t xml:space="preserve"> </w:t>
            </w:r>
            <w:r w:rsidRPr="001679E2">
              <w:rPr>
                <w:rFonts w:ascii="Calibri" w:hAnsi="Calibri" w:cs="HelveticaNeue"/>
                <w:sz w:val="20"/>
                <w:szCs w:val="20"/>
              </w:rPr>
              <w:t>accreditation fees, which it sets in respect of</w:t>
            </w:r>
            <w:r w:rsidR="00110323">
              <w:rPr>
                <w:rFonts w:ascii="Calibri" w:hAnsi="Calibri" w:cs="HelveticaNeue"/>
                <w:sz w:val="20"/>
                <w:szCs w:val="20"/>
              </w:rPr>
              <w:t xml:space="preserve"> </w:t>
            </w:r>
            <w:r w:rsidRPr="001679E2">
              <w:rPr>
                <w:rFonts w:ascii="Calibri" w:hAnsi="Calibri" w:cs="HelveticaNeue"/>
                <w:sz w:val="20"/>
                <w:szCs w:val="20"/>
              </w:rPr>
              <w:t>veterinary practitioners, veterinary nurses and</w:t>
            </w:r>
            <w:r w:rsidR="00110323">
              <w:rPr>
                <w:rFonts w:ascii="Calibri" w:hAnsi="Calibri" w:cs="HelveticaNeue"/>
                <w:sz w:val="20"/>
                <w:szCs w:val="20"/>
              </w:rPr>
              <w:t xml:space="preserve"> </w:t>
            </w:r>
            <w:r w:rsidRPr="001679E2">
              <w:rPr>
                <w:rFonts w:ascii="Calibri" w:hAnsi="Calibri" w:cs="HelveticaNeue"/>
                <w:sz w:val="20"/>
                <w:szCs w:val="20"/>
              </w:rPr>
              <w:t>veterinary practice premises.</w:t>
            </w:r>
          </w:p>
        </w:tc>
      </w:tr>
      <w:tr w:rsidR="00AC743D" w:rsidRPr="00D33446" w14:paraId="539C64CF" w14:textId="27D00DD2" w:rsidTr="00AA6F2E">
        <w:tc>
          <w:tcPr>
            <w:tcW w:w="3227" w:type="dxa"/>
          </w:tcPr>
          <w:p w14:paraId="321F87A2" w14:textId="265AFB88" w:rsidR="00AC743D" w:rsidRPr="00697BB5" w:rsidRDefault="00AC743D" w:rsidP="0035677C">
            <w:pPr>
              <w:rPr>
                <w:rFonts w:ascii="Calibri" w:eastAsia="Calibri" w:hAnsi="Calibri" w:cs="Calibri"/>
                <w:sz w:val="20"/>
                <w:szCs w:val="20"/>
                <w:highlight w:val="yellow"/>
                <w:lang w:eastAsia="en-IE"/>
              </w:rPr>
            </w:pPr>
            <w:r w:rsidRPr="00697BB5">
              <w:rPr>
                <w:rFonts w:ascii="Calibri" w:hAnsi="Calibri" w:cs="Calibri"/>
                <w:color w:val="000000"/>
                <w:sz w:val="20"/>
                <w:szCs w:val="20"/>
              </w:rPr>
              <w:t>(Agri-Food Regulator) Board of An Rialálaí Agraibhia</w:t>
            </w:r>
          </w:p>
        </w:tc>
        <w:tc>
          <w:tcPr>
            <w:tcW w:w="1593" w:type="dxa"/>
            <w:vAlign w:val="bottom"/>
          </w:tcPr>
          <w:p w14:paraId="7EA323AB" w14:textId="70B450A8" w:rsidR="00AC743D" w:rsidRPr="00697BB5" w:rsidRDefault="00AC743D" w:rsidP="00AC743D">
            <w:pPr>
              <w:rPr>
                <w:rFonts w:ascii="Calibri" w:eastAsia="Times New Roman" w:hAnsi="Calibri" w:cs="Segoe UI"/>
                <w:sz w:val="20"/>
                <w:szCs w:val="20"/>
                <w:lang w:eastAsia="en-IE"/>
              </w:rPr>
            </w:pPr>
            <w:r>
              <w:rPr>
                <w:rFonts w:ascii="Calibri" w:eastAsia="Times New Roman" w:hAnsi="Calibri" w:cs="Segoe UI"/>
                <w:sz w:val="20"/>
                <w:szCs w:val="20"/>
                <w:lang w:eastAsia="en-IE"/>
              </w:rPr>
              <w:t>N/A</w:t>
            </w:r>
          </w:p>
        </w:tc>
        <w:tc>
          <w:tcPr>
            <w:tcW w:w="1796" w:type="dxa"/>
          </w:tcPr>
          <w:p w14:paraId="71FFF88F" w14:textId="6DBD1AC7" w:rsidR="00AC743D" w:rsidRPr="00697BB5" w:rsidRDefault="00DA3EB9" w:rsidP="00DA3EB9">
            <w:pPr>
              <w:rPr>
                <w:rFonts w:ascii="Calibri" w:eastAsia="Times New Roman" w:hAnsi="Calibri" w:cs="Segoe UI"/>
                <w:sz w:val="20"/>
                <w:szCs w:val="20"/>
                <w:lang w:eastAsia="en-IE"/>
              </w:rPr>
            </w:pPr>
            <w:r>
              <w:rPr>
                <w:rFonts w:ascii="Calibri" w:eastAsia="Times New Roman" w:hAnsi="Calibri" w:cs="Segoe UI"/>
                <w:sz w:val="20"/>
                <w:szCs w:val="20"/>
                <w:lang w:eastAsia="en-IE"/>
              </w:rPr>
              <w:t>N/A</w:t>
            </w:r>
          </w:p>
        </w:tc>
        <w:tc>
          <w:tcPr>
            <w:tcW w:w="1084" w:type="dxa"/>
          </w:tcPr>
          <w:p w14:paraId="71420C72" w14:textId="3E082156" w:rsidR="00AC743D" w:rsidRPr="00697BB5" w:rsidRDefault="00DA3EB9" w:rsidP="00AC743D">
            <w:pPr>
              <w:rPr>
                <w:rFonts w:ascii="Calibri" w:eastAsia="Times New Roman" w:hAnsi="Calibri" w:cs="Segoe UI"/>
                <w:sz w:val="20"/>
                <w:szCs w:val="20"/>
                <w:lang w:eastAsia="en-IE"/>
              </w:rPr>
            </w:pPr>
            <w:r>
              <w:rPr>
                <w:rFonts w:ascii="Calibri" w:eastAsia="Times New Roman" w:hAnsi="Calibri" w:cs="Segoe UI"/>
                <w:sz w:val="20"/>
                <w:szCs w:val="20"/>
                <w:lang w:eastAsia="en-IE"/>
              </w:rPr>
              <w:t>N/A</w:t>
            </w:r>
          </w:p>
        </w:tc>
        <w:tc>
          <w:tcPr>
            <w:tcW w:w="3924" w:type="dxa"/>
          </w:tcPr>
          <w:p w14:paraId="73AEFF96" w14:textId="7D59A54C" w:rsidR="00AC743D" w:rsidRPr="00697BB5" w:rsidRDefault="00AC743D" w:rsidP="00AC743D">
            <w:pPr>
              <w:rPr>
                <w:rFonts w:ascii="Calibri" w:eastAsia="Times New Roman" w:hAnsi="Calibri" w:cs="Segoe UI"/>
                <w:sz w:val="20"/>
                <w:szCs w:val="20"/>
                <w:lang w:eastAsia="en-IE"/>
              </w:rPr>
            </w:pPr>
            <w:r w:rsidRPr="00697BB5">
              <w:rPr>
                <w:rFonts w:ascii="Calibri" w:eastAsia="Times New Roman" w:hAnsi="Calibri" w:cs="Segoe UI"/>
                <w:sz w:val="20"/>
                <w:szCs w:val="20"/>
                <w:lang w:eastAsia="en-IE"/>
              </w:rPr>
              <w:t>Not applicable as ARA were only set up in December 2023</w:t>
            </w:r>
            <w:r>
              <w:rPr>
                <w:rFonts w:ascii="Calibri" w:eastAsia="Times New Roman" w:hAnsi="Calibri" w:cs="Segoe UI"/>
                <w:sz w:val="20"/>
                <w:szCs w:val="20"/>
                <w:lang w:eastAsia="en-IE"/>
              </w:rPr>
              <w:t>.</w:t>
            </w:r>
            <w:r w:rsidR="0035677C">
              <w:rPr>
                <w:rFonts w:ascii="Calibri" w:eastAsia="Times New Roman" w:hAnsi="Calibri" w:cs="Segoe UI"/>
                <w:sz w:val="20"/>
                <w:szCs w:val="20"/>
                <w:lang w:eastAsia="en-IE"/>
              </w:rPr>
              <w:t xml:space="preserve"> ARA </w:t>
            </w:r>
            <w:r w:rsidR="0035677C" w:rsidRPr="0035677C">
              <w:rPr>
                <w:rFonts w:ascii="Calibri" w:eastAsia="Times New Roman" w:hAnsi="Calibri" w:cs="Segoe UI"/>
                <w:sz w:val="20"/>
                <w:szCs w:val="20"/>
                <w:lang w:eastAsia="en-IE"/>
              </w:rPr>
              <w:t>are yet to receive direct funding from the exchequer. Staff are currently paid by DAF</w:t>
            </w:r>
            <w:r w:rsidR="0035677C">
              <w:rPr>
                <w:rFonts w:ascii="Calibri" w:eastAsia="Times New Roman" w:hAnsi="Calibri" w:cs="Segoe UI"/>
                <w:sz w:val="20"/>
                <w:szCs w:val="20"/>
                <w:lang w:eastAsia="en-IE"/>
              </w:rPr>
              <w:t>M.</w:t>
            </w:r>
          </w:p>
        </w:tc>
      </w:tr>
    </w:tbl>
    <w:p w14:paraId="37EDD77E" w14:textId="59812525" w:rsidR="00EA119D" w:rsidRPr="00D33446" w:rsidRDefault="00EA119D" w:rsidP="004D3C15">
      <w:pPr>
        <w:spacing w:after="0" w:line="240" w:lineRule="auto"/>
        <w:rPr>
          <w:rFonts w:ascii="Calibri" w:eastAsia="Times New Roman" w:hAnsi="Calibri" w:cs="Segoe UI"/>
          <w:color w:val="444444"/>
          <w:sz w:val="20"/>
          <w:szCs w:val="20"/>
          <w:lang w:eastAsia="en-IE"/>
        </w:rPr>
      </w:pPr>
    </w:p>
    <w:p w14:paraId="4A7ADBC0" w14:textId="664D3063" w:rsidR="00CF4ACD" w:rsidRDefault="00CF4ACD" w:rsidP="004D3C15">
      <w:pPr>
        <w:spacing w:after="0" w:line="240" w:lineRule="auto"/>
        <w:rPr>
          <w:rFonts w:ascii="Segoe UI" w:eastAsia="Times New Roman" w:hAnsi="Segoe UI" w:cs="Segoe UI"/>
          <w:color w:val="444444"/>
          <w:sz w:val="20"/>
          <w:szCs w:val="20"/>
          <w:lang w:eastAsia="en-IE"/>
        </w:rPr>
      </w:pPr>
    </w:p>
    <w:p w14:paraId="3A46256D" w14:textId="301689CF" w:rsidR="00CF4ACD" w:rsidRDefault="00CF4ACD" w:rsidP="004D3C15">
      <w:pPr>
        <w:spacing w:after="0" w:line="240" w:lineRule="auto"/>
        <w:rPr>
          <w:rFonts w:ascii="Segoe UI" w:eastAsia="Times New Roman" w:hAnsi="Segoe UI" w:cs="Segoe UI"/>
          <w:color w:val="444444"/>
          <w:sz w:val="20"/>
          <w:szCs w:val="20"/>
          <w:lang w:eastAsia="en-IE"/>
        </w:rPr>
      </w:pPr>
    </w:p>
    <w:p w14:paraId="6BB1A16A" w14:textId="188A49D5" w:rsidR="00CF4ACD" w:rsidRDefault="00CF4ACD" w:rsidP="004D3C15">
      <w:pPr>
        <w:spacing w:after="0" w:line="240" w:lineRule="auto"/>
        <w:rPr>
          <w:rFonts w:ascii="Segoe UI" w:eastAsia="Times New Roman" w:hAnsi="Segoe UI" w:cs="Segoe UI"/>
          <w:color w:val="444444"/>
          <w:sz w:val="20"/>
          <w:szCs w:val="20"/>
          <w:lang w:eastAsia="en-IE"/>
        </w:rPr>
      </w:pPr>
    </w:p>
    <w:p w14:paraId="31505B17" w14:textId="72C3557F" w:rsidR="002618ED" w:rsidRDefault="002618ED" w:rsidP="006A41F6">
      <w:pPr>
        <w:spacing w:after="0" w:line="240" w:lineRule="auto"/>
        <w:rPr>
          <w:rFonts w:ascii="Segoe UI" w:eastAsia="Times New Roman" w:hAnsi="Segoe UI" w:cs="Segoe UI"/>
          <w:color w:val="444444"/>
          <w:sz w:val="20"/>
          <w:szCs w:val="20"/>
          <w:lang w:eastAsia="en-IE"/>
        </w:rPr>
      </w:pPr>
    </w:p>
    <w:p w14:paraId="4AB3E8AA" w14:textId="72F1A197" w:rsidR="002618ED" w:rsidRDefault="002618ED" w:rsidP="006A41F6">
      <w:pPr>
        <w:spacing w:after="0" w:line="240" w:lineRule="auto"/>
        <w:rPr>
          <w:rFonts w:ascii="Segoe UI" w:eastAsia="Times New Roman" w:hAnsi="Segoe UI" w:cs="Segoe UI"/>
          <w:color w:val="444444"/>
          <w:sz w:val="20"/>
          <w:szCs w:val="20"/>
          <w:lang w:eastAsia="en-IE"/>
        </w:rPr>
      </w:pPr>
    </w:p>
    <w:p w14:paraId="3AD103E9" w14:textId="7F8FC467" w:rsidR="002618ED" w:rsidRDefault="002618ED" w:rsidP="006A41F6">
      <w:pPr>
        <w:spacing w:after="0" w:line="240" w:lineRule="auto"/>
        <w:rPr>
          <w:rFonts w:ascii="Segoe UI" w:eastAsia="Times New Roman" w:hAnsi="Segoe UI" w:cs="Segoe UI"/>
          <w:color w:val="444444"/>
          <w:sz w:val="20"/>
          <w:szCs w:val="20"/>
          <w:lang w:eastAsia="en-IE"/>
        </w:rPr>
      </w:pPr>
    </w:p>
    <w:p w14:paraId="496E9D8D" w14:textId="339F070F" w:rsidR="002618ED" w:rsidRDefault="002618ED" w:rsidP="006A41F6">
      <w:pPr>
        <w:spacing w:after="0" w:line="240" w:lineRule="auto"/>
        <w:rPr>
          <w:rFonts w:ascii="Segoe UI" w:eastAsia="Times New Roman" w:hAnsi="Segoe UI" w:cs="Segoe UI"/>
          <w:color w:val="444444"/>
          <w:sz w:val="20"/>
          <w:szCs w:val="20"/>
          <w:lang w:eastAsia="en-IE"/>
        </w:rPr>
      </w:pPr>
    </w:p>
    <w:p w14:paraId="76DEA64F" w14:textId="77777777" w:rsidR="002618ED" w:rsidRDefault="002618ED" w:rsidP="00B42BB0">
      <w:pPr>
        <w:spacing w:after="0" w:line="240" w:lineRule="auto"/>
        <w:rPr>
          <w:rFonts w:ascii="Segoe UI" w:eastAsia="Times New Roman" w:hAnsi="Segoe UI" w:cs="Segoe UI"/>
          <w:color w:val="444444"/>
          <w:sz w:val="20"/>
          <w:szCs w:val="20"/>
          <w:lang w:eastAsia="en-IE"/>
        </w:rPr>
      </w:pPr>
    </w:p>
    <w:sectPr w:rsidR="00261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04"/>
    <w:rsid w:val="000D06C7"/>
    <w:rsid w:val="000E3A56"/>
    <w:rsid w:val="000F22B2"/>
    <w:rsid w:val="000F7171"/>
    <w:rsid w:val="00110323"/>
    <w:rsid w:val="00132536"/>
    <w:rsid w:val="00166864"/>
    <w:rsid w:val="001679E2"/>
    <w:rsid w:val="001F7C4E"/>
    <w:rsid w:val="002012CE"/>
    <w:rsid w:val="002116F2"/>
    <w:rsid w:val="0022329B"/>
    <w:rsid w:val="00243F09"/>
    <w:rsid w:val="002618ED"/>
    <w:rsid w:val="00275D1B"/>
    <w:rsid w:val="00296CD3"/>
    <w:rsid w:val="002E0429"/>
    <w:rsid w:val="002E07E6"/>
    <w:rsid w:val="00323675"/>
    <w:rsid w:val="0035677C"/>
    <w:rsid w:val="003616A3"/>
    <w:rsid w:val="00373CF1"/>
    <w:rsid w:val="00384A23"/>
    <w:rsid w:val="00392A91"/>
    <w:rsid w:val="003A335D"/>
    <w:rsid w:val="003A346E"/>
    <w:rsid w:val="003B643F"/>
    <w:rsid w:val="003C0326"/>
    <w:rsid w:val="003C5295"/>
    <w:rsid w:val="00423FC3"/>
    <w:rsid w:val="004370DF"/>
    <w:rsid w:val="0045441B"/>
    <w:rsid w:val="004603D1"/>
    <w:rsid w:val="00462C2D"/>
    <w:rsid w:val="004729E8"/>
    <w:rsid w:val="00483375"/>
    <w:rsid w:val="00490EDE"/>
    <w:rsid w:val="004B49EE"/>
    <w:rsid w:val="004D3C15"/>
    <w:rsid w:val="004E2186"/>
    <w:rsid w:val="00527A9F"/>
    <w:rsid w:val="00545492"/>
    <w:rsid w:val="00545AF9"/>
    <w:rsid w:val="00574B5E"/>
    <w:rsid w:val="00577E86"/>
    <w:rsid w:val="005A1ED5"/>
    <w:rsid w:val="005F667D"/>
    <w:rsid w:val="006029B4"/>
    <w:rsid w:val="00620C44"/>
    <w:rsid w:val="00623B42"/>
    <w:rsid w:val="00626DFF"/>
    <w:rsid w:val="006844F8"/>
    <w:rsid w:val="00693342"/>
    <w:rsid w:val="00697BB5"/>
    <w:rsid w:val="006A233A"/>
    <w:rsid w:val="006A41F6"/>
    <w:rsid w:val="006A5F3C"/>
    <w:rsid w:val="006B19AB"/>
    <w:rsid w:val="006B72BC"/>
    <w:rsid w:val="006E4BED"/>
    <w:rsid w:val="00731764"/>
    <w:rsid w:val="00737A83"/>
    <w:rsid w:val="007541DA"/>
    <w:rsid w:val="007615D0"/>
    <w:rsid w:val="00762E92"/>
    <w:rsid w:val="0077791B"/>
    <w:rsid w:val="00780DB2"/>
    <w:rsid w:val="0079241E"/>
    <w:rsid w:val="00796178"/>
    <w:rsid w:val="007C243F"/>
    <w:rsid w:val="007C340E"/>
    <w:rsid w:val="007C7D77"/>
    <w:rsid w:val="007F280B"/>
    <w:rsid w:val="00844152"/>
    <w:rsid w:val="00867A36"/>
    <w:rsid w:val="00883204"/>
    <w:rsid w:val="008A7F95"/>
    <w:rsid w:val="008B6E0F"/>
    <w:rsid w:val="008C1D03"/>
    <w:rsid w:val="008E438E"/>
    <w:rsid w:val="0092069C"/>
    <w:rsid w:val="009227B2"/>
    <w:rsid w:val="00925CE3"/>
    <w:rsid w:val="00932045"/>
    <w:rsid w:val="009407F2"/>
    <w:rsid w:val="00950B01"/>
    <w:rsid w:val="0095173C"/>
    <w:rsid w:val="00973E92"/>
    <w:rsid w:val="009A2E9A"/>
    <w:rsid w:val="009E3D1B"/>
    <w:rsid w:val="00A11F54"/>
    <w:rsid w:val="00A31C0B"/>
    <w:rsid w:val="00A369BC"/>
    <w:rsid w:val="00A36B59"/>
    <w:rsid w:val="00A4692A"/>
    <w:rsid w:val="00A550E5"/>
    <w:rsid w:val="00A657F1"/>
    <w:rsid w:val="00A754D1"/>
    <w:rsid w:val="00A867A0"/>
    <w:rsid w:val="00A90D79"/>
    <w:rsid w:val="00AA6F2E"/>
    <w:rsid w:val="00AC743D"/>
    <w:rsid w:val="00AD7117"/>
    <w:rsid w:val="00B26476"/>
    <w:rsid w:val="00B30000"/>
    <w:rsid w:val="00B42BB0"/>
    <w:rsid w:val="00B70881"/>
    <w:rsid w:val="00BA1E60"/>
    <w:rsid w:val="00BA3B4C"/>
    <w:rsid w:val="00BC2DF9"/>
    <w:rsid w:val="00BD6C4E"/>
    <w:rsid w:val="00BE17BB"/>
    <w:rsid w:val="00BF51FD"/>
    <w:rsid w:val="00C2346B"/>
    <w:rsid w:val="00C2784C"/>
    <w:rsid w:val="00C352C6"/>
    <w:rsid w:val="00C4689C"/>
    <w:rsid w:val="00C75C40"/>
    <w:rsid w:val="00CB3A19"/>
    <w:rsid w:val="00CB7B42"/>
    <w:rsid w:val="00CE7526"/>
    <w:rsid w:val="00CF4ACD"/>
    <w:rsid w:val="00D06089"/>
    <w:rsid w:val="00D33446"/>
    <w:rsid w:val="00D36C69"/>
    <w:rsid w:val="00D44442"/>
    <w:rsid w:val="00D5200B"/>
    <w:rsid w:val="00D94744"/>
    <w:rsid w:val="00D95423"/>
    <w:rsid w:val="00D967BD"/>
    <w:rsid w:val="00DA3EB9"/>
    <w:rsid w:val="00DB7DE9"/>
    <w:rsid w:val="00DC3898"/>
    <w:rsid w:val="00DC4AB9"/>
    <w:rsid w:val="00DE334F"/>
    <w:rsid w:val="00DE3F9A"/>
    <w:rsid w:val="00E342CF"/>
    <w:rsid w:val="00E37129"/>
    <w:rsid w:val="00E4679D"/>
    <w:rsid w:val="00E55274"/>
    <w:rsid w:val="00E84DF2"/>
    <w:rsid w:val="00EA119D"/>
    <w:rsid w:val="00EB3F82"/>
    <w:rsid w:val="00EB6C59"/>
    <w:rsid w:val="00EC63AA"/>
    <w:rsid w:val="00F04F55"/>
    <w:rsid w:val="00F1001A"/>
    <w:rsid w:val="00F53D90"/>
    <w:rsid w:val="00F6719E"/>
    <w:rsid w:val="00F673AA"/>
    <w:rsid w:val="00F96289"/>
    <w:rsid w:val="00FA2C77"/>
    <w:rsid w:val="00FA41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C0FE"/>
  <w15:chartTrackingRefBased/>
  <w15:docId w15:val="{D61B603D-34A5-4399-81DD-A3B9D012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A19"/>
    <w:rPr>
      <w:color w:val="0000FF"/>
      <w:u w:val="single"/>
    </w:rPr>
  </w:style>
  <w:style w:type="character" w:styleId="UnresolvedMention">
    <w:name w:val="Unresolved Mention"/>
    <w:basedOn w:val="DefaultParagraphFont"/>
    <w:uiPriority w:val="99"/>
    <w:semiHidden/>
    <w:unhideWhenUsed/>
    <w:rsid w:val="00CB3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467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428">
          <w:marLeft w:val="-225"/>
          <w:marRight w:val="-225"/>
          <w:marTop w:val="0"/>
          <w:marBottom w:val="225"/>
          <w:divBdr>
            <w:top w:val="none" w:sz="0" w:space="0" w:color="auto"/>
            <w:left w:val="none" w:sz="0" w:space="0" w:color="auto"/>
            <w:bottom w:val="none" w:sz="0" w:space="0" w:color="auto"/>
            <w:right w:val="none" w:sz="0" w:space="0" w:color="auto"/>
          </w:divBdr>
          <w:divsChild>
            <w:div w:id="513153866">
              <w:marLeft w:val="-225"/>
              <w:marRight w:val="-225"/>
              <w:marTop w:val="0"/>
              <w:marBottom w:val="0"/>
              <w:divBdr>
                <w:top w:val="none" w:sz="0" w:space="0" w:color="auto"/>
                <w:left w:val="none" w:sz="0" w:space="0" w:color="auto"/>
                <w:bottom w:val="none" w:sz="0" w:space="0" w:color="auto"/>
                <w:right w:val="none" w:sz="0" w:space="0" w:color="auto"/>
              </w:divBdr>
            </w:div>
          </w:divsChild>
        </w:div>
        <w:div w:id="1966083036">
          <w:marLeft w:val="-225"/>
          <w:marRight w:val="-225"/>
          <w:marTop w:val="0"/>
          <w:marBottom w:val="225"/>
          <w:divBdr>
            <w:top w:val="none" w:sz="0" w:space="0" w:color="auto"/>
            <w:left w:val="none" w:sz="0" w:space="0" w:color="auto"/>
            <w:bottom w:val="none" w:sz="0" w:space="0" w:color="auto"/>
            <w:right w:val="none" w:sz="0" w:space="0" w:color="auto"/>
          </w:divBdr>
          <w:divsChild>
            <w:div w:id="1394965648">
              <w:marLeft w:val="-225"/>
              <w:marRight w:val="-225"/>
              <w:marTop w:val="0"/>
              <w:marBottom w:val="0"/>
              <w:divBdr>
                <w:top w:val="none" w:sz="0" w:space="0" w:color="auto"/>
                <w:left w:val="none" w:sz="0" w:space="0" w:color="auto"/>
                <w:bottom w:val="none" w:sz="0" w:space="0" w:color="auto"/>
                <w:right w:val="none" w:sz="0" w:space="0" w:color="auto"/>
              </w:divBdr>
            </w:div>
            <w:div w:id="1643193803">
              <w:marLeft w:val="-225"/>
              <w:marRight w:val="-225"/>
              <w:marTop w:val="0"/>
              <w:marBottom w:val="0"/>
              <w:divBdr>
                <w:top w:val="none" w:sz="0" w:space="0" w:color="auto"/>
                <w:left w:val="none" w:sz="0" w:space="0" w:color="auto"/>
                <w:bottom w:val="none" w:sz="0" w:space="0" w:color="auto"/>
                <w:right w:val="none" w:sz="0" w:space="0" w:color="auto"/>
              </w:divBdr>
              <w:divsChild>
                <w:div w:id="11977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9750">
      <w:bodyDiv w:val="1"/>
      <w:marLeft w:val="0"/>
      <w:marRight w:val="0"/>
      <w:marTop w:val="0"/>
      <w:marBottom w:val="0"/>
      <w:divBdr>
        <w:top w:val="none" w:sz="0" w:space="0" w:color="auto"/>
        <w:left w:val="none" w:sz="0" w:space="0" w:color="auto"/>
        <w:bottom w:val="none" w:sz="0" w:space="0" w:color="auto"/>
        <w:right w:val="none" w:sz="0" w:space="0" w:color="auto"/>
      </w:divBdr>
    </w:div>
    <w:div w:id="421028425">
      <w:bodyDiv w:val="1"/>
      <w:marLeft w:val="0"/>
      <w:marRight w:val="0"/>
      <w:marTop w:val="0"/>
      <w:marBottom w:val="0"/>
      <w:divBdr>
        <w:top w:val="none" w:sz="0" w:space="0" w:color="auto"/>
        <w:left w:val="none" w:sz="0" w:space="0" w:color="auto"/>
        <w:bottom w:val="none" w:sz="0" w:space="0" w:color="auto"/>
        <w:right w:val="none" w:sz="0" w:space="0" w:color="auto"/>
      </w:divBdr>
    </w:div>
    <w:div w:id="592932081">
      <w:bodyDiv w:val="1"/>
      <w:marLeft w:val="0"/>
      <w:marRight w:val="0"/>
      <w:marTop w:val="0"/>
      <w:marBottom w:val="0"/>
      <w:divBdr>
        <w:top w:val="none" w:sz="0" w:space="0" w:color="auto"/>
        <w:left w:val="none" w:sz="0" w:space="0" w:color="auto"/>
        <w:bottom w:val="none" w:sz="0" w:space="0" w:color="auto"/>
        <w:right w:val="none" w:sz="0" w:space="0" w:color="auto"/>
      </w:divBdr>
    </w:div>
    <w:div w:id="620041168">
      <w:bodyDiv w:val="1"/>
      <w:marLeft w:val="0"/>
      <w:marRight w:val="0"/>
      <w:marTop w:val="0"/>
      <w:marBottom w:val="0"/>
      <w:divBdr>
        <w:top w:val="none" w:sz="0" w:space="0" w:color="auto"/>
        <w:left w:val="none" w:sz="0" w:space="0" w:color="auto"/>
        <w:bottom w:val="none" w:sz="0" w:space="0" w:color="auto"/>
        <w:right w:val="none" w:sz="0" w:space="0" w:color="auto"/>
      </w:divBdr>
    </w:div>
    <w:div w:id="632447148">
      <w:bodyDiv w:val="1"/>
      <w:marLeft w:val="0"/>
      <w:marRight w:val="0"/>
      <w:marTop w:val="0"/>
      <w:marBottom w:val="0"/>
      <w:divBdr>
        <w:top w:val="none" w:sz="0" w:space="0" w:color="auto"/>
        <w:left w:val="none" w:sz="0" w:space="0" w:color="auto"/>
        <w:bottom w:val="none" w:sz="0" w:space="0" w:color="auto"/>
        <w:right w:val="none" w:sz="0" w:space="0" w:color="auto"/>
      </w:divBdr>
    </w:div>
    <w:div w:id="969626206">
      <w:bodyDiv w:val="1"/>
      <w:marLeft w:val="0"/>
      <w:marRight w:val="0"/>
      <w:marTop w:val="0"/>
      <w:marBottom w:val="0"/>
      <w:divBdr>
        <w:top w:val="none" w:sz="0" w:space="0" w:color="auto"/>
        <w:left w:val="none" w:sz="0" w:space="0" w:color="auto"/>
        <w:bottom w:val="none" w:sz="0" w:space="0" w:color="auto"/>
        <w:right w:val="none" w:sz="0" w:space="0" w:color="auto"/>
      </w:divBdr>
    </w:div>
    <w:div w:id="1098259454">
      <w:bodyDiv w:val="1"/>
      <w:marLeft w:val="0"/>
      <w:marRight w:val="0"/>
      <w:marTop w:val="0"/>
      <w:marBottom w:val="0"/>
      <w:divBdr>
        <w:top w:val="none" w:sz="0" w:space="0" w:color="auto"/>
        <w:left w:val="none" w:sz="0" w:space="0" w:color="auto"/>
        <w:bottom w:val="none" w:sz="0" w:space="0" w:color="auto"/>
        <w:right w:val="none" w:sz="0" w:space="0" w:color="auto"/>
      </w:divBdr>
    </w:div>
    <w:div w:id="1136489374">
      <w:bodyDiv w:val="1"/>
      <w:marLeft w:val="0"/>
      <w:marRight w:val="0"/>
      <w:marTop w:val="0"/>
      <w:marBottom w:val="0"/>
      <w:divBdr>
        <w:top w:val="none" w:sz="0" w:space="0" w:color="auto"/>
        <w:left w:val="none" w:sz="0" w:space="0" w:color="auto"/>
        <w:bottom w:val="none" w:sz="0" w:space="0" w:color="auto"/>
        <w:right w:val="none" w:sz="0" w:space="0" w:color="auto"/>
      </w:divBdr>
    </w:div>
    <w:div w:id="1218006643">
      <w:bodyDiv w:val="1"/>
      <w:marLeft w:val="0"/>
      <w:marRight w:val="0"/>
      <w:marTop w:val="0"/>
      <w:marBottom w:val="0"/>
      <w:divBdr>
        <w:top w:val="none" w:sz="0" w:space="0" w:color="auto"/>
        <w:left w:val="none" w:sz="0" w:space="0" w:color="auto"/>
        <w:bottom w:val="none" w:sz="0" w:space="0" w:color="auto"/>
        <w:right w:val="none" w:sz="0" w:space="0" w:color="auto"/>
      </w:divBdr>
    </w:div>
    <w:div w:id="1241138191">
      <w:bodyDiv w:val="1"/>
      <w:marLeft w:val="0"/>
      <w:marRight w:val="0"/>
      <w:marTop w:val="0"/>
      <w:marBottom w:val="0"/>
      <w:divBdr>
        <w:top w:val="none" w:sz="0" w:space="0" w:color="auto"/>
        <w:left w:val="none" w:sz="0" w:space="0" w:color="auto"/>
        <w:bottom w:val="none" w:sz="0" w:space="0" w:color="auto"/>
        <w:right w:val="none" w:sz="0" w:space="0" w:color="auto"/>
      </w:divBdr>
    </w:div>
    <w:div w:id="1431123627">
      <w:bodyDiv w:val="1"/>
      <w:marLeft w:val="0"/>
      <w:marRight w:val="0"/>
      <w:marTop w:val="0"/>
      <w:marBottom w:val="0"/>
      <w:divBdr>
        <w:top w:val="none" w:sz="0" w:space="0" w:color="auto"/>
        <w:left w:val="none" w:sz="0" w:space="0" w:color="auto"/>
        <w:bottom w:val="none" w:sz="0" w:space="0" w:color="auto"/>
        <w:right w:val="none" w:sz="0" w:space="0" w:color="auto"/>
      </w:divBdr>
    </w:div>
    <w:div w:id="1493326002">
      <w:bodyDiv w:val="1"/>
      <w:marLeft w:val="0"/>
      <w:marRight w:val="0"/>
      <w:marTop w:val="0"/>
      <w:marBottom w:val="0"/>
      <w:divBdr>
        <w:top w:val="none" w:sz="0" w:space="0" w:color="auto"/>
        <w:left w:val="none" w:sz="0" w:space="0" w:color="auto"/>
        <w:bottom w:val="none" w:sz="0" w:space="0" w:color="auto"/>
        <w:right w:val="none" w:sz="0" w:space="0" w:color="auto"/>
      </w:divBdr>
      <w:divsChild>
        <w:div w:id="558517329">
          <w:marLeft w:val="-225"/>
          <w:marRight w:val="-225"/>
          <w:marTop w:val="0"/>
          <w:marBottom w:val="225"/>
          <w:divBdr>
            <w:top w:val="none" w:sz="0" w:space="0" w:color="auto"/>
            <w:left w:val="none" w:sz="0" w:space="0" w:color="auto"/>
            <w:bottom w:val="none" w:sz="0" w:space="0" w:color="auto"/>
            <w:right w:val="none" w:sz="0" w:space="0" w:color="auto"/>
          </w:divBdr>
          <w:divsChild>
            <w:div w:id="1628196497">
              <w:marLeft w:val="-225"/>
              <w:marRight w:val="-225"/>
              <w:marTop w:val="0"/>
              <w:marBottom w:val="0"/>
              <w:divBdr>
                <w:top w:val="none" w:sz="0" w:space="0" w:color="auto"/>
                <w:left w:val="none" w:sz="0" w:space="0" w:color="auto"/>
                <w:bottom w:val="none" w:sz="0" w:space="0" w:color="auto"/>
                <w:right w:val="none" w:sz="0" w:space="0" w:color="auto"/>
              </w:divBdr>
            </w:div>
          </w:divsChild>
        </w:div>
        <w:div w:id="2140802778">
          <w:marLeft w:val="-225"/>
          <w:marRight w:val="-225"/>
          <w:marTop w:val="0"/>
          <w:marBottom w:val="225"/>
          <w:divBdr>
            <w:top w:val="none" w:sz="0" w:space="0" w:color="auto"/>
            <w:left w:val="none" w:sz="0" w:space="0" w:color="auto"/>
            <w:bottom w:val="none" w:sz="0" w:space="0" w:color="auto"/>
            <w:right w:val="none" w:sz="0" w:space="0" w:color="auto"/>
          </w:divBdr>
          <w:divsChild>
            <w:div w:id="1453788835">
              <w:marLeft w:val="-225"/>
              <w:marRight w:val="-225"/>
              <w:marTop w:val="0"/>
              <w:marBottom w:val="0"/>
              <w:divBdr>
                <w:top w:val="none" w:sz="0" w:space="0" w:color="auto"/>
                <w:left w:val="none" w:sz="0" w:space="0" w:color="auto"/>
                <w:bottom w:val="none" w:sz="0" w:space="0" w:color="auto"/>
                <w:right w:val="none" w:sz="0" w:space="0" w:color="auto"/>
              </w:divBdr>
            </w:div>
            <w:div w:id="665203372">
              <w:marLeft w:val="-225"/>
              <w:marRight w:val="-225"/>
              <w:marTop w:val="0"/>
              <w:marBottom w:val="0"/>
              <w:divBdr>
                <w:top w:val="none" w:sz="0" w:space="0" w:color="auto"/>
                <w:left w:val="none" w:sz="0" w:space="0" w:color="auto"/>
                <w:bottom w:val="none" w:sz="0" w:space="0" w:color="auto"/>
                <w:right w:val="none" w:sz="0" w:space="0" w:color="auto"/>
              </w:divBdr>
              <w:divsChild>
                <w:div w:id="3478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9400">
      <w:bodyDiv w:val="1"/>
      <w:marLeft w:val="0"/>
      <w:marRight w:val="0"/>
      <w:marTop w:val="0"/>
      <w:marBottom w:val="0"/>
      <w:divBdr>
        <w:top w:val="none" w:sz="0" w:space="0" w:color="auto"/>
        <w:left w:val="none" w:sz="0" w:space="0" w:color="auto"/>
        <w:bottom w:val="none" w:sz="0" w:space="0" w:color="auto"/>
        <w:right w:val="none" w:sz="0" w:space="0" w:color="auto"/>
      </w:divBdr>
    </w:div>
    <w:div w:id="1670865587">
      <w:bodyDiv w:val="1"/>
      <w:marLeft w:val="0"/>
      <w:marRight w:val="0"/>
      <w:marTop w:val="0"/>
      <w:marBottom w:val="0"/>
      <w:divBdr>
        <w:top w:val="none" w:sz="0" w:space="0" w:color="auto"/>
        <w:left w:val="none" w:sz="0" w:space="0" w:color="auto"/>
        <w:bottom w:val="none" w:sz="0" w:space="0" w:color="auto"/>
        <w:right w:val="none" w:sz="0" w:space="0" w:color="auto"/>
      </w:divBdr>
      <w:divsChild>
        <w:div w:id="1425295770">
          <w:marLeft w:val="-225"/>
          <w:marRight w:val="-225"/>
          <w:marTop w:val="0"/>
          <w:marBottom w:val="225"/>
          <w:divBdr>
            <w:top w:val="none" w:sz="0" w:space="0" w:color="auto"/>
            <w:left w:val="none" w:sz="0" w:space="0" w:color="auto"/>
            <w:bottom w:val="none" w:sz="0" w:space="0" w:color="auto"/>
            <w:right w:val="none" w:sz="0" w:space="0" w:color="auto"/>
          </w:divBdr>
          <w:divsChild>
            <w:div w:id="1097486180">
              <w:marLeft w:val="-225"/>
              <w:marRight w:val="-225"/>
              <w:marTop w:val="0"/>
              <w:marBottom w:val="0"/>
              <w:divBdr>
                <w:top w:val="none" w:sz="0" w:space="0" w:color="auto"/>
                <w:left w:val="none" w:sz="0" w:space="0" w:color="auto"/>
                <w:bottom w:val="none" w:sz="0" w:space="0" w:color="auto"/>
                <w:right w:val="none" w:sz="0" w:space="0" w:color="auto"/>
              </w:divBdr>
            </w:div>
          </w:divsChild>
        </w:div>
        <w:div w:id="45380572">
          <w:marLeft w:val="-225"/>
          <w:marRight w:val="-225"/>
          <w:marTop w:val="0"/>
          <w:marBottom w:val="225"/>
          <w:divBdr>
            <w:top w:val="none" w:sz="0" w:space="0" w:color="auto"/>
            <w:left w:val="none" w:sz="0" w:space="0" w:color="auto"/>
            <w:bottom w:val="none" w:sz="0" w:space="0" w:color="auto"/>
            <w:right w:val="none" w:sz="0" w:space="0" w:color="auto"/>
          </w:divBdr>
          <w:divsChild>
            <w:div w:id="825896853">
              <w:marLeft w:val="-225"/>
              <w:marRight w:val="-225"/>
              <w:marTop w:val="0"/>
              <w:marBottom w:val="0"/>
              <w:divBdr>
                <w:top w:val="none" w:sz="0" w:space="0" w:color="auto"/>
                <w:left w:val="none" w:sz="0" w:space="0" w:color="auto"/>
                <w:bottom w:val="none" w:sz="0" w:space="0" w:color="auto"/>
                <w:right w:val="none" w:sz="0" w:space="0" w:color="auto"/>
              </w:divBdr>
            </w:div>
            <w:div w:id="110708217">
              <w:marLeft w:val="-225"/>
              <w:marRight w:val="-225"/>
              <w:marTop w:val="0"/>
              <w:marBottom w:val="0"/>
              <w:divBdr>
                <w:top w:val="none" w:sz="0" w:space="0" w:color="auto"/>
                <w:left w:val="none" w:sz="0" w:space="0" w:color="auto"/>
                <w:bottom w:val="none" w:sz="0" w:space="0" w:color="auto"/>
                <w:right w:val="none" w:sz="0" w:space="0" w:color="auto"/>
              </w:divBdr>
              <w:divsChild>
                <w:div w:id="20765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69249">
      <w:bodyDiv w:val="1"/>
      <w:marLeft w:val="0"/>
      <w:marRight w:val="0"/>
      <w:marTop w:val="0"/>
      <w:marBottom w:val="0"/>
      <w:divBdr>
        <w:top w:val="none" w:sz="0" w:space="0" w:color="auto"/>
        <w:left w:val="none" w:sz="0" w:space="0" w:color="auto"/>
        <w:bottom w:val="none" w:sz="0" w:space="0" w:color="auto"/>
        <w:right w:val="none" w:sz="0" w:space="0" w:color="auto"/>
      </w:divBdr>
    </w:div>
    <w:div w:id="20875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2C51E906CF149BA74368D7ED75A4A" ma:contentTypeVersion="0" ma:contentTypeDescription="Create a new document." ma:contentTypeScope="" ma:versionID="58ce9356acacf423f8f20629833b80e4">
  <xsd:schema xmlns:xsd="http://www.w3.org/2001/XMLSchema" xmlns:xs="http://www.w3.org/2001/XMLSchema" xmlns:p="http://schemas.microsoft.com/office/2006/metadata/properties" targetNamespace="http://schemas.microsoft.com/office/2006/metadata/properties" ma:root="true" ma:fieldsID="4ebd769b93a75cdd8e21464729170a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73B89FF5BAB73A408949CB48D7B3C80B" ma:contentTypeVersion="33" ma:contentTypeDescription="Create a new document for eDocs" ma:contentTypeScope="" ma:versionID="0d38ac98ea9291822df9b5c358468d9c">
  <xsd:schema xmlns:xsd="http://www.w3.org/2001/XMLSchema" xmlns:xs="http://www.w3.org/2001/XMLSchema" xmlns:p="http://schemas.microsoft.com/office/2006/metadata/properties" xmlns:ns1="http://schemas.microsoft.com/sharepoint/v3" xmlns:ns2="6cda7157-b006-4546-9d96-6135828dc075" xmlns:ns3="8749b351-9c76-4091-86b1-fb17ca257c03" targetNamespace="http://schemas.microsoft.com/office/2006/metadata/properties" ma:root="true" ma:fieldsID="3cf06f1169a55382a7b3c150835a10a8" ns1:_="" ns2:_="" ns3:_="">
    <xsd:import namespace="http://schemas.microsoft.com/sharepoint/v3"/>
    <xsd:import namespace="6cda7157-b006-4546-9d96-6135828dc075"/>
    <xsd:import namespace="8749b351-9c76-4091-86b1-fb17ca257c0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cda7157-b006-4546-9d96-6135828dc07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638719e2-a8dd-41e9-a1c8-eaacd362d94e" ma:termSetId="cec398a8-3bb9-4bdc-82e7-4c8ade02372c"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638719e2-a8dd-41e9-a1c8-eaacd362d94e" ma:termSetId="cec398a8-3bb9-4bdc-82e7-4c8ade02372c"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5;#Public|a1b4c7cd-a7b1-492f-a832-d2897b8288db"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49b351-9c76-4091-86b1-fb17ca257c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a0b41f-0cb4-4fd8-b8aa-23bfc3c761a9}" ma:internalName="TaxCatchAll" ma:showField="CatchAllData" ma:web="8749b351-9c76-4091-86b1-fb17ca257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4921C-E0C4-4DEA-B31A-6F92597C8198}">
  <ds:schemaRefs>
    <ds:schemaRef ds:uri="http://schemas.microsoft.com/sharepoint/v3/contenttype/forms"/>
  </ds:schemaRefs>
</ds:datastoreItem>
</file>

<file path=customXml/itemProps2.xml><?xml version="1.0" encoding="utf-8"?>
<ds:datastoreItem xmlns:ds="http://schemas.openxmlformats.org/officeDocument/2006/customXml" ds:itemID="{C36163DC-C4D6-4948-9E09-B9D7241109F9}">
  <ds:schemaRefs>
    <ds:schemaRef ds:uri="http://purl.org/dc/elements/1.1/"/>
    <ds:schemaRef ds:uri="8749b351-9c76-4091-86b1-fb17ca257c03"/>
    <ds:schemaRef ds:uri="6cda7157-b006-4546-9d96-6135828dc075"/>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BB0191EF-814B-4131-8483-4A47CE1A675B}"/>
</file>

<file path=customXml/itemProps4.xml><?xml version="1.0" encoding="utf-8"?>
<ds:datastoreItem xmlns:ds="http://schemas.openxmlformats.org/officeDocument/2006/customXml" ds:itemID="{6058614C-FB2E-4B17-97F1-A2A5435DD495}">
  <ds:schemaRefs>
    <ds:schemaRef ds:uri="http://schemas.microsoft.com/sharepoint/events"/>
  </ds:schemaRefs>
</ds:datastoreItem>
</file>

<file path=customXml/itemProps5.xml><?xml version="1.0" encoding="utf-8"?>
<ds:datastoreItem xmlns:ds="http://schemas.openxmlformats.org/officeDocument/2006/customXml" ds:itemID="{C378E08B-13D8-43BC-A139-DF14076B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da7157-b006-4546-9d96-6135828dc075"/>
    <ds:schemaRef ds:uri="8749b351-9c76-4091-86b1-fb17ca257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Breege</dc:creator>
  <cp:keywords/>
  <dc:description/>
  <cp:lastModifiedBy>Izabelle, Gaelle</cp:lastModifiedBy>
  <cp:revision>9</cp:revision>
  <dcterms:created xsi:type="dcterms:W3CDTF">2024-07-02T14:50:00Z</dcterms:created>
  <dcterms:modified xsi:type="dcterms:W3CDTF">2024-07-02T14:57:00Z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0x010100AFA2C51E906CF149BA74368D7ED75A4A</vt:lpwstr>
  </property>
  <property fmtid="{D5CDD505-2E9C-101B-9397-08002B2CF9AE}" pid="3" name="eDocs_Year">
    <vt:lpwstr>32;#2023|5521725d-3283-473c-88ba-74eed55e6478</vt:lpwstr>
  </property>
  <property fmtid="{D5CDD505-2E9C-101B-9397-08002B2CF9AE}" pid="4" name="eDocs_SeriesSubSeries">
    <vt:lpwstr>3;#001|33c99d2d-8a1f-4f1b-b7ef-572962565bdb</vt:lpwstr>
  </property>
  <property fmtid="{D5CDD505-2E9C-101B-9397-08002B2CF9AE}" pid="5" name="eDocs_FileTopics">
    <vt:lpwstr>13;#Administration|2a70bc68-c293-40d3-9f4b-d244cf61f82e</vt:lpwstr>
  </property>
  <property fmtid="{D5CDD505-2E9C-101B-9397-08002B2CF9AE}" pid="6" name="eDocs_DocumentTopics">
    <vt:lpwstr/>
  </property>
  <property fmtid="{D5CDD505-2E9C-101B-9397-08002B2CF9AE}" pid="7" name="_dlc_policyId">
    <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08/21/2021 23:12:22</vt:lpwstr>
  </property>
  <property fmtid="{D5CDD505-2E9C-101B-9397-08002B2CF9AE}" pid="11" name="eDocs_SecurityClassificationTaxHTField0">
    <vt:lpwstr>Public|a1b4c7cd-a7b1-492f-a832-d2897b8288db</vt:lpwstr>
  </property>
  <property fmtid="{D5CDD505-2E9C-101B-9397-08002B2CF9AE}" pid="12" name="eDocs_SecurityClassification">
    <vt:lpwstr>5;#Public|a1b4c7cd-a7b1-492f-a832-d2897b8288db</vt:lpwstr>
  </property>
</Properties>
</file>