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041A79" w:rsidRPr="009D5DFF" w:rsidTr="00C85D0F">
        <w:trPr>
          <w:trHeight w:hRule="exact" w:val="1418"/>
        </w:trPr>
        <w:tc>
          <w:tcPr>
            <w:tcW w:w="6804" w:type="dxa"/>
            <w:shd w:val="clear" w:color="auto" w:fill="auto"/>
            <w:vAlign w:val="center"/>
          </w:tcPr>
          <w:p w:rsidR="00041A79" w:rsidRPr="009D5DFF" w:rsidRDefault="00C50479" w:rsidP="00C85D0F">
            <w:pPr>
              <w:pStyle w:val="EPName"/>
            </w:pPr>
            <w:r w:rsidRPr="009D5DFF">
              <w:t>European Parliament</w:t>
            </w:r>
          </w:p>
          <w:p w:rsidR="00041A79" w:rsidRPr="009D5DFF" w:rsidRDefault="004A560F" w:rsidP="004A560F">
            <w:pPr>
              <w:pStyle w:val="EPTerm"/>
            </w:pPr>
            <w:r w:rsidRPr="009D5DFF">
              <w:t>2024-2029</w:t>
            </w:r>
          </w:p>
        </w:tc>
        <w:tc>
          <w:tcPr>
            <w:tcW w:w="2268" w:type="dxa"/>
            <w:shd w:val="clear" w:color="auto" w:fill="auto"/>
          </w:tcPr>
          <w:p w:rsidR="00041A79" w:rsidRPr="009D5DFF" w:rsidRDefault="00041A79" w:rsidP="00C85D0F">
            <w:pPr>
              <w:pStyle w:val="EPLogo"/>
            </w:pPr>
            <w:r w:rsidRPr="009D5DFF">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F64B87" w:rsidRPr="009D5DFF" w:rsidRDefault="00F64B87" w:rsidP="00F64B87">
      <w:pPr>
        <w:pStyle w:val="LineTop"/>
      </w:pPr>
    </w:p>
    <w:p w:rsidR="00F64B87" w:rsidRPr="009D5DFF" w:rsidRDefault="00F64B87" w:rsidP="00F64B87">
      <w:pPr>
        <w:pStyle w:val="EPBody"/>
      </w:pPr>
      <w:r w:rsidRPr="009D5DFF">
        <w:rPr>
          <w:rStyle w:val="HideTWBExt"/>
        </w:rPr>
        <w:t>&lt;</w:t>
      </w:r>
      <w:r w:rsidRPr="009D5DFF">
        <w:rPr>
          <w:rStyle w:val="HideTWBExt"/>
          <w:i w:val="0"/>
        </w:rPr>
        <w:t>Commission&gt;</w:t>
      </w:r>
      <w:r w:rsidR="004A560F" w:rsidRPr="009D5DFF">
        <w:rPr>
          <w:rStyle w:val="HideTWBInt"/>
        </w:rPr>
        <w:t>{ENVI}</w:t>
      </w:r>
      <w:r w:rsidR="004A560F" w:rsidRPr="009D5DFF">
        <w:t>Committee on the Environment, Public Health and Food Safety</w:t>
      </w:r>
      <w:r w:rsidRPr="009D5DFF">
        <w:rPr>
          <w:rStyle w:val="HideTWBExt"/>
        </w:rPr>
        <w:t>&lt;/</w:t>
      </w:r>
      <w:r w:rsidRPr="009D5DFF">
        <w:rPr>
          <w:rStyle w:val="HideTWBExt"/>
          <w:i w:val="0"/>
        </w:rPr>
        <w:t>Commission</w:t>
      </w:r>
      <w:r w:rsidRPr="009D5DFF">
        <w:rPr>
          <w:rStyle w:val="HideTWBExt"/>
        </w:rPr>
        <w:t>&gt;</w:t>
      </w:r>
    </w:p>
    <w:p w:rsidR="001173AC" w:rsidRPr="009D5DFF" w:rsidRDefault="001173AC" w:rsidP="001173AC">
      <w:pPr>
        <w:pStyle w:val="LineBottom"/>
      </w:pPr>
    </w:p>
    <w:p w:rsidR="00EA74BF" w:rsidRPr="009D5DFF" w:rsidRDefault="004A560F" w:rsidP="001173AC">
      <w:pPr>
        <w:pStyle w:val="HeadingReferenceOJPV"/>
      </w:pPr>
      <w:r w:rsidRPr="009D5DFF">
        <w:t>ENVI</w:t>
      </w:r>
      <w:r w:rsidR="00EA74BF" w:rsidRPr="009D5DFF">
        <w:t>_</w:t>
      </w:r>
      <w:r w:rsidR="00C50479" w:rsidRPr="009D5DFF">
        <w:t>PV</w:t>
      </w:r>
      <w:r w:rsidRPr="009D5DFF">
        <w:t>(2024)0923</w:t>
      </w:r>
    </w:p>
    <w:p w:rsidR="00EA74BF" w:rsidRPr="009D5DFF" w:rsidRDefault="00C50479" w:rsidP="001173AC">
      <w:pPr>
        <w:pStyle w:val="HeadingDocType24a"/>
      </w:pPr>
      <w:r w:rsidRPr="009D5DFF">
        <w:t>MINUTES</w:t>
      </w:r>
    </w:p>
    <w:p w:rsidR="00EA74BF" w:rsidRPr="009D5DFF" w:rsidRDefault="00C50479" w:rsidP="001173AC">
      <w:pPr>
        <w:pStyle w:val="HeadingCenter12a"/>
      </w:pPr>
      <w:r w:rsidRPr="009D5DFF">
        <w:t xml:space="preserve">Meeting of </w:t>
      </w:r>
      <w:r w:rsidR="004A560F" w:rsidRPr="009D5DFF">
        <w:t>23 September 2024, 14.45-18.30</w:t>
      </w:r>
    </w:p>
    <w:p w:rsidR="00EA74BF" w:rsidRPr="009D5DFF" w:rsidRDefault="002301D4" w:rsidP="001173AC">
      <w:pPr>
        <w:pStyle w:val="HeadingCenter12a"/>
      </w:pPr>
      <w:r w:rsidRPr="009D5DFF">
        <w:t>BRUSSELS</w:t>
      </w:r>
    </w:p>
    <w:p w:rsidR="00EA74BF" w:rsidRPr="009D5DFF" w:rsidRDefault="00C50479" w:rsidP="001173AC">
      <w:pPr>
        <w:pStyle w:val="MeetingIntro"/>
      </w:pPr>
      <w:r w:rsidRPr="009D5DFF">
        <w:t xml:space="preserve">The meeting opened on </w:t>
      </w:r>
      <w:r w:rsidR="002301D4" w:rsidRPr="009D5DFF">
        <w:t>Monday 23 September 2024</w:t>
      </w:r>
      <w:r w:rsidRPr="009D5DFF">
        <w:t xml:space="preserve"> at </w:t>
      </w:r>
      <w:r w:rsidR="005E2FCD" w:rsidRPr="009D5DFF">
        <w:t>14.5</w:t>
      </w:r>
      <w:r w:rsidR="00044E57" w:rsidRPr="009D5DFF">
        <w:t>1</w:t>
      </w:r>
      <w:r w:rsidRPr="009D5DFF">
        <w:t xml:space="preserve">, with </w:t>
      </w:r>
      <w:r w:rsidR="005E2FCD" w:rsidRPr="009D5DFF">
        <w:t>Antonio Decaro (Chair)</w:t>
      </w:r>
      <w:r w:rsidRPr="009D5DFF">
        <w:t xml:space="preserve"> presiding.</w:t>
      </w:r>
    </w:p>
    <w:p w:rsidR="005E2FCD" w:rsidRPr="009D5DFF" w:rsidRDefault="005E2FCD" w:rsidP="005E2FCD">
      <w:pPr>
        <w:spacing w:before="240"/>
        <w:ind w:left="708" w:hanging="708"/>
      </w:pPr>
      <w:r w:rsidRPr="009D5DFF">
        <w:rPr>
          <w:b/>
          <w:bCs/>
        </w:rPr>
        <w:t>1.</w:t>
      </w:r>
      <w:r w:rsidRPr="009D5DFF">
        <w:tab/>
      </w:r>
      <w:r w:rsidRPr="009D5DFF">
        <w:rPr>
          <w:b/>
          <w:bCs/>
        </w:rPr>
        <w:t>Adoption of agenda</w:t>
      </w:r>
    </w:p>
    <w:tbl>
      <w:tblPr>
        <w:tblW w:w="8542"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7102"/>
      </w:tblGrid>
      <w:tr w:rsidR="005E2FCD" w:rsidRPr="009D5DFF" w:rsidTr="005E45C9">
        <w:trPr>
          <w:cantSplit/>
          <w:jc w:val="right"/>
        </w:trPr>
        <w:tc>
          <w:tcPr>
            <w:tcW w:w="1440" w:type="dxa"/>
            <w:tcBorders>
              <w:top w:val="nil"/>
              <w:left w:val="nil"/>
              <w:bottom w:val="nil"/>
              <w:right w:val="nil"/>
            </w:tcBorders>
            <w:shd w:val="clear" w:color="auto" w:fill="FFFFFF"/>
          </w:tcPr>
          <w:p w:rsidR="005E2FCD" w:rsidRPr="009D5DFF" w:rsidRDefault="007C72E8" w:rsidP="007C72E8">
            <w:pPr>
              <w:spacing w:before="120" w:after="240"/>
              <w:ind w:left="142"/>
            </w:pPr>
            <w:r w:rsidRPr="009D5DFF">
              <w:rPr>
                <w:b/>
                <w:bCs/>
              </w:rPr>
              <w:t xml:space="preserve"> </w:t>
            </w:r>
            <w:r w:rsidR="005E2FCD" w:rsidRPr="009D5DFF">
              <w:rPr>
                <w:b/>
                <w:bCs/>
              </w:rPr>
              <w:t>Decision:</w:t>
            </w:r>
          </w:p>
        </w:tc>
        <w:tc>
          <w:tcPr>
            <w:tcW w:w="7101" w:type="dxa"/>
            <w:tcBorders>
              <w:top w:val="nil"/>
              <w:left w:val="nil"/>
              <w:bottom w:val="nil"/>
              <w:right w:val="nil"/>
            </w:tcBorders>
            <w:shd w:val="clear" w:color="auto" w:fill="FFFFFF"/>
          </w:tcPr>
          <w:p w:rsidR="005E2FCD" w:rsidRPr="009D5DFF" w:rsidRDefault="005E2FCD" w:rsidP="005E45C9">
            <w:pPr>
              <w:spacing w:before="120" w:after="240"/>
            </w:pPr>
            <w:r w:rsidRPr="009D5DFF">
              <w:t>The draft agenda was adopted in the form shown in these minutes.</w:t>
            </w:r>
          </w:p>
        </w:tc>
      </w:tr>
    </w:tbl>
    <w:p w:rsidR="005E2FCD" w:rsidRPr="009D5DFF" w:rsidRDefault="005E2FCD" w:rsidP="007C72E8">
      <w:pPr>
        <w:spacing w:before="240" w:after="120"/>
        <w:ind w:left="709" w:hanging="709"/>
      </w:pPr>
      <w:r w:rsidRPr="009D5DFF">
        <w:rPr>
          <w:b/>
          <w:bCs/>
        </w:rPr>
        <w:t>2.</w:t>
      </w:r>
      <w:r w:rsidRPr="009D5DFF">
        <w:tab/>
      </w:r>
      <w:r w:rsidRPr="009D5DFF">
        <w:rPr>
          <w:b/>
          <w:bCs/>
        </w:rPr>
        <w:t>Chair’s announcements</w:t>
      </w:r>
    </w:p>
    <w:p w:rsidR="00B569D4" w:rsidRPr="009D5DFF" w:rsidRDefault="00B569D4" w:rsidP="007C72E8">
      <w:pPr>
        <w:spacing w:after="120"/>
        <w:ind w:left="567" w:firstLine="142"/>
        <w:textAlignment w:val="baseline"/>
        <w:rPr>
          <w:lang w:eastAsia="en-GB"/>
        </w:rPr>
      </w:pPr>
      <w:r w:rsidRPr="009D5DFF">
        <w:rPr>
          <w:lang w:eastAsia="en-GB"/>
        </w:rPr>
        <w:t>The Chair ma</w:t>
      </w:r>
      <w:r w:rsidR="007C72E8" w:rsidRPr="009D5DFF">
        <w:rPr>
          <w:lang w:eastAsia="en-GB"/>
        </w:rPr>
        <w:t>de the following announcements:</w:t>
      </w:r>
    </w:p>
    <w:p w:rsidR="00B569D4" w:rsidRPr="009D5DFF" w:rsidRDefault="009D5DFF" w:rsidP="009D5DFF">
      <w:pPr>
        <w:snapToGrid w:val="0"/>
        <w:spacing w:after="120"/>
        <w:ind w:left="1134" w:hanging="360"/>
        <w:textAlignment w:val="baseline"/>
        <w:rPr>
          <w:b/>
          <w:bCs/>
          <w:lang w:eastAsia="en-GB"/>
        </w:rPr>
      </w:pPr>
      <w:r w:rsidRPr="009D5DFF">
        <w:rPr>
          <w:rFonts w:ascii="Symbol" w:hAnsi="Symbol"/>
          <w:bCs/>
          <w:lang w:eastAsia="en-GB"/>
        </w:rPr>
        <w:t></w:t>
      </w:r>
      <w:r w:rsidRPr="009D5DFF">
        <w:rPr>
          <w:rFonts w:ascii="Symbol" w:hAnsi="Symbol"/>
          <w:bCs/>
          <w:lang w:eastAsia="en-GB"/>
        </w:rPr>
        <w:tab/>
      </w:r>
      <w:r w:rsidR="007C72E8" w:rsidRPr="009D5DFF">
        <w:rPr>
          <w:b/>
          <w:bCs/>
          <w:lang w:eastAsia="en-GB"/>
        </w:rPr>
        <w:t>Interpretation status</w:t>
      </w:r>
    </w:p>
    <w:p w:rsidR="00B569D4" w:rsidRPr="009D5DFF" w:rsidRDefault="00B569D4" w:rsidP="007C72E8">
      <w:pPr>
        <w:spacing w:after="120"/>
        <w:ind w:left="567" w:firstLine="142"/>
        <w:textAlignment w:val="baseline"/>
        <w:rPr>
          <w:lang w:eastAsia="en-GB"/>
        </w:rPr>
      </w:pPr>
      <w:r w:rsidRPr="009D5DFF">
        <w:rPr>
          <w:lang w:eastAsia="en-GB"/>
        </w:rPr>
        <w:t xml:space="preserve">The Chair informed that interpretation was available in 21 languages </w:t>
      </w:r>
    </w:p>
    <w:p w:rsidR="00B569D4" w:rsidRPr="009D5DFF" w:rsidRDefault="009D5DFF" w:rsidP="009D5DFF">
      <w:pPr>
        <w:snapToGrid w:val="0"/>
        <w:spacing w:after="120"/>
        <w:ind w:left="1134" w:hanging="360"/>
        <w:textAlignment w:val="baseline"/>
        <w:rPr>
          <w:b/>
          <w:bCs/>
          <w:lang w:eastAsia="en-GB"/>
        </w:rPr>
      </w:pPr>
      <w:r w:rsidRPr="009D5DFF">
        <w:rPr>
          <w:rFonts w:ascii="Symbol" w:hAnsi="Symbol"/>
          <w:bCs/>
          <w:lang w:eastAsia="en-GB"/>
        </w:rPr>
        <w:t></w:t>
      </w:r>
      <w:r w:rsidRPr="009D5DFF">
        <w:rPr>
          <w:rFonts w:ascii="Symbol" w:hAnsi="Symbol"/>
          <w:bCs/>
          <w:lang w:eastAsia="en-GB"/>
        </w:rPr>
        <w:tab/>
      </w:r>
      <w:r w:rsidR="00B569D4" w:rsidRPr="009D5DFF">
        <w:rPr>
          <w:b/>
          <w:bCs/>
          <w:lang w:eastAsia="en-GB"/>
        </w:rPr>
        <w:t>Electronic meeting file/Webstreaming</w:t>
      </w:r>
    </w:p>
    <w:p w:rsidR="00B569D4" w:rsidRPr="009D5DFF" w:rsidRDefault="00B569D4" w:rsidP="007C72E8">
      <w:pPr>
        <w:spacing w:after="120"/>
        <w:ind w:left="709"/>
        <w:textAlignment w:val="baseline"/>
        <w:rPr>
          <w:lang w:eastAsia="en-GB"/>
        </w:rPr>
      </w:pPr>
      <w:r w:rsidRPr="009D5DFF">
        <w:rPr>
          <w:lang w:eastAsia="en-GB"/>
        </w:rPr>
        <w:t>The Chair informed that, as usual, the meeting file was available electronically via the e-meeting application and the meeting would be webstreamed.</w:t>
      </w:r>
    </w:p>
    <w:p w:rsidR="005E2FCD" w:rsidRPr="009D5DFF" w:rsidRDefault="005E2FCD" w:rsidP="005E2FCD">
      <w:pPr>
        <w:spacing w:before="240"/>
      </w:pPr>
      <w:r w:rsidRPr="009D5DFF">
        <w:rPr>
          <w:b/>
          <w:bCs/>
          <w:i/>
          <w:iCs/>
        </w:rPr>
        <w:t>Presentation of the Council Presidency’s programme</w:t>
      </w:r>
    </w:p>
    <w:p w:rsidR="005E2FCD" w:rsidRPr="009D5DFF" w:rsidRDefault="005E2FCD" w:rsidP="005E2FCD">
      <w:pPr>
        <w:spacing w:before="240"/>
        <w:ind w:left="708" w:hanging="708"/>
      </w:pPr>
      <w:r w:rsidRPr="009D5DFF">
        <w:rPr>
          <w:b/>
          <w:bCs/>
        </w:rPr>
        <w:t>3.</w:t>
      </w:r>
      <w:r w:rsidRPr="009D5DFF">
        <w:tab/>
      </w:r>
      <w:r w:rsidRPr="009D5DFF">
        <w:rPr>
          <w:b/>
          <w:bCs/>
        </w:rPr>
        <w:t xml:space="preserve">Exchange of views with Dr Anikó Raisz, Secretary of State for Environmental </w:t>
      </w:r>
      <w:r w:rsidRPr="009D5DFF">
        <w:rPr>
          <w:b/>
          <w:bCs/>
        </w:rPr>
        <w:lastRenderedPageBreak/>
        <w:t>Affairs and Circular Economy, Ministry of Energy, Hungarian Council Presidency</w:t>
      </w:r>
    </w:p>
    <w:p w:rsidR="00044E57" w:rsidRPr="009D5DFF" w:rsidRDefault="00044E57" w:rsidP="007C72E8">
      <w:pPr>
        <w:spacing w:before="240"/>
        <w:ind w:left="1843" w:hanging="1135"/>
        <w:rPr>
          <w:bCs/>
        </w:rPr>
      </w:pPr>
      <w:r w:rsidRPr="009D5DFF">
        <w:rPr>
          <w:b/>
          <w:bCs/>
          <w:i/>
        </w:rPr>
        <w:t>Speakers:</w:t>
      </w:r>
      <w:r w:rsidRPr="009D5DFF">
        <w:rPr>
          <w:b/>
          <w:bCs/>
        </w:rPr>
        <w:tab/>
      </w:r>
      <w:r w:rsidRPr="009D5DFF">
        <w:rPr>
          <w:bCs/>
        </w:rPr>
        <w:t>Dr Anikó Raisz (Secretary of State for Environmental Affairs and Circular Economy, Hungarian Council Presidency), Esther Herranz García, Alessandra Moretti, Anne</w:t>
      </w:r>
      <w:r w:rsidRPr="009D5DFF">
        <w:rPr>
          <w:bCs/>
        </w:rPr>
        <w:noBreakHyphen/>
        <w:t>Sophie Frigout, Beatrice Timgren, Pascal Canfin, Jutta Paulus, Jonas Sjöstedt, Gabriella Gerzsenyi, Thomas Bajada, Sander Smit, Paolo Inselvini, Sigrid Friis, Vytenis Povilas Andriukaitis, Martin Häusling, Milan Zver, Sebastian Everding, Kateřina Konečná, Oliver Schenk, Annamária Vicsek, Gerben</w:t>
      </w:r>
      <w:r w:rsidRPr="009D5DFF">
        <w:rPr>
          <w:bCs/>
        </w:rPr>
        <w:noBreakHyphen/>
        <w:t>Jan Gerbrandy, Stine Bosse, Lena Schilling, Pär Holmgren, Alexandr Vondra</w:t>
      </w:r>
    </w:p>
    <w:p w:rsidR="005E2FCD" w:rsidRPr="009D5DFF" w:rsidRDefault="005E2FCD" w:rsidP="005E2FCD">
      <w:pPr>
        <w:spacing w:before="240"/>
        <w:ind w:left="708" w:hanging="708"/>
      </w:pPr>
      <w:r w:rsidRPr="009D5DFF">
        <w:rPr>
          <w:b/>
          <w:bCs/>
        </w:rPr>
        <w:t>4.</w:t>
      </w:r>
      <w:r w:rsidRPr="009D5DFF">
        <w:tab/>
      </w:r>
      <w:r w:rsidRPr="009D5DFF">
        <w:rPr>
          <w:b/>
          <w:bCs/>
        </w:rPr>
        <w:t>Exchange of views with Dr Péter Takács, Secretary of State for Health, Ministry of the Interior, Hungarian Council Presidency</w:t>
      </w:r>
    </w:p>
    <w:p w:rsidR="00044E57" w:rsidRPr="009D5DFF" w:rsidRDefault="00044E57" w:rsidP="007C72E8">
      <w:pPr>
        <w:spacing w:before="240"/>
        <w:ind w:left="1843" w:hanging="1135"/>
        <w:rPr>
          <w:bCs/>
        </w:rPr>
      </w:pPr>
      <w:r w:rsidRPr="009D5DFF">
        <w:rPr>
          <w:b/>
          <w:bCs/>
          <w:i/>
        </w:rPr>
        <w:t>Speakers:</w:t>
      </w:r>
      <w:r w:rsidRPr="009D5DFF">
        <w:rPr>
          <w:b/>
          <w:bCs/>
        </w:rPr>
        <w:tab/>
      </w:r>
      <w:r w:rsidRPr="009D5DFF">
        <w:rPr>
          <w:bCs/>
        </w:rPr>
        <w:t>Dr Peter Takács (Secretary of State for Health, Hungarian Council Presidency), András Tivadar Kulja, Vytenis Povilas Andriukaitis, Margarita de la Pisa Carrión, Alexandr Vondra, Vlad Vasile</w:t>
      </w:r>
      <w:r w:rsidRPr="009D5DFF">
        <w:rPr>
          <w:bCs/>
        </w:rPr>
        <w:noBreakHyphen/>
        <w:t>Voiculescu, Tilly Metz, Jonas Sjöstedt, Anja Arndt, Oliver Schenk, Nicolás González Casares, Stine Bosse, Alessandra Moretti, Sebastian Everding, Ondřej Dostál, Kateřina Konečná, Majdouline Sbai</w:t>
      </w:r>
    </w:p>
    <w:p w:rsidR="005E2FCD" w:rsidRPr="009D5DFF" w:rsidRDefault="005E2FCD" w:rsidP="005E2FCD">
      <w:pPr>
        <w:spacing w:before="240"/>
        <w:ind w:left="708" w:hanging="708"/>
        <w:rPr>
          <w:b/>
          <w:bCs/>
        </w:rPr>
      </w:pPr>
      <w:r w:rsidRPr="009D5DFF">
        <w:rPr>
          <w:b/>
          <w:bCs/>
        </w:rPr>
        <w:t>5.</w:t>
      </w:r>
      <w:r w:rsidRPr="009D5DFF">
        <w:tab/>
      </w:r>
      <w:r w:rsidRPr="009D5DFF">
        <w:rPr>
          <w:b/>
          <w:bCs/>
        </w:rPr>
        <w:t>Any other business</w:t>
      </w:r>
    </w:p>
    <w:p w:rsidR="005E2FCD" w:rsidRPr="009D5DFF" w:rsidRDefault="005E2FCD" w:rsidP="005E2FCD">
      <w:pPr>
        <w:spacing w:before="240"/>
        <w:ind w:left="708" w:hanging="141"/>
      </w:pPr>
      <w:r w:rsidRPr="009D5DFF">
        <w:rPr>
          <w:bCs/>
        </w:rPr>
        <w:t>None</w:t>
      </w:r>
    </w:p>
    <w:p w:rsidR="005E2FCD" w:rsidRPr="009D5DFF" w:rsidRDefault="005E2FCD" w:rsidP="005E2FCD">
      <w:pPr>
        <w:spacing w:before="240"/>
        <w:ind w:left="708" w:hanging="708"/>
      </w:pPr>
      <w:r w:rsidRPr="009D5DFF">
        <w:rPr>
          <w:b/>
          <w:bCs/>
        </w:rPr>
        <w:t>6.</w:t>
      </w:r>
      <w:r w:rsidRPr="009D5DFF">
        <w:tab/>
      </w:r>
      <w:r w:rsidRPr="009D5DFF">
        <w:rPr>
          <w:b/>
          <w:bCs/>
        </w:rPr>
        <w:t>Date of next meeting</w:t>
      </w:r>
    </w:p>
    <w:p w:rsidR="005E2FCD" w:rsidRPr="009D5DFF" w:rsidRDefault="009D5DFF" w:rsidP="009D5DFF">
      <w:pPr>
        <w:tabs>
          <w:tab w:val="left" w:pos="1100"/>
          <w:tab w:val="right" w:pos="9200"/>
        </w:tabs>
        <w:autoSpaceDE w:val="0"/>
        <w:autoSpaceDN w:val="0"/>
        <w:adjustRightInd w:val="0"/>
        <w:ind w:left="1100" w:hanging="400"/>
      </w:pPr>
      <w:r w:rsidRPr="009D5DFF">
        <w:rPr>
          <w:rFonts w:ascii="Symbol" w:hAnsi="Symbol"/>
        </w:rPr>
        <w:t></w:t>
      </w:r>
      <w:r w:rsidRPr="009D5DFF">
        <w:rPr>
          <w:rFonts w:ascii="Symbol" w:hAnsi="Symbol"/>
        </w:rPr>
        <w:tab/>
      </w:r>
      <w:r w:rsidR="005E2FCD" w:rsidRPr="009D5DFF">
        <w:t>3 October 2024 (Brussels)</w:t>
      </w:r>
    </w:p>
    <w:p w:rsidR="005E2FCD" w:rsidRPr="009D5DFF" w:rsidRDefault="005E2FCD" w:rsidP="005E2FCD">
      <w:pPr>
        <w:spacing w:before="240"/>
      </w:pPr>
      <w:r w:rsidRPr="009D5DFF">
        <w:rPr>
          <w:b/>
          <w:bCs/>
          <w:i/>
          <w:iCs/>
        </w:rPr>
        <w:t>*** In camera ***</w:t>
      </w:r>
    </w:p>
    <w:p w:rsidR="005E2FCD" w:rsidRPr="009D5DFF" w:rsidRDefault="005E2FCD" w:rsidP="005E2FCD">
      <w:pPr>
        <w:spacing w:before="240"/>
        <w:ind w:left="708" w:hanging="708"/>
      </w:pPr>
      <w:r w:rsidRPr="009D5DFF">
        <w:rPr>
          <w:b/>
          <w:bCs/>
        </w:rPr>
        <w:t>7.</w:t>
      </w:r>
      <w:r w:rsidRPr="009D5DFF">
        <w:tab/>
      </w:r>
      <w:r w:rsidRPr="009D5DFF">
        <w:rPr>
          <w:b/>
          <w:bCs/>
        </w:rPr>
        <w:t>Coordinators’ meeting</w:t>
      </w:r>
    </w:p>
    <w:p w:rsidR="00EA74BF" w:rsidRPr="009D5DFF" w:rsidRDefault="00EA74BF">
      <w:pPr>
        <w:tabs>
          <w:tab w:val="left" w:pos="-1057"/>
          <w:tab w:val="left" w:pos="-720"/>
          <w:tab w:val="left" w:pos="0"/>
          <w:tab w:val="left" w:pos="720"/>
          <w:tab w:val="left" w:pos="2154"/>
          <w:tab w:val="left" w:pos="2880"/>
        </w:tabs>
      </w:pPr>
    </w:p>
    <w:p w:rsidR="00D45997" w:rsidRPr="009D5DFF" w:rsidRDefault="005E2FCD" w:rsidP="00F4356E">
      <w:r w:rsidRPr="009D5DFF">
        <w:t xml:space="preserve">The meeting closed at </w:t>
      </w:r>
      <w:r w:rsidR="00044E57" w:rsidRPr="009D5DFF">
        <w:t>17.48.</w:t>
      </w:r>
    </w:p>
    <w:p w:rsidR="00250F5D" w:rsidRPr="009D5DFF" w:rsidRDefault="00250F5D" w:rsidP="00F4356E"/>
    <w:p w:rsidR="00CA70CB" w:rsidRPr="009D5DFF" w:rsidRDefault="00CA70CB">
      <w:pPr>
        <w:tabs>
          <w:tab w:val="left" w:pos="-1057"/>
          <w:tab w:val="left" w:pos="-720"/>
          <w:tab w:val="left" w:pos="0"/>
          <w:tab w:val="left" w:pos="720"/>
          <w:tab w:val="left" w:pos="2154"/>
          <w:tab w:val="left" w:pos="2880"/>
        </w:tabs>
        <w:sectPr w:rsidR="00CA70CB" w:rsidRPr="009D5DFF" w:rsidSect="00650AF2">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134" w:right="1418" w:bottom="1418" w:left="1418" w:header="1134" w:footer="567" w:gutter="0"/>
          <w:cols w:space="720"/>
          <w:titlePg/>
          <w:docGrid w:linePitch="326"/>
        </w:sectPr>
      </w:pPr>
    </w:p>
    <w:p w:rsidR="008452E8" w:rsidRPr="009D5DFF" w:rsidRDefault="00CC6E1E" w:rsidP="00E2660A">
      <w:pPr>
        <w:pStyle w:val="AttendancePVTitle"/>
      </w:pPr>
      <w:r w:rsidRPr="009D5DFF">
        <w:lastRenderedPageBreak/>
        <w:t>ПРИСЪСТВЕН ЛИСТ/LISTA DE ASISTENCIA/PREZENČNÍ LISTINA/DELTAGERLISTE/ ANWESENHEITSLISTE/KOHALOLIJATE NIMEKIRI/ΚΑΤΑΣΤΑΣΗ ΠΑΡΟΝΤΩΝ/RECORD OF ATTENDANCE/</w:t>
      </w:r>
      <w:r w:rsidR="00405A95" w:rsidRPr="009D5DFF">
        <w:t xml:space="preserve"> </w:t>
      </w:r>
      <w:r w:rsidRPr="009D5DFF">
        <w:t>LISTE DE PRÉSENCE/</w:t>
      </w:r>
      <w:r w:rsidR="00405A95" w:rsidRPr="009D5DFF">
        <w:t>POPIS NAZOČNIH/</w:t>
      </w:r>
      <w:r w:rsidRPr="009D5DFF">
        <w:t>ELENCO DI PRESENZA/APMEKLĒJUMU REĢISTRS/DALYVIŲ SĄRAŠAS/</w:t>
      </w:r>
      <w:r w:rsidR="00405A95" w:rsidRPr="009D5DFF">
        <w:t xml:space="preserve"> </w:t>
      </w:r>
      <w:r w:rsidRPr="009D5DFF">
        <w:t>JELENLÉTI ÍV</w:t>
      </w:r>
      <w:r w:rsidR="0082592C" w:rsidRPr="009D5DFF">
        <w:t>/</w:t>
      </w:r>
      <w:r w:rsidRPr="009D5DFF">
        <w:t>REĠISTRU TA' ATTENDENZA/PRESENTIELIJST/LISTA OBECNOŚCI/LISTA DE PRESENÇAS/</w:t>
      </w:r>
      <w:r w:rsidR="00405A95" w:rsidRPr="009D5DFF">
        <w:t xml:space="preserve"> </w:t>
      </w:r>
      <w:r w:rsidRPr="009D5DFF">
        <w:t>LISTĂ</w:t>
      </w:r>
      <w:r w:rsidR="00405A95" w:rsidRPr="009D5DFF">
        <w:t> DE </w:t>
      </w:r>
      <w:r w:rsidRPr="009D5DFF">
        <w:t>PREZENŢĂ/PREZENČNÁ LISTINA/SEZNAM NAVZOČIH/LÄSNÄOLOLISTA/</w:t>
      </w:r>
      <w:r w:rsidR="009408CB" w:rsidRPr="009D5DFF">
        <w:t>NÄRVAROLISTA</w:t>
      </w:r>
    </w:p>
    <w:tbl>
      <w:tblPr>
        <w:tblW w:w="0" w:type="auto"/>
        <w:tblInd w:w="153" w:type="dxa"/>
        <w:tblBorders>
          <w:top w:val="double" w:sz="2" w:space="0" w:color="000000"/>
          <w:left w:val="double" w:sz="2" w:space="0" w:color="000000"/>
          <w:bottom w:val="double" w:sz="2" w:space="0" w:color="000000"/>
          <w:right w:val="double" w:sz="2" w:space="0" w:color="000000"/>
          <w:insideH w:val="single" w:sz="2" w:space="0" w:color="auto"/>
          <w:insideV w:val="single" w:sz="4" w:space="0" w:color="auto"/>
        </w:tblBorders>
        <w:tblLayout w:type="fixed"/>
        <w:tblCellMar>
          <w:left w:w="153" w:type="dxa"/>
          <w:right w:w="153" w:type="dxa"/>
        </w:tblCellMar>
        <w:tblLook w:val="0000" w:firstRow="0" w:lastRow="0" w:firstColumn="0" w:lastColumn="0" w:noHBand="0" w:noVBand="0"/>
      </w:tblPr>
      <w:tblGrid>
        <w:gridCol w:w="9072"/>
      </w:tblGrid>
      <w:tr w:rsidR="008452E8" w:rsidRPr="009D5DFF">
        <w:trPr>
          <w:cantSplit/>
        </w:trPr>
        <w:tc>
          <w:tcPr>
            <w:tcW w:w="9072" w:type="dxa"/>
            <w:shd w:val="pct10" w:color="000000" w:fill="FFFFFF"/>
          </w:tcPr>
          <w:p w:rsidR="008452E8" w:rsidRPr="009D5DFF" w:rsidRDefault="00CC6E1E" w:rsidP="00AD4CEB">
            <w:pPr>
              <w:pStyle w:val="AttendancePVTable"/>
            </w:pPr>
            <w:r w:rsidRPr="009D5DFF">
              <w:t>Бюро/Mesa/Předsednictvo/Formandskabet/Vorstand/Juhatus/Προεδρείο/Bureau/Predsjedništvo/Ufficio di presidenza/Prezidijs/ Biuras/Elnökség</w:t>
            </w:r>
            <w:r w:rsidR="0082592C" w:rsidRPr="009D5DFF">
              <w:t>/</w:t>
            </w:r>
            <w:r w:rsidRPr="009D5DFF">
              <w:t>Prezydium/Birou/Predsedníctvo/Predsedstvo/Puheenjohtajisto/Presidiet (*)</w:t>
            </w:r>
          </w:p>
        </w:tc>
      </w:tr>
      <w:tr w:rsidR="008452E8" w:rsidRPr="009D5DFF">
        <w:trPr>
          <w:cantSplit/>
          <w:trHeight w:val="720"/>
        </w:trPr>
        <w:tc>
          <w:tcPr>
            <w:tcW w:w="9072" w:type="dxa"/>
            <w:shd w:val="clear" w:color="000000" w:fill="FFFFFF"/>
          </w:tcPr>
          <w:p w:rsidR="008452E8" w:rsidRPr="009D5DFF" w:rsidRDefault="00517A78" w:rsidP="00AD4CEB">
            <w:pPr>
              <w:pStyle w:val="AttendancePVTable"/>
            </w:pPr>
            <w:r w:rsidRPr="009D5DFF">
              <w:t>Antonio Decaro (P), Esther Herranz García (VP), András Tivadar Kulja (VP)</w:t>
            </w:r>
          </w:p>
        </w:tc>
      </w:tr>
      <w:tr w:rsidR="008452E8" w:rsidRPr="009D5DFF">
        <w:trPr>
          <w:cantSplit/>
        </w:trPr>
        <w:tc>
          <w:tcPr>
            <w:tcW w:w="9072" w:type="dxa"/>
            <w:shd w:val="pct10" w:color="000000" w:fill="FFFFFF"/>
          </w:tcPr>
          <w:p w:rsidR="008452E8" w:rsidRPr="009D5DFF" w:rsidRDefault="00CC6E1E" w:rsidP="00AD4CEB">
            <w:pPr>
              <w:pStyle w:val="AttendancePVTable"/>
            </w:pPr>
            <w:r w:rsidRPr="009D5DFF">
              <w:t>Членове/Diputados/Poslanci/Medlemmer/Mitglieder/Parlamendiliikmed/</w:t>
            </w:r>
            <w:r w:rsidR="005E6C44" w:rsidRPr="009D5DFF">
              <w:t>Βουλευτές</w:t>
            </w:r>
            <w:r w:rsidRPr="009D5DFF">
              <w:t>/Members/Députés/</w:t>
            </w:r>
            <w:r w:rsidR="007A3289" w:rsidRPr="009D5DFF">
              <w:t>Zastupnici/</w:t>
            </w:r>
            <w:r w:rsidRPr="009D5DFF">
              <w:t>Deputati/Deputāti/</w:t>
            </w:r>
            <w:r w:rsidR="00C82F5B" w:rsidRPr="009D5DFF">
              <w:t xml:space="preserve"> </w:t>
            </w:r>
            <w:r w:rsidRPr="009D5DFF">
              <w:t>Nariai/Képviselõk</w:t>
            </w:r>
            <w:r w:rsidR="0082592C" w:rsidRPr="009D5DFF">
              <w:t>/</w:t>
            </w:r>
            <w:r w:rsidRPr="009D5DFF">
              <w:t>Membri/Leden/Posłowie/Deputados/Deputaţi/Jäsenet/Ledamöter</w:t>
            </w:r>
          </w:p>
        </w:tc>
      </w:tr>
      <w:tr w:rsidR="008452E8" w:rsidRPr="009D5DFF">
        <w:trPr>
          <w:cantSplit/>
          <w:trHeight w:val="1200"/>
        </w:trPr>
        <w:tc>
          <w:tcPr>
            <w:tcW w:w="9072" w:type="dxa"/>
            <w:shd w:val="clear" w:color="000000" w:fill="FFFFFF"/>
          </w:tcPr>
          <w:p w:rsidR="008452E8" w:rsidRPr="009D5DFF" w:rsidRDefault="00517A78" w:rsidP="00AD4CEB">
            <w:pPr>
              <w:pStyle w:val="AttendancePVTable"/>
            </w:pPr>
            <w:r w:rsidRPr="009D5DFF">
              <w:t>Grégory Allione, Vytenis Povilas Andriukaitis, Pascal Arimont, Sakis Arnaoutoglou, Anja Arndt, Thomas Bajada, Stine Bosse, Pascal Canfin, Ondřej Dostál, Anne</w:t>
            </w:r>
            <w:r w:rsidRPr="009D5DFF">
              <w:noBreakHyphen/>
              <w:t>Sophie Frigout, Gerben</w:t>
            </w:r>
            <w:r w:rsidRPr="009D5DFF">
              <w:noBreakHyphen/>
              <w:t>Jan Gerbrandy, Pär Holmgren, Tilly Metz, Alessandra Moretti, Jana Nagyová, Jutta Paulus, Silvia Sardone, Majdouline Sbai, Oliver Schenk, Lena Schilling, Jonas Sjöstedt, Sander Smit, Susana Solís Pérez, Ingeborg Ter Laak, Beatrice Timgren, Dimitris Tsiodras, Ana Vasconcelos, Alexandr Vondra, Milan Zver</w:t>
            </w:r>
          </w:p>
        </w:tc>
      </w:tr>
      <w:tr w:rsidR="008452E8" w:rsidRPr="009D5DFF">
        <w:trPr>
          <w:cantSplit/>
        </w:trPr>
        <w:tc>
          <w:tcPr>
            <w:tcW w:w="9072" w:type="dxa"/>
            <w:shd w:val="pct10" w:color="000000" w:fill="FFFFFF"/>
          </w:tcPr>
          <w:p w:rsidR="008452E8" w:rsidRPr="009D5DFF" w:rsidRDefault="00CC6E1E" w:rsidP="00AD4CEB">
            <w:pPr>
              <w:pStyle w:val="AttendancePVTable"/>
            </w:pPr>
            <w:r w:rsidRPr="009D5DFF">
              <w:t>Заместници/Suplentes/Náhradníci/Stedfortrædere/Stellvertreter/Asendusliikmed/Αναπληρωτές/Substitutes/Suppléants</w:t>
            </w:r>
            <w:r w:rsidR="007A3289" w:rsidRPr="009D5DFF">
              <w:t>/Zamjenici</w:t>
            </w:r>
            <w:r w:rsidRPr="009D5DFF">
              <w:t>/ Supplenti/Aizstājēji/Pavaduojantysnariai/Póttagok/Sostituti/Plaatsvervangers/Zastępcy/Membros suplentes/Supleanţi/Náhradníci/ Namestniki/Varajäsenet/Suppleanter</w:t>
            </w:r>
          </w:p>
        </w:tc>
      </w:tr>
      <w:tr w:rsidR="008452E8" w:rsidRPr="009D5DFF">
        <w:trPr>
          <w:cantSplit/>
          <w:trHeight w:val="1200"/>
        </w:trPr>
        <w:tc>
          <w:tcPr>
            <w:tcW w:w="9072" w:type="dxa"/>
            <w:shd w:val="clear" w:color="000000" w:fill="FFFFFF"/>
          </w:tcPr>
          <w:p w:rsidR="008452E8" w:rsidRPr="009D5DFF" w:rsidRDefault="00517A78" w:rsidP="00AD4CEB">
            <w:pPr>
              <w:pStyle w:val="AttendancePVTable"/>
            </w:pPr>
            <w:r w:rsidRPr="009D5DFF">
              <w:t>Marie</w:t>
            </w:r>
            <w:r w:rsidRPr="009D5DFF">
              <w:noBreakHyphen/>
              <w:t>Luce Brasier</w:t>
            </w:r>
            <w:r w:rsidRPr="009D5DFF">
              <w:noBreakHyphen/>
              <w:t>Clain, Valérie Deloge, Sebastian Everding, Sigrid Friis, Geadis Geadi, Gabriella Gerzsenyi, Nicolás González Casares, Martin Häusling, Paolo Inselvini, Kateřina Konečná, Bruno Tobback, Vlad Vasile</w:t>
            </w:r>
            <w:r w:rsidRPr="009D5DFF">
              <w:noBreakHyphen/>
              <w:t>Voiculescu, Raúl de la Hoz Quintano, Mar</w:t>
            </w:r>
            <w:bookmarkStart w:id="0" w:name="_GoBack"/>
            <w:bookmarkEnd w:id="0"/>
            <w:r w:rsidRPr="009D5DFF">
              <w:t>garita de la Pisa Carrión</w:t>
            </w:r>
          </w:p>
        </w:tc>
      </w:tr>
    </w:tbl>
    <w:p w:rsidR="008452E8" w:rsidRPr="009D5DFF" w:rsidRDefault="008452E8" w:rsidP="005D5A08">
      <w:pPr>
        <w:pStyle w:val="AttendancePV"/>
      </w:pPr>
    </w:p>
    <w:p w:rsidR="008452E8" w:rsidRPr="009D5DFF" w:rsidRDefault="008452E8" w:rsidP="005D5A08">
      <w:pPr>
        <w:pStyle w:val="AttendancePV"/>
      </w:pPr>
    </w:p>
    <w:p w:rsidR="00714F25" w:rsidRPr="009D5DFF" w:rsidRDefault="00714F25" w:rsidP="005D5A08">
      <w:pPr>
        <w:pStyle w:val="AttendancePV"/>
      </w:pPr>
    </w:p>
    <w:tbl>
      <w:tblPr>
        <w:tblW w:w="0" w:type="auto"/>
        <w:tblInd w:w="153"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53" w:type="dxa"/>
          <w:right w:w="153" w:type="dxa"/>
        </w:tblCellMar>
        <w:tblLook w:val="0000" w:firstRow="0" w:lastRow="0" w:firstColumn="0" w:lastColumn="0" w:noHBand="0" w:noVBand="0"/>
      </w:tblPr>
      <w:tblGrid>
        <w:gridCol w:w="7513"/>
        <w:gridCol w:w="1559"/>
      </w:tblGrid>
      <w:tr w:rsidR="008452E8" w:rsidRPr="009D5DFF">
        <w:trPr>
          <w:cantSplit/>
        </w:trPr>
        <w:tc>
          <w:tcPr>
            <w:tcW w:w="9072" w:type="dxa"/>
            <w:gridSpan w:val="2"/>
            <w:shd w:val="pct10" w:color="000000" w:fill="FFFFFF"/>
          </w:tcPr>
          <w:p w:rsidR="008452E8" w:rsidRPr="009D5DFF" w:rsidRDefault="005C0A0C" w:rsidP="005C0A0C">
            <w:pPr>
              <w:pStyle w:val="AttendancePVTable"/>
            </w:pPr>
            <w:r w:rsidRPr="009D5DFF">
              <w:t>216</w:t>
            </w:r>
            <w:r w:rsidR="008452E8" w:rsidRPr="009D5DFF">
              <w:t xml:space="preserve"> (</w:t>
            </w:r>
            <w:r w:rsidR="00467244" w:rsidRPr="009D5DFF">
              <w:t>7</w:t>
            </w:r>
            <w:r w:rsidR="008452E8" w:rsidRPr="009D5DFF">
              <w:t>)</w:t>
            </w:r>
          </w:p>
        </w:tc>
      </w:tr>
      <w:tr w:rsidR="008452E8" w:rsidRPr="009D5DFF">
        <w:trPr>
          <w:cantSplit/>
          <w:trHeight w:val="720"/>
        </w:trPr>
        <w:tc>
          <w:tcPr>
            <w:tcW w:w="9072" w:type="dxa"/>
            <w:gridSpan w:val="2"/>
          </w:tcPr>
          <w:p w:rsidR="008452E8" w:rsidRPr="009D5DFF" w:rsidRDefault="00517A78" w:rsidP="00AD4CEB">
            <w:pPr>
              <w:pStyle w:val="AttendancePVTable"/>
            </w:pPr>
            <w:r w:rsidRPr="009D5DFF">
              <w:t>Annamária Vicsek</w:t>
            </w:r>
          </w:p>
        </w:tc>
      </w:tr>
      <w:tr w:rsidR="008452E8" w:rsidRPr="009D5DFF">
        <w:trPr>
          <w:cantSplit/>
        </w:trPr>
        <w:tc>
          <w:tcPr>
            <w:tcW w:w="9072" w:type="dxa"/>
            <w:gridSpan w:val="2"/>
            <w:shd w:val="pct10" w:color="000000" w:fill="FFFFFF"/>
          </w:tcPr>
          <w:p w:rsidR="008452E8" w:rsidRPr="009D5DFF" w:rsidRDefault="005C0A0C" w:rsidP="005C0A0C">
            <w:pPr>
              <w:pStyle w:val="AttendancePVTable"/>
            </w:pPr>
            <w:r w:rsidRPr="009D5DFF">
              <w:t>222</w:t>
            </w:r>
            <w:r w:rsidR="008452E8" w:rsidRPr="009D5DFF">
              <w:t xml:space="preserve"> (3)</w:t>
            </w:r>
          </w:p>
        </w:tc>
      </w:tr>
      <w:tr w:rsidR="008452E8" w:rsidRPr="009D5DFF">
        <w:trPr>
          <w:cantSplit/>
          <w:trHeight w:val="720"/>
        </w:trPr>
        <w:tc>
          <w:tcPr>
            <w:tcW w:w="9072" w:type="dxa"/>
            <w:gridSpan w:val="2"/>
          </w:tcPr>
          <w:p w:rsidR="008452E8" w:rsidRPr="009D5DFF" w:rsidRDefault="008452E8" w:rsidP="00AD4CEB">
            <w:pPr>
              <w:pStyle w:val="AttendancePVTable"/>
            </w:pPr>
          </w:p>
        </w:tc>
      </w:tr>
      <w:tr w:rsidR="008452E8" w:rsidRPr="009D5DFF">
        <w:trPr>
          <w:cantSplit/>
        </w:trPr>
        <w:tc>
          <w:tcPr>
            <w:tcW w:w="9072" w:type="dxa"/>
            <w:gridSpan w:val="2"/>
            <w:shd w:val="pct10" w:color="000000" w:fill="FFFFFF"/>
          </w:tcPr>
          <w:p w:rsidR="008452E8" w:rsidRPr="009D5DFF" w:rsidRDefault="006D2283" w:rsidP="00467244">
            <w:pPr>
              <w:pStyle w:val="AttendancePVTable"/>
            </w:pPr>
            <w:r w:rsidRPr="009D5DFF">
              <w:t>5</w:t>
            </w:r>
            <w:r w:rsidR="005C0A0C" w:rsidRPr="009D5DFF">
              <w:t>7</w:t>
            </w:r>
            <w:r w:rsidR="00A13DDE" w:rsidRPr="009D5DFF">
              <w:t xml:space="preserve"> (8</w:t>
            </w:r>
            <w:r w:rsidR="00CC6E1E" w:rsidRPr="009D5DFF">
              <w:t>) (Точка от дневния ред/Punto del orden del día/Bod pořadu jednání (OJ)/Punkt på dagsordene</w:t>
            </w:r>
            <w:r w:rsidR="00C64625" w:rsidRPr="009D5DFF">
              <w:t>n/Tagesordnungspunkt/ Päevakorra </w:t>
            </w:r>
            <w:r w:rsidR="00CC6E1E" w:rsidRPr="009D5DFF">
              <w:t>punkt/</w:t>
            </w:r>
            <w:r w:rsidR="005E6C44" w:rsidRPr="009D5DFF">
              <w:t>Σημείο της ημερήσιας διάταξης</w:t>
            </w:r>
            <w:r w:rsidR="00CC6E1E" w:rsidRPr="009D5DFF">
              <w:t>/Agenda item/Point OJ</w:t>
            </w:r>
            <w:r w:rsidRPr="009D5DFF">
              <w:t>/Točka dnevnog reda</w:t>
            </w:r>
            <w:r w:rsidR="00CC6E1E" w:rsidRPr="009D5DFF">
              <w:t>/Punto all'ordine del giorno/Darba kārtības punkts/Darbotvarkės punktas/Napirendi pont/Punt Aġenda/Agendapunt/Punkt porządku dziennego/Ponto O</w:t>
            </w:r>
            <w:r w:rsidR="00C64625" w:rsidRPr="009D5DFF">
              <w:t>D/Punct de pe ordinea de zi/Bod programu schôdze/</w:t>
            </w:r>
            <w:r w:rsidR="00CC6E1E" w:rsidRPr="009D5DFF">
              <w:t>Točka UL/Esityslistan kohta/</w:t>
            </w:r>
            <w:r w:rsidR="009408CB" w:rsidRPr="009D5DFF">
              <w:t>Punkt på föredragningslistan</w:t>
            </w:r>
            <w:r w:rsidR="00CC6E1E" w:rsidRPr="009D5DFF">
              <w:t>)</w:t>
            </w:r>
          </w:p>
        </w:tc>
      </w:tr>
      <w:tr w:rsidR="008452E8" w:rsidRPr="009D5DFF">
        <w:trPr>
          <w:trHeight w:val="720"/>
        </w:trPr>
        <w:tc>
          <w:tcPr>
            <w:tcW w:w="7513" w:type="dxa"/>
          </w:tcPr>
          <w:p w:rsidR="008452E8" w:rsidRPr="009D5DFF" w:rsidRDefault="008452E8" w:rsidP="00AD4CEB">
            <w:pPr>
              <w:pStyle w:val="AttendancePVTable"/>
            </w:pPr>
          </w:p>
        </w:tc>
        <w:tc>
          <w:tcPr>
            <w:tcW w:w="1559" w:type="dxa"/>
          </w:tcPr>
          <w:p w:rsidR="008452E8" w:rsidRPr="009D5DFF" w:rsidRDefault="008452E8" w:rsidP="00AD4CEB">
            <w:pPr>
              <w:pStyle w:val="AttendancePVTable"/>
            </w:pPr>
          </w:p>
        </w:tc>
      </w:tr>
    </w:tbl>
    <w:p w:rsidR="008452E8" w:rsidRPr="009D5DFF" w:rsidRDefault="008452E8" w:rsidP="005D5A08">
      <w:pPr>
        <w:pStyle w:val="AttendancePV"/>
      </w:pPr>
    </w:p>
    <w:p w:rsidR="0083601E" w:rsidRPr="009D5DFF" w:rsidRDefault="0083601E" w:rsidP="005D5A08">
      <w:pPr>
        <w:pStyle w:val="AttendancePV"/>
      </w:pPr>
    </w:p>
    <w:p w:rsidR="0083601E" w:rsidRPr="009D5DFF" w:rsidRDefault="0083601E" w:rsidP="005D5A08">
      <w:pPr>
        <w:pStyle w:val="AttendancePV"/>
      </w:pPr>
    </w:p>
    <w:p w:rsidR="008452E8" w:rsidRPr="009D5DFF" w:rsidRDefault="008452E8" w:rsidP="005D5A08">
      <w:pPr>
        <w:pStyle w:val="AttendancePV"/>
      </w:pPr>
    </w:p>
    <w:p w:rsidR="0083601E" w:rsidRPr="009D5DFF" w:rsidRDefault="0076749D" w:rsidP="005D5A08">
      <w:pPr>
        <w:pStyle w:val="AttendancePV"/>
      </w:pPr>
      <w:r w:rsidRPr="009D5DFF">
        <w:br w:type="page"/>
      </w:r>
    </w:p>
    <w:p w:rsidR="008452E8" w:rsidRPr="009D5DFF" w:rsidRDefault="008452E8" w:rsidP="005D5A08">
      <w:pPr>
        <w:pStyle w:val="AttendancePV"/>
      </w:pPr>
    </w:p>
    <w:p w:rsidR="0083601E" w:rsidRPr="009D5DFF" w:rsidRDefault="0083601E" w:rsidP="005D5A08">
      <w:pPr>
        <w:pStyle w:val="AttendancePV"/>
      </w:pPr>
    </w:p>
    <w:p w:rsidR="00DB5CC6" w:rsidRPr="009D5DFF" w:rsidRDefault="00DB5CC6" w:rsidP="005D5A08">
      <w:pPr>
        <w:pStyle w:val="AttendancePV"/>
      </w:pPr>
    </w:p>
    <w:tbl>
      <w:tblPr>
        <w:tblW w:w="0" w:type="auto"/>
        <w:tblInd w:w="177" w:type="dxa"/>
        <w:tblBorders>
          <w:top w:val="double" w:sz="2" w:space="0" w:color="000000"/>
          <w:left w:val="double" w:sz="2" w:space="0" w:color="000000"/>
          <w:bottom w:val="double" w:sz="2" w:space="0" w:color="000000"/>
          <w:right w:val="double" w:sz="2" w:space="0" w:color="000000"/>
          <w:insideH w:val="single" w:sz="2" w:space="0" w:color="000000"/>
          <w:insideV w:val="single" w:sz="4" w:space="0" w:color="000000"/>
        </w:tblBorders>
        <w:tblLayout w:type="fixed"/>
        <w:tblCellMar>
          <w:left w:w="177" w:type="dxa"/>
          <w:right w:w="177" w:type="dxa"/>
        </w:tblCellMar>
        <w:tblLook w:val="0000" w:firstRow="0" w:lastRow="0" w:firstColumn="0" w:lastColumn="0" w:noHBand="0" w:noVBand="0"/>
      </w:tblPr>
      <w:tblGrid>
        <w:gridCol w:w="9072"/>
      </w:tblGrid>
      <w:tr w:rsidR="008452E8" w:rsidRPr="009D5DFF">
        <w:tc>
          <w:tcPr>
            <w:tcW w:w="9072" w:type="dxa"/>
            <w:shd w:val="pct10" w:color="000000" w:fill="FFFFFF"/>
          </w:tcPr>
          <w:p w:rsidR="008452E8" w:rsidRPr="009D5DFF" w:rsidRDefault="00CC6E1E" w:rsidP="00F51C97">
            <w:pPr>
              <w:pStyle w:val="AttendancePVTable"/>
            </w:pPr>
            <w:r w:rsidRPr="009D5DFF">
              <w:t>По покана на председателя/Por invitación del presidente/Na pozvání předsedy/Efter indbydelse fra formanden/Auf Einladung des Vorsitzenden/Esimehe kutsel/Με πρόσκληση του Προέδρου</w:t>
            </w:r>
            <w:r w:rsidR="00F51C97" w:rsidRPr="009D5DFF">
              <w:t>/At the invitation of the Chair</w:t>
            </w:r>
            <w:r w:rsidRPr="009D5DFF">
              <w:t>/Sur l</w:t>
            </w:r>
            <w:r w:rsidR="0011399B" w:rsidRPr="009D5DFF">
              <w:t>’</w:t>
            </w:r>
            <w:r w:rsidRPr="009D5DFF">
              <w:t>invitation du président</w:t>
            </w:r>
            <w:r w:rsidR="00F909BF" w:rsidRPr="009D5DFF">
              <w:t>/ Na poziv predsjednika</w:t>
            </w:r>
            <w:r w:rsidRPr="009D5DFF">
              <w:t>/Su invito del presidente/Pēc priekšsēdētāja uzaicinājuma/Pirmininkui pakvietus/A</w:t>
            </w:r>
            <w:r w:rsidR="00F909BF" w:rsidRPr="009D5DFF">
              <w:t>z elnök meghívására/ Fuq </w:t>
            </w:r>
            <w:r w:rsidR="006C6F0A" w:rsidRPr="009D5DFF">
              <w:t>stedina taċ</w:t>
            </w:r>
            <w:r w:rsidR="006C6F0A" w:rsidRPr="009D5DFF">
              <w:noBreakHyphen/>
            </w:r>
            <w:r w:rsidRPr="009D5DFF">
              <w:t>'Chairman'</w:t>
            </w:r>
            <w:r w:rsidR="0082592C" w:rsidRPr="009D5DFF">
              <w:t>/</w:t>
            </w:r>
            <w:r w:rsidRPr="009D5DFF">
              <w:t>Op uitnodiging van de voorzitter/Na zaproszenie Przewodniczącego/A convite do Presidente/La invitaţia preşedintelui/</w:t>
            </w:r>
            <w:r w:rsidR="00A65248" w:rsidRPr="009D5DFF">
              <w:t xml:space="preserve"> </w:t>
            </w:r>
            <w:r w:rsidR="00C46B37" w:rsidRPr="009D5DFF">
              <w:t xml:space="preserve">Na </w:t>
            </w:r>
            <w:r w:rsidRPr="009D5DFF">
              <w:t>pozvanie predsedu/Na povabilo predsednika/Puheenjohtajan kutsusta/På ordförandens inbjudan</w:t>
            </w:r>
          </w:p>
        </w:tc>
      </w:tr>
      <w:tr w:rsidR="008452E8" w:rsidRPr="009D5DFF">
        <w:trPr>
          <w:trHeight w:val="720"/>
        </w:trPr>
        <w:tc>
          <w:tcPr>
            <w:tcW w:w="9072" w:type="dxa"/>
          </w:tcPr>
          <w:p w:rsidR="008452E8" w:rsidRPr="009D5DFF" w:rsidRDefault="007C72E8" w:rsidP="00AD4CEB">
            <w:pPr>
              <w:pStyle w:val="AttendancePVTable"/>
            </w:pPr>
            <w:r w:rsidRPr="009D5DFF">
              <w:t>Dr Anikó R</w:t>
            </w:r>
            <w:r w:rsidR="00517A78" w:rsidRPr="009D5DFF">
              <w:t>aisz, Secretary of State for Environmental Affairs and Circular Economy, Hungarian Council Presidency</w:t>
            </w:r>
          </w:p>
          <w:p w:rsidR="00517A78" w:rsidRPr="009D5DFF" w:rsidRDefault="007C72E8" w:rsidP="00AD4CEB">
            <w:pPr>
              <w:pStyle w:val="AttendancePVTable"/>
            </w:pPr>
            <w:r w:rsidRPr="009D5DFF">
              <w:t>Dr Péter T</w:t>
            </w:r>
            <w:r w:rsidR="00517A78" w:rsidRPr="009D5DFF">
              <w:t>akács, Secretary of State for Health, Hungarian Council Presidency</w:t>
            </w:r>
          </w:p>
        </w:tc>
      </w:tr>
    </w:tbl>
    <w:p w:rsidR="008452E8" w:rsidRPr="009D5DFF" w:rsidRDefault="008452E8" w:rsidP="005D5A08">
      <w:pPr>
        <w:pStyle w:val="AttendancePV"/>
      </w:pPr>
    </w:p>
    <w:p w:rsidR="0083601E" w:rsidRPr="009D5DFF" w:rsidRDefault="0083601E" w:rsidP="005D5A08">
      <w:pPr>
        <w:pStyle w:val="AttendancePV"/>
      </w:pPr>
    </w:p>
    <w:p w:rsidR="008452E8" w:rsidRPr="009D5DFF" w:rsidRDefault="008452E8" w:rsidP="005D5A08">
      <w:pPr>
        <w:pStyle w:val="AttendancePV"/>
      </w:pPr>
    </w:p>
    <w:tbl>
      <w:tblPr>
        <w:tblW w:w="0" w:type="auto"/>
        <w:tblInd w:w="177"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77" w:type="dxa"/>
          <w:right w:w="177" w:type="dxa"/>
        </w:tblCellMar>
        <w:tblLook w:val="0000" w:firstRow="0" w:lastRow="0" w:firstColumn="0" w:lastColumn="0" w:noHBand="0" w:noVBand="0"/>
      </w:tblPr>
      <w:tblGrid>
        <w:gridCol w:w="1701"/>
        <w:gridCol w:w="7371"/>
      </w:tblGrid>
      <w:tr w:rsidR="008452E8" w:rsidRPr="009D5DFF">
        <w:tc>
          <w:tcPr>
            <w:tcW w:w="9072" w:type="dxa"/>
            <w:gridSpan w:val="2"/>
            <w:shd w:val="pct10" w:color="000000" w:fill="FFFFFF"/>
          </w:tcPr>
          <w:p w:rsidR="008452E8" w:rsidRPr="009D5DFF" w:rsidRDefault="00CC6E1E" w:rsidP="00AD4CEB">
            <w:pPr>
              <w:pStyle w:val="AttendancePVTable"/>
            </w:pPr>
            <w:r w:rsidRPr="009D5DFF">
              <w:t>Съвет/Consejo/Rada/Rådet/Rat/Nõukogu/Συμβούλιο/Council/Conseil/</w:t>
            </w:r>
            <w:r w:rsidR="00F909BF" w:rsidRPr="009D5DFF">
              <w:t>Vijeće/</w:t>
            </w:r>
            <w:r w:rsidRPr="009D5DFF">
              <w:t>Consiglio/Padome/Taryba/Tanács/Kunsill/Raad/ Conselho/Consiliu/Svet/Neuvosto/Rådet (*)</w:t>
            </w:r>
          </w:p>
        </w:tc>
      </w:tr>
      <w:tr w:rsidR="008452E8" w:rsidRPr="009D5DFF">
        <w:trPr>
          <w:trHeight w:val="720"/>
        </w:trPr>
        <w:tc>
          <w:tcPr>
            <w:tcW w:w="9072" w:type="dxa"/>
            <w:gridSpan w:val="2"/>
          </w:tcPr>
          <w:p w:rsidR="008452E8" w:rsidRPr="009D5DFF" w:rsidRDefault="00517A78" w:rsidP="00AD4CEB">
            <w:pPr>
              <w:pStyle w:val="AttendancePVTable"/>
            </w:pPr>
            <w:r w:rsidRPr="009D5DFF">
              <w:t>Aleksandrs Pinkass</w:t>
            </w:r>
            <w:r w:rsidR="0015205A" w:rsidRPr="009D5DFF">
              <w:t>, Fabrice Dubreuil, Milena Petkova, Peter Javorcik</w:t>
            </w:r>
          </w:p>
        </w:tc>
      </w:tr>
      <w:tr w:rsidR="008452E8" w:rsidRPr="009D5DFF">
        <w:tc>
          <w:tcPr>
            <w:tcW w:w="9072" w:type="dxa"/>
            <w:gridSpan w:val="2"/>
            <w:shd w:val="pct10" w:color="000000" w:fill="FFFFFF"/>
          </w:tcPr>
          <w:p w:rsidR="008452E8" w:rsidRPr="009D5DFF" w:rsidRDefault="00CC6E1E" w:rsidP="002E2B09">
            <w:pPr>
              <w:pStyle w:val="AttendancePVTable"/>
            </w:pPr>
            <w:r w:rsidRPr="009D5DFF">
              <w:t>Комисия/Comisión/Komise/Kommissionen/Kommission/Komisjon/Επιτροπή/Commission/</w:t>
            </w:r>
            <w:r w:rsidR="0036013B" w:rsidRPr="009D5DFF">
              <w:t>Komisija/</w:t>
            </w:r>
            <w:r w:rsidRPr="009D5DFF">
              <w:t>Commissione/Bizottság/ Kummissjoni/Commissie/Komisja/Comissão/Comisie/Komisia/Komissio/Kommissionen (*)</w:t>
            </w:r>
          </w:p>
        </w:tc>
      </w:tr>
      <w:tr w:rsidR="008452E8" w:rsidRPr="009D5DFF">
        <w:trPr>
          <w:trHeight w:val="720"/>
        </w:trPr>
        <w:tc>
          <w:tcPr>
            <w:tcW w:w="9072" w:type="dxa"/>
            <w:gridSpan w:val="2"/>
          </w:tcPr>
          <w:p w:rsidR="008452E8" w:rsidRPr="009D5DFF" w:rsidRDefault="0015205A" w:rsidP="0015205A">
            <w:pPr>
              <w:pStyle w:val="AttendancePVTable"/>
              <w:ind w:left="913" w:hanging="913"/>
            </w:pPr>
            <w:r w:rsidRPr="009D5DFF">
              <w:t>DG SANTE:</w:t>
            </w:r>
            <w:r w:rsidRPr="009D5DFF">
              <w:tab/>
              <w:t>Simon Kahn</w:t>
            </w:r>
          </w:p>
          <w:p w:rsidR="0015205A" w:rsidRPr="009D5DFF" w:rsidRDefault="0015205A" w:rsidP="0015205A">
            <w:pPr>
              <w:pStyle w:val="AttendancePVTable"/>
              <w:ind w:left="913" w:hanging="913"/>
            </w:pPr>
            <w:r w:rsidRPr="009D5DFF">
              <w:t xml:space="preserve">DG ENV: </w:t>
            </w:r>
            <w:r w:rsidRPr="009D5DFF">
              <w:tab/>
              <w:t>Alberto Ascani</w:t>
            </w:r>
          </w:p>
          <w:p w:rsidR="0015205A" w:rsidRPr="009D5DFF" w:rsidRDefault="0015205A" w:rsidP="0015205A">
            <w:pPr>
              <w:pStyle w:val="AttendancePVTable"/>
              <w:ind w:left="913" w:hanging="913"/>
            </w:pPr>
            <w:r w:rsidRPr="009D5DFF">
              <w:t>DG CLIMA:</w:t>
            </w:r>
            <w:r w:rsidRPr="009D5DFF">
              <w:tab/>
              <w:t>Agnieszka Mielczarek</w:t>
            </w:r>
          </w:p>
        </w:tc>
      </w:tr>
      <w:tr w:rsidR="008452E8" w:rsidRPr="009D5DFF">
        <w:tc>
          <w:tcPr>
            <w:tcW w:w="9072" w:type="dxa"/>
            <w:gridSpan w:val="2"/>
            <w:shd w:val="pct10" w:color="000000" w:fill="FFFFFF"/>
          </w:tcPr>
          <w:p w:rsidR="008452E8" w:rsidRPr="009D5DFF" w:rsidRDefault="00F0068D" w:rsidP="00F0068D">
            <w:pPr>
              <w:pStyle w:val="AttendancePVTable"/>
            </w:pPr>
            <w:r w:rsidRPr="009D5DFF">
              <w:t>Други институции и органи</w:t>
            </w:r>
            <w:r w:rsidR="00007788" w:rsidRPr="009D5DFF">
              <w:t>/</w:t>
            </w:r>
            <w:r w:rsidRPr="009D5DFF">
              <w:t>Otras instituciones y organismos</w:t>
            </w:r>
            <w:r w:rsidR="00007788" w:rsidRPr="009D5DFF">
              <w:t>/Ostatní orgány a instituce/</w:t>
            </w:r>
            <w:r w:rsidRPr="009D5DFF">
              <w:t>Andre institutioner og organer</w:t>
            </w:r>
            <w:r w:rsidR="00007788" w:rsidRPr="009D5DFF">
              <w:t>/</w:t>
            </w:r>
            <w:r w:rsidRPr="009D5DFF">
              <w:t>Andere Organe und Einrichtungen</w:t>
            </w:r>
            <w:r w:rsidR="00007788" w:rsidRPr="009D5DFF">
              <w:t>/</w:t>
            </w:r>
            <w:r w:rsidRPr="009D5DFF">
              <w:t>Muud institutsioonid ja organid</w:t>
            </w:r>
            <w:r w:rsidR="00007788" w:rsidRPr="009D5DFF">
              <w:t>/</w:t>
            </w:r>
            <w:r w:rsidRPr="009D5DFF">
              <w:t>Λοιπά θεσμικά όργανα και οργανισμοί</w:t>
            </w:r>
            <w:r w:rsidR="00007788" w:rsidRPr="009D5DFF">
              <w:t>/</w:t>
            </w:r>
            <w:r w:rsidRPr="009D5DFF">
              <w:t>Other institutions and bodies</w:t>
            </w:r>
            <w:r w:rsidR="00007788" w:rsidRPr="009D5DFF">
              <w:t>/</w:t>
            </w:r>
            <w:r w:rsidR="00EC7932" w:rsidRPr="009D5DFF">
              <w:t>Autres institutions et organes</w:t>
            </w:r>
            <w:r w:rsidR="00007788" w:rsidRPr="009D5DFF">
              <w:t>/</w:t>
            </w:r>
            <w:r w:rsidR="00EC7932" w:rsidRPr="009D5DFF">
              <w:t>Druge institucije i tijela</w:t>
            </w:r>
            <w:r w:rsidR="00C701DE" w:rsidRPr="009D5DFF">
              <w:t>/</w:t>
            </w:r>
            <w:r w:rsidR="00EC7932" w:rsidRPr="009D5DFF">
              <w:t>Altre istituzioni e altri organi</w:t>
            </w:r>
            <w:r w:rsidR="00007788" w:rsidRPr="009D5DFF">
              <w:t>/</w:t>
            </w:r>
            <w:r w:rsidR="00EC7932" w:rsidRPr="009D5DFF">
              <w:t>Citas iestādes un struktūras</w:t>
            </w:r>
            <w:r w:rsidR="00C701DE" w:rsidRPr="009D5DFF">
              <w:t>/</w:t>
            </w:r>
            <w:r w:rsidR="00EC7932" w:rsidRPr="009D5DFF">
              <w:t>Kitos institucijos ir įstaigos</w:t>
            </w:r>
            <w:r w:rsidR="00C701DE" w:rsidRPr="009D5DFF">
              <w:t xml:space="preserve">/ </w:t>
            </w:r>
            <w:r w:rsidR="00EC7932" w:rsidRPr="009D5DFF">
              <w:t>Más intézmények és szervek</w:t>
            </w:r>
            <w:r w:rsidR="00C701DE" w:rsidRPr="009D5DFF">
              <w:t>/</w:t>
            </w:r>
            <w:r w:rsidR="00EC7932" w:rsidRPr="009D5DFF">
              <w:t>Istituzzjonijiet u korpi oħra</w:t>
            </w:r>
            <w:r w:rsidR="00007788" w:rsidRPr="009D5DFF">
              <w:t>/</w:t>
            </w:r>
            <w:r w:rsidR="00EC7932" w:rsidRPr="009D5DFF">
              <w:t>Andere instellingen en organen</w:t>
            </w:r>
            <w:r w:rsidR="00007788" w:rsidRPr="009D5DFF">
              <w:t>/</w:t>
            </w:r>
            <w:r w:rsidR="00EC7932" w:rsidRPr="009D5DFF">
              <w:t>Inne instytucje i organy</w:t>
            </w:r>
            <w:r w:rsidR="00007788" w:rsidRPr="009D5DFF">
              <w:t>/</w:t>
            </w:r>
            <w:r w:rsidR="00EC7932" w:rsidRPr="009D5DFF">
              <w:t>O</w:t>
            </w:r>
            <w:r w:rsidR="00C82F5B" w:rsidRPr="009D5DFF">
              <w:t>utras instituições e </w:t>
            </w:r>
            <w:r w:rsidR="00EC7932" w:rsidRPr="009D5DFF">
              <w:t>outros órgãos</w:t>
            </w:r>
            <w:r w:rsidR="00007788" w:rsidRPr="009D5DFF">
              <w:t>/</w:t>
            </w:r>
            <w:r w:rsidR="00EC7932" w:rsidRPr="009D5DFF">
              <w:t>Alte instituții și organe</w:t>
            </w:r>
            <w:r w:rsidR="00007788" w:rsidRPr="009D5DFF">
              <w:t>/</w:t>
            </w:r>
            <w:r w:rsidR="00EC7932" w:rsidRPr="009D5DFF">
              <w:t>Iné inštitúcie a orgány</w:t>
            </w:r>
            <w:r w:rsidR="00007788" w:rsidRPr="009D5DFF">
              <w:t>/</w:t>
            </w:r>
            <w:r w:rsidR="00EC7932" w:rsidRPr="009D5DFF">
              <w:t>Muut toimielimet ja elimet</w:t>
            </w:r>
            <w:r w:rsidR="00007788" w:rsidRPr="009D5DFF">
              <w:t>/</w:t>
            </w:r>
            <w:r w:rsidR="00EC7932" w:rsidRPr="009D5DFF">
              <w:t>Andra institutioner och organ</w:t>
            </w:r>
          </w:p>
        </w:tc>
      </w:tr>
      <w:tr w:rsidR="008452E8" w:rsidRPr="009D5DFF">
        <w:trPr>
          <w:cantSplit/>
          <w:trHeight w:val="720"/>
        </w:trPr>
        <w:tc>
          <w:tcPr>
            <w:tcW w:w="1701" w:type="dxa"/>
          </w:tcPr>
          <w:p w:rsidR="008452E8" w:rsidRPr="009D5DFF" w:rsidRDefault="008452E8" w:rsidP="00AD4CEB">
            <w:pPr>
              <w:pStyle w:val="AttendancePVTable"/>
            </w:pPr>
          </w:p>
        </w:tc>
        <w:tc>
          <w:tcPr>
            <w:tcW w:w="7371" w:type="dxa"/>
          </w:tcPr>
          <w:p w:rsidR="008452E8" w:rsidRPr="009D5DFF" w:rsidRDefault="008452E8" w:rsidP="00AD4CEB">
            <w:pPr>
              <w:pStyle w:val="AttendancePVTable"/>
            </w:pPr>
          </w:p>
        </w:tc>
      </w:tr>
    </w:tbl>
    <w:p w:rsidR="008452E8" w:rsidRPr="009D5DFF" w:rsidRDefault="008452E8" w:rsidP="005D5A08">
      <w:pPr>
        <w:pStyle w:val="AttendancePV"/>
      </w:pPr>
    </w:p>
    <w:p w:rsidR="008452E8" w:rsidRPr="009D5DFF" w:rsidRDefault="008452E8" w:rsidP="005D5A08">
      <w:pPr>
        <w:pStyle w:val="AttendancePV"/>
      </w:pPr>
    </w:p>
    <w:tbl>
      <w:tblPr>
        <w:tblW w:w="9072" w:type="dxa"/>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8452E8" w:rsidRPr="009D5DFF" w:rsidTr="007C72E8">
        <w:trPr>
          <w:cantSplit/>
        </w:trPr>
        <w:tc>
          <w:tcPr>
            <w:tcW w:w="9072" w:type="dxa"/>
            <w:gridSpan w:val="2"/>
            <w:shd w:val="pct10" w:color="000000" w:fill="FFFFFF"/>
          </w:tcPr>
          <w:p w:rsidR="008452E8" w:rsidRPr="009D5DFF" w:rsidRDefault="00C634EF" w:rsidP="005F6C89">
            <w:pPr>
              <w:pStyle w:val="AttendancePVTable"/>
            </w:pPr>
            <w:r w:rsidRPr="009D5DFF">
              <w:t>Секретариат на политическите групи/Secretaría de los Grupos políticos/Sekretariát politických skupin/Gruppernes sekretariat/ Sekretariat der Fraktionen/Fraktsioonide sekretariaat/Γραμματεία των Πολιτικών Ομάδων/Secretariats of p</w:t>
            </w:r>
            <w:r w:rsidR="00BF102E" w:rsidRPr="009D5DFF">
              <w:t>olitical groups/Secrétariat des </w:t>
            </w:r>
            <w:r w:rsidRPr="009D5DFF">
              <w:t>groupes politiques</w:t>
            </w:r>
            <w:r w:rsidR="00553CD4" w:rsidRPr="009D5DFF">
              <w:t>/Tajništva klubova zastupnika</w:t>
            </w:r>
            <w:r w:rsidRPr="009D5DFF">
              <w:t>/Segreteria gruppi politici/Politisko grupu sekretariāts/Frakcijų sekretoriai/</w:t>
            </w:r>
            <w:r w:rsidR="00CD01A6" w:rsidRPr="009D5DFF">
              <w:t xml:space="preserve"> </w:t>
            </w:r>
            <w:r w:rsidRPr="009D5DFF">
              <w:t>Képviselőcsoportok titkársága/Segretarjat gruppi politiċi/Fractiesecretariaten/Sekretariat Grup Politycznych/</w:t>
            </w:r>
            <w:r w:rsidR="006D0C4F" w:rsidRPr="009D5DFF">
              <w:t>Secretariado</w:t>
            </w:r>
            <w:r w:rsidRPr="009D5DFF">
              <w:t xml:space="preserve"> dos grupos políticos/Secretariate grupuri politice/Sekretariát politických skupín/Sekretariat politič</w:t>
            </w:r>
            <w:r w:rsidR="00CD01A6" w:rsidRPr="009D5DFF">
              <w:t xml:space="preserve">nih skupin/Poliittisten ryhmien </w:t>
            </w:r>
            <w:r w:rsidRPr="009D5DFF">
              <w:t>sihteeristöt/</w:t>
            </w:r>
            <w:r w:rsidR="005F6C89" w:rsidRPr="009D5DFF">
              <w:t xml:space="preserve"> De politiska gruppernas sekretariat</w:t>
            </w:r>
          </w:p>
        </w:tc>
      </w:tr>
      <w:tr w:rsidR="008452E8" w:rsidRPr="009D5DFF" w:rsidTr="007C72E8">
        <w:trPr>
          <w:cantSplit/>
        </w:trPr>
        <w:tc>
          <w:tcPr>
            <w:tcW w:w="1701" w:type="dxa"/>
            <w:shd w:val="clear" w:color="auto" w:fill="FFFFFF"/>
          </w:tcPr>
          <w:p w:rsidR="008452E8" w:rsidRPr="009D5DFF" w:rsidRDefault="008452E8" w:rsidP="00A66B35">
            <w:pPr>
              <w:pStyle w:val="AttendancePVTable"/>
            </w:pPr>
            <w:r w:rsidRPr="009D5DFF">
              <w:t>PPE</w:t>
            </w:r>
          </w:p>
          <w:p w:rsidR="008452E8" w:rsidRPr="009D5DFF" w:rsidRDefault="00CE5AEB" w:rsidP="00A66B35">
            <w:pPr>
              <w:pStyle w:val="AttendancePVTable"/>
            </w:pPr>
            <w:r w:rsidRPr="009D5DFF">
              <w:t>S&amp;D</w:t>
            </w:r>
          </w:p>
          <w:p w:rsidR="00D96911" w:rsidRPr="009D5DFF" w:rsidRDefault="00D96911" w:rsidP="00D96911">
            <w:pPr>
              <w:pStyle w:val="AttendancePVTable"/>
            </w:pPr>
            <w:r w:rsidRPr="009D5DFF">
              <w:t>PfE</w:t>
            </w:r>
          </w:p>
          <w:p w:rsidR="00D96911" w:rsidRPr="009D5DFF" w:rsidRDefault="00D96911" w:rsidP="00D96911">
            <w:pPr>
              <w:pStyle w:val="AttendancePVTable"/>
            </w:pPr>
            <w:r w:rsidRPr="009D5DFF">
              <w:t>ECR</w:t>
            </w:r>
          </w:p>
          <w:p w:rsidR="00A5325A" w:rsidRPr="009D5DFF" w:rsidRDefault="00A5325A" w:rsidP="00A66B35">
            <w:pPr>
              <w:pStyle w:val="AttendancePVTable"/>
            </w:pPr>
            <w:r w:rsidRPr="009D5DFF">
              <w:t>Renew</w:t>
            </w:r>
          </w:p>
          <w:p w:rsidR="00A5325A" w:rsidRPr="009D5DFF" w:rsidRDefault="006D6EB9" w:rsidP="006D6EB9">
            <w:pPr>
              <w:pStyle w:val="AttendancePVTable"/>
            </w:pPr>
            <w:r w:rsidRPr="009D5DFF">
              <w:t>Verts/ALE</w:t>
            </w:r>
          </w:p>
          <w:p w:rsidR="008452E8" w:rsidRPr="009D5DFF" w:rsidRDefault="00DC507B" w:rsidP="00A66B35">
            <w:pPr>
              <w:pStyle w:val="AttendancePVTable"/>
            </w:pPr>
            <w:r w:rsidRPr="009D5DFF">
              <w:t>The Left</w:t>
            </w:r>
          </w:p>
          <w:p w:rsidR="00DD11C0" w:rsidRPr="009D5DFF" w:rsidRDefault="00DD11C0" w:rsidP="00DD11C0">
            <w:pPr>
              <w:pStyle w:val="AttendancePVTable"/>
            </w:pPr>
            <w:r w:rsidRPr="009D5DFF">
              <w:t>ESN</w:t>
            </w:r>
          </w:p>
          <w:p w:rsidR="008452E8" w:rsidRPr="009D5DFF" w:rsidRDefault="008452E8" w:rsidP="00A66B35">
            <w:pPr>
              <w:pStyle w:val="AttendancePVTable"/>
            </w:pPr>
            <w:r w:rsidRPr="009D5DFF">
              <w:t>NI</w:t>
            </w:r>
          </w:p>
        </w:tc>
        <w:tc>
          <w:tcPr>
            <w:tcW w:w="7371" w:type="dxa"/>
            <w:shd w:val="clear" w:color="auto" w:fill="FFFFFF"/>
          </w:tcPr>
          <w:p w:rsidR="0006514D" w:rsidRPr="009D5DFF" w:rsidRDefault="0015205A" w:rsidP="000D1273">
            <w:pPr>
              <w:pStyle w:val="AttendancePVTable"/>
            </w:pPr>
            <w:r w:rsidRPr="009D5DFF">
              <w:t>Giovanni Enghelmaier, Laurentiu Gavra</w:t>
            </w:r>
          </w:p>
          <w:p w:rsidR="0015205A" w:rsidRPr="009D5DFF" w:rsidRDefault="0015205A" w:rsidP="000D1273">
            <w:pPr>
              <w:pStyle w:val="AttendancePVTable"/>
            </w:pPr>
            <w:r w:rsidRPr="009D5DFF">
              <w:t>Tobias Ghersetti, Sean O’Hare, EleniDimitrakoudi, Agnieszka Gregorczyk</w:t>
            </w:r>
          </w:p>
          <w:p w:rsidR="0015205A" w:rsidRPr="009D5DFF" w:rsidRDefault="0015205A" w:rsidP="000D1273">
            <w:pPr>
              <w:pStyle w:val="AttendancePVTable"/>
            </w:pPr>
            <w:r w:rsidRPr="009D5DFF">
              <w:t>Fabio Pasinelli</w:t>
            </w:r>
          </w:p>
          <w:p w:rsidR="0015205A" w:rsidRPr="009D5DFF" w:rsidRDefault="0015205A" w:rsidP="000D1273">
            <w:pPr>
              <w:pStyle w:val="AttendancePVTable"/>
            </w:pPr>
            <w:r w:rsidRPr="009D5DFF">
              <w:t>Weronika Paruch, Slaxomir Miozga, Massimiliano Rizzo</w:t>
            </w:r>
          </w:p>
          <w:p w:rsidR="0015205A" w:rsidRPr="009D5DFF" w:rsidRDefault="0015205A" w:rsidP="000D1273">
            <w:pPr>
              <w:pStyle w:val="AttendancePVTable"/>
            </w:pPr>
            <w:r w:rsidRPr="009D5DFF">
              <w:t>Clémence Gerbet</w:t>
            </w:r>
          </w:p>
          <w:p w:rsidR="0015205A" w:rsidRPr="009D5DFF" w:rsidRDefault="0015205A" w:rsidP="000D1273">
            <w:pPr>
              <w:pStyle w:val="AttendancePVTable"/>
            </w:pPr>
            <w:r w:rsidRPr="009D5DFF">
              <w:t>Axel Singhofen</w:t>
            </w:r>
          </w:p>
          <w:p w:rsidR="0015205A" w:rsidRPr="009D5DFF" w:rsidRDefault="0015205A" w:rsidP="000D1273">
            <w:pPr>
              <w:pStyle w:val="AttendancePVTable"/>
            </w:pPr>
            <w:r w:rsidRPr="009D5DFF">
              <w:t>Corinne Cornelisse, Damien Thomson</w:t>
            </w:r>
          </w:p>
          <w:p w:rsidR="0015205A" w:rsidRPr="009D5DFF" w:rsidRDefault="0015205A" w:rsidP="000D1273">
            <w:pPr>
              <w:pStyle w:val="AttendancePVTable"/>
            </w:pPr>
          </w:p>
          <w:p w:rsidR="0015205A" w:rsidRPr="009D5DFF" w:rsidRDefault="0015205A" w:rsidP="000D1273">
            <w:pPr>
              <w:pStyle w:val="AttendancePVTable"/>
            </w:pPr>
            <w:r w:rsidRPr="009D5DFF">
              <w:t>Barbara Gatto</w:t>
            </w:r>
          </w:p>
        </w:tc>
      </w:tr>
    </w:tbl>
    <w:p w:rsidR="00DB5CC6" w:rsidRPr="009D5DFF" w:rsidRDefault="00DB5CC6" w:rsidP="005D5A08">
      <w:pPr>
        <w:pStyle w:val="AttendancePV"/>
      </w:pPr>
    </w:p>
    <w:p w:rsidR="0083601E" w:rsidRPr="009D5DFF" w:rsidRDefault="0083601E" w:rsidP="005D5A08">
      <w:pPr>
        <w:pStyle w:val="AttendancePV"/>
      </w:pPr>
    </w:p>
    <w:p w:rsidR="0083601E" w:rsidRPr="009D5DFF" w:rsidRDefault="0083601E" w:rsidP="005D5A08">
      <w:pPr>
        <w:pStyle w:val="AttendancePV"/>
      </w:pPr>
    </w:p>
    <w:tbl>
      <w:tblPr>
        <w:tblW w:w="0" w:type="auto"/>
        <w:tblInd w:w="145"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45" w:type="dxa"/>
          <w:right w:w="145" w:type="dxa"/>
        </w:tblCellMar>
        <w:tblLook w:val="0000" w:firstRow="0" w:lastRow="0" w:firstColumn="0" w:lastColumn="0" w:noHBand="0" w:noVBand="0"/>
      </w:tblPr>
      <w:tblGrid>
        <w:gridCol w:w="1701"/>
        <w:gridCol w:w="7371"/>
      </w:tblGrid>
      <w:tr w:rsidR="008452E8" w:rsidRPr="009D5DFF">
        <w:trPr>
          <w:cantSplit/>
        </w:trPr>
        <w:tc>
          <w:tcPr>
            <w:tcW w:w="9072" w:type="dxa"/>
            <w:gridSpan w:val="2"/>
            <w:shd w:val="pct10" w:color="000000" w:fill="FFFFFF"/>
          </w:tcPr>
          <w:p w:rsidR="008452E8" w:rsidRPr="009D5DFF" w:rsidRDefault="00DC629C" w:rsidP="00AD4CEB">
            <w:pPr>
              <w:pStyle w:val="AttendancePVTable"/>
            </w:pPr>
            <w:r w:rsidRPr="009D5DFF">
              <w:br w:type="page"/>
            </w:r>
            <w:r w:rsidR="00C634EF" w:rsidRPr="009D5DFF">
              <w:t xml:space="preserve">Кабинет на председателя/Gabinete del Presidente/Kancelář předsedy/Formandens Kabinet/Kabinett des Präsidenten/Presidendi kantselei/Γραφείο </w:t>
            </w:r>
            <w:r w:rsidR="005E6C44" w:rsidRPr="009D5DFF">
              <w:t xml:space="preserve">του </w:t>
            </w:r>
            <w:r w:rsidR="00C634EF" w:rsidRPr="009D5DFF">
              <w:t>Προέδρου/President's Office/Cabinet du Président</w:t>
            </w:r>
            <w:r w:rsidR="0070508E" w:rsidRPr="009D5DFF">
              <w:t>/Ured predsjednika</w:t>
            </w:r>
            <w:r w:rsidR="00C634EF" w:rsidRPr="009D5DFF">
              <w:t>/Gabinetto del Presidente/Priekšsēdētāja kabinets/Pirmininko kabinetas/Elnöki hivatal/Kabinett tal-President/Kabinet van de Voorzitter/Gabinet Przewodniczącego/Gabinete do Presidente</w:t>
            </w:r>
            <w:r w:rsidR="0082592C" w:rsidRPr="009D5DFF">
              <w:t>/</w:t>
            </w:r>
            <w:r w:rsidR="00C634EF" w:rsidRPr="009D5DFF">
              <w:t>Cabinet Preşedinte/Kancelária predsedu/Urad predsednika/Puhemiehen kabinetti/Talmannens kansli</w:t>
            </w:r>
          </w:p>
        </w:tc>
      </w:tr>
      <w:tr w:rsidR="008452E8" w:rsidRPr="009D5DFF" w:rsidTr="003C7A12">
        <w:trPr>
          <w:cantSplit/>
          <w:trHeight w:val="510"/>
        </w:trPr>
        <w:tc>
          <w:tcPr>
            <w:tcW w:w="9072" w:type="dxa"/>
            <w:gridSpan w:val="2"/>
            <w:shd w:val="clear" w:color="auto" w:fill="FFFFFF"/>
          </w:tcPr>
          <w:p w:rsidR="008452E8" w:rsidRPr="009D5DFF" w:rsidRDefault="008452E8" w:rsidP="00AD4CEB">
            <w:pPr>
              <w:pStyle w:val="AttendancePVTable"/>
            </w:pPr>
          </w:p>
        </w:tc>
      </w:tr>
      <w:tr w:rsidR="008452E8" w:rsidRPr="009D5DFF">
        <w:trPr>
          <w:cantSplit/>
        </w:trPr>
        <w:tc>
          <w:tcPr>
            <w:tcW w:w="9072" w:type="dxa"/>
            <w:gridSpan w:val="2"/>
            <w:shd w:val="pct10" w:color="000000" w:fill="FFFFFF"/>
          </w:tcPr>
          <w:p w:rsidR="008452E8" w:rsidRPr="009D5DFF" w:rsidRDefault="00C634EF" w:rsidP="002467F2">
            <w:pPr>
              <w:pStyle w:val="AttendancePVTable"/>
            </w:pPr>
            <w:r w:rsidRPr="009D5DFF">
              <w:t>Кабинет на генералния секретар/Gabinete del Secretario General/Kancelář generálního tajemníka/Generalsekretærens Kabinet/ Kabinett des Generalsekretärs/Peasekretäri büroo/Γραφείο </w:t>
            </w:r>
            <w:r w:rsidR="005E6C44" w:rsidRPr="009D5DFF">
              <w:t xml:space="preserve">του </w:t>
            </w:r>
            <w:r w:rsidRPr="009D5DFF">
              <w:t xml:space="preserve">Γενικού Γραμματέα/Secretary-General's Office/Cabinet du </w:t>
            </w:r>
            <w:r w:rsidR="002467F2" w:rsidRPr="009D5DFF">
              <w:t>s</w:t>
            </w:r>
            <w:r w:rsidRPr="009D5DFF">
              <w:t>ecrétaire général</w:t>
            </w:r>
            <w:r w:rsidR="0070508E" w:rsidRPr="009D5DFF">
              <w:t>/Ured glavnog tajnika</w:t>
            </w:r>
            <w:r w:rsidRPr="009D5DFF">
              <w:t>/Gabinetto del Segretario generale/Ģenerālsekretāra kabinets/Generalinio sekretoriaus kabinetas/</w:t>
            </w:r>
            <w:r w:rsidR="003E0BDE" w:rsidRPr="009D5DFF">
              <w:t xml:space="preserve"> Főtitkári </w:t>
            </w:r>
            <w:r w:rsidRPr="009D5DFF">
              <w:t>hivatal/Kabinett tas-Segretarju Ġenerali/Kabinet van de secretaris-generaal/Gabinet Sekretarza Generalnego/Gabinete do Secretário-Geral/Cabinet Secretar General/Kancelária generálneho tajomníka/Urad generalnega sekretarja/Pääsihteerin kabinetti/ Generalsekreterarens kansli</w:t>
            </w:r>
          </w:p>
        </w:tc>
      </w:tr>
      <w:tr w:rsidR="008452E8" w:rsidRPr="009D5DFF" w:rsidTr="003C7A12">
        <w:trPr>
          <w:cantSplit/>
          <w:trHeight w:val="510"/>
        </w:trPr>
        <w:tc>
          <w:tcPr>
            <w:tcW w:w="9072" w:type="dxa"/>
            <w:gridSpan w:val="2"/>
            <w:shd w:val="clear" w:color="auto" w:fill="FFFFFF"/>
          </w:tcPr>
          <w:p w:rsidR="008452E8" w:rsidRPr="009D5DFF" w:rsidRDefault="008452E8" w:rsidP="00AD4CEB">
            <w:pPr>
              <w:pStyle w:val="AttendancePVTable"/>
            </w:pPr>
          </w:p>
        </w:tc>
      </w:tr>
      <w:tr w:rsidR="008452E8" w:rsidRPr="009D5DFF">
        <w:trPr>
          <w:cantSplit/>
        </w:trPr>
        <w:tc>
          <w:tcPr>
            <w:tcW w:w="9072" w:type="dxa"/>
            <w:gridSpan w:val="2"/>
            <w:shd w:val="pct10" w:color="000000" w:fill="FFFFFF"/>
          </w:tcPr>
          <w:p w:rsidR="008452E8" w:rsidRPr="009D5DFF" w:rsidRDefault="00C634EF" w:rsidP="00AD4CEB">
            <w:pPr>
              <w:pStyle w:val="AttendancePVTable"/>
            </w:pPr>
            <w:r w:rsidRPr="009D5DFF">
              <w:t>Генерална дирекция/Dirección General/Generální ředitelství/Generaldirektorat/Generaldirektion/Peadirektoraat/Γενική Διεύθυνση/ Directorate-General/Direction générale</w:t>
            </w:r>
            <w:r w:rsidR="0064227F" w:rsidRPr="009D5DFF">
              <w:t>/Glavna uprava</w:t>
            </w:r>
            <w:r w:rsidRPr="009D5DFF">
              <w:t>/Direzione generale/Ģenerāldirektorāts/Generalinis direktoratas/Főigazgatóság/ Direttorat Ġenerali/Directoraten</w:t>
            </w:r>
            <w:r w:rsidRPr="009D5DFF">
              <w:noBreakHyphen/>
              <w:t>generaal/Dyrekcja Generalna/Direcção-Geral/Direcţii Generale/Generálne riaditeľstvo/Generalni direktorat</w:t>
            </w:r>
            <w:r w:rsidR="0082592C" w:rsidRPr="009D5DFF">
              <w:t>/</w:t>
            </w:r>
            <w:r w:rsidRPr="009D5DFF">
              <w:t>Pääosasto/Generaldirektorat</w:t>
            </w:r>
          </w:p>
        </w:tc>
      </w:tr>
      <w:tr w:rsidR="008452E8" w:rsidRPr="009D5DFF">
        <w:trPr>
          <w:cantSplit/>
          <w:trHeight w:val="720"/>
        </w:trPr>
        <w:tc>
          <w:tcPr>
            <w:tcW w:w="1701" w:type="dxa"/>
            <w:shd w:val="clear" w:color="auto" w:fill="FFFFFF"/>
          </w:tcPr>
          <w:p w:rsidR="008452E8" w:rsidRPr="009D5DFF" w:rsidRDefault="008452E8" w:rsidP="00A66B35">
            <w:pPr>
              <w:pStyle w:val="AttendancePVTable"/>
            </w:pPr>
            <w:r w:rsidRPr="009D5DFF">
              <w:t>DG PRES</w:t>
            </w:r>
          </w:p>
          <w:p w:rsidR="008452E8" w:rsidRPr="009D5DFF" w:rsidRDefault="008452E8" w:rsidP="00A66B35">
            <w:pPr>
              <w:pStyle w:val="AttendancePVTable"/>
            </w:pPr>
            <w:r w:rsidRPr="009D5DFF">
              <w:t>DG IPOL</w:t>
            </w:r>
          </w:p>
          <w:p w:rsidR="008452E8" w:rsidRPr="009D5DFF" w:rsidRDefault="008452E8" w:rsidP="00A66B35">
            <w:pPr>
              <w:pStyle w:val="AttendancePVTable"/>
            </w:pPr>
            <w:r w:rsidRPr="009D5DFF">
              <w:t>DG EXPO</w:t>
            </w:r>
          </w:p>
          <w:p w:rsidR="00CA53ED" w:rsidRPr="009D5DFF" w:rsidRDefault="00CA53ED" w:rsidP="00A66B35">
            <w:pPr>
              <w:pStyle w:val="AttendancePVTable"/>
            </w:pPr>
            <w:r w:rsidRPr="009D5DFF">
              <w:t>DG EPRS</w:t>
            </w:r>
          </w:p>
          <w:p w:rsidR="008452E8" w:rsidRPr="009D5DFF" w:rsidRDefault="008452E8" w:rsidP="00A66B35">
            <w:pPr>
              <w:pStyle w:val="AttendancePVTable"/>
            </w:pPr>
            <w:r w:rsidRPr="009D5DFF">
              <w:t xml:space="preserve">DG </w:t>
            </w:r>
            <w:r w:rsidR="007C674A" w:rsidRPr="009D5DFF">
              <w:t>COMM</w:t>
            </w:r>
          </w:p>
          <w:p w:rsidR="00E05CC1" w:rsidRPr="009D5DFF" w:rsidRDefault="00E05CC1" w:rsidP="00E05CC1">
            <w:pPr>
              <w:pStyle w:val="AttendancePVTable"/>
            </w:pPr>
            <w:r w:rsidRPr="009D5DFF">
              <w:t>DG PA</w:t>
            </w:r>
            <w:r w:rsidR="002C6A21" w:rsidRPr="009D5DFF">
              <w:t>RT</w:t>
            </w:r>
          </w:p>
          <w:p w:rsidR="008452E8" w:rsidRPr="009D5DFF" w:rsidRDefault="008452E8" w:rsidP="00A66B35">
            <w:pPr>
              <w:pStyle w:val="AttendancePVTable"/>
            </w:pPr>
            <w:r w:rsidRPr="009D5DFF">
              <w:t>DG PERS</w:t>
            </w:r>
          </w:p>
          <w:p w:rsidR="008452E8" w:rsidRPr="009D5DFF" w:rsidRDefault="007C674A" w:rsidP="00A66B35">
            <w:pPr>
              <w:pStyle w:val="AttendancePVTable"/>
            </w:pPr>
            <w:r w:rsidRPr="009D5DFF">
              <w:t>DG INLO</w:t>
            </w:r>
          </w:p>
          <w:p w:rsidR="008452E8" w:rsidRPr="009D5DFF" w:rsidRDefault="008452E8" w:rsidP="00A66B35">
            <w:pPr>
              <w:pStyle w:val="AttendancePVTable"/>
            </w:pPr>
            <w:r w:rsidRPr="009D5DFF">
              <w:t>DG TR</w:t>
            </w:r>
            <w:r w:rsidR="007C674A" w:rsidRPr="009D5DFF">
              <w:t>A</w:t>
            </w:r>
            <w:r w:rsidRPr="009D5DFF">
              <w:t>D</w:t>
            </w:r>
          </w:p>
          <w:p w:rsidR="007C674A" w:rsidRPr="009D5DFF" w:rsidRDefault="007C674A" w:rsidP="00A66B35">
            <w:pPr>
              <w:pStyle w:val="AttendancePVTable"/>
            </w:pPr>
            <w:r w:rsidRPr="009D5DFF">
              <w:t xml:space="preserve">DG </w:t>
            </w:r>
            <w:r w:rsidR="003F18DC" w:rsidRPr="009D5DFF">
              <w:t>LINC</w:t>
            </w:r>
          </w:p>
          <w:p w:rsidR="008452E8" w:rsidRPr="009D5DFF" w:rsidRDefault="008452E8" w:rsidP="00A66B35">
            <w:pPr>
              <w:pStyle w:val="AttendancePVTable"/>
            </w:pPr>
            <w:r w:rsidRPr="009D5DFF">
              <w:t>DG FINS</w:t>
            </w:r>
          </w:p>
          <w:p w:rsidR="00CA53ED" w:rsidRPr="009D5DFF" w:rsidRDefault="00CA53ED" w:rsidP="00A66B35">
            <w:pPr>
              <w:pStyle w:val="AttendancePVTable"/>
            </w:pPr>
            <w:r w:rsidRPr="009D5DFF">
              <w:t>DG ITEC</w:t>
            </w:r>
          </w:p>
          <w:p w:rsidR="007C674A" w:rsidRPr="009D5DFF" w:rsidRDefault="00CA53ED" w:rsidP="00A66B35">
            <w:pPr>
              <w:pStyle w:val="AttendancePVTable"/>
            </w:pPr>
            <w:r w:rsidRPr="009D5DFF">
              <w:t>DG SAFE</w:t>
            </w:r>
          </w:p>
          <w:p w:rsidR="005C0A0C" w:rsidRPr="009D5DFF" w:rsidRDefault="00C50479" w:rsidP="001A7591">
            <w:pPr>
              <w:pStyle w:val="AttendancePVTable"/>
            </w:pPr>
            <w:r w:rsidRPr="009D5DFF">
              <w:t>Legal Service</w:t>
            </w:r>
          </w:p>
        </w:tc>
        <w:tc>
          <w:tcPr>
            <w:tcW w:w="7371" w:type="dxa"/>
            <w:shd w:val="clear" w:color="auto" w:fill="FFFFFF"/>
          </w:tcPr>
          <w:p w:rsidR="005C0A0C" w:rsidRPr="009D5DFF" w:rsidRDefault="005C0A0C" w:rsidP="00D83E80">
            <w:pPr>
              <w:pStyle w:val="AttendancePVTable"/>
            </w:pPr>
          </w:p>
          <w:p w:rsidR="007C72E8" w:rsidRPr="009D5DFF" w:rsidRDefault="007C72E8" w:rsidP="00D83E80">
            <w:pPr>
              <w:pStyle w:val="AttendancePVTable"/>
            </w:pPr>
            <w:r w:rsidRPr="009D5DFF">
              <w:t>Sarah Blau</w:t>
            </w:r>
          </w:p>
        </w:tc>
      </w:tr>
    </w:tbl>
    <w:p w:rsidR="00801684" w:rsidRPr="009D5DFF" w:rsidRDefault="00801684" w:rsidP="005D5A08">
      <w:pPr>
        <w:pStyle w:val="AttendancePV"/>
      </w:pPr>
    </w:p>
    <w:p w:rsidR="00C634EF" w:rsidRPr="009D5DFF" w:rsidRDefault="00C634EF" w:rsidP="00AD4CEB">
      <w:pPr>
        <w:pStyle w:val="AttendancePVFootnote"/>
      </w:pPr>
      <w:r w:rsidRPr="009D5DFF">
        <w:t xml:space="preserve">* </w:t>
      </w:r>
      <w:r w:rsidRPr="009D5DFF">
        <w:tab/>
        <w:t>(P)</w:t>
      </w:r>
      <w:r w:rsidRPr="009D5DFF">
        <w:tab/>
        <w:t>=</w:t>
      </w:r>
      <w:r w:rsidRPr="009D5DFF">
        <w:tab/>
        <w:t>Председател/Presidente/Předseda/Formand/Vorsitzender/Esimees/Πρόεδρος/Chair/Président</w:t>
      </w:r>
      <w:r w:rsidR="00E6537C" w:rsidRPr="009D5DFF">
        <w:t>/Predsjednik</w:t>
      </w:r>
      <w:r w:rsidRPr="009D5DFF">
        <w:t>/Priekšsēdētājs/</w:t>
      </w:r>
      <w:r w:rsidR="00E6537C" w:rsidRPr="009D5DFF">
        <w:t xml:space="preserve"> </w:t>
      </w:r>
      <w:r w:rsidRPr="009D5DFF">
        <w:t>Pirmininkas/Elnök/'Chairman'/Voorzitter/Przewodniczący/Preşedinte/Predseda/Predsednik/Puheenjohtaja</w:t>
      </w:r>
      <w:r w:rsidR="0082592C" w:rsidRPr="009D5DFF">
        <w:t>/</w:t>
      </w:r>
      <w:r w:rsidRPr="009D5DFF">
        <w:t>Ordförande</w:t>
      </w:r>
    </w:p>
    <w:p w:rsidR="00C634EF" w:rsidRPr="009D5DFF" w:rsidRDefault="00C634EF" w:rsidP="00AD4CEB">
      <w:pPr>
        <w:pStyle w:val="AttendancePVFootnote"/>
      </w:pPr>
      <w:r w:rsidRPr="009D5DFF">
        <w:tab/>
        <w:t>(VP) =</w:t>
      </w:r>
      <w:r w:rsidRPr="009D5DFF">
        <w:tab/>
        <w:t>Заместник-председател/Vicepresidente/Místopředseda/Næstformand/Stellvertretender Vorsitzender/Aseesimees/Αντιπρόεδρος/ Vice</w:t>
      </w:r>
      <w:r w:rsidRPr="009D5DFF">
        <w:noBreakHyphen/>
        <w:t>Chair/Potpredsjednik/Vice</w:t>
      </w:r>
      <w:r w:rsidRPr="009D5DFF">
        <w:noBreakHyphen/>
        <w:t>Président</w:t>
      </w:r>
      <w:r w:rsidR="00E6537C" w:rsidRPr="009D5DFF">
        <w:t>/Potpredsjednik</w:t>
      </w:r>
      <w:r w:rsidRPr="009D5DFF">
        <w:t>/Priekšsēdētāja vietnieks/Pirmininko pavaduotojas/Alelnök/</w:t>
      </w:r>
      <w:r w:rsidR="00E6537C" w:rsidRPr="009D5DFF">
        <w:t xml:space="preserve"> </w:t>
      </w:r>
      <w:r w:rsidRPr="009D5DFF">
        <w:t>Viċi 'Chairman'</w:t>
      </w:r>
      <w:r w:rsidR="0082592C" w:rsidRPr="009D5DFF">
        <w:t>/</w:t>
      </w:r>
      <w:r w:rsidRPr="009D5DFF">
        <w:t>Ondervoorzitter/Wiceprzewodniczący/Vice-Presidente/Vicepreşedinte/Podpredseda/Podpredsednik/</w:t>
      </w:r>
      <w:r w:rsidR="0082592C" w:rsidRPr="009D5DFF">
        <w:t xml:space="preserve"> </w:t>
      </w:r>
      <w:r w:rsidRPr="009D5DFF">
        <w:t>Varapuheenjohtaja</w:t>
      </w:r>
      <w:r w:rsidR="0082592C" w:rsidRPr="009D5DFF">
        <w:t>/</w:t>
      </w:r>
      <w:r w:rsidRPr="009D5DFF">
        <w:t>Vice ordförande</w:t>
      </w:r>
    </w:p>
    <w:p w:rsidR="00C634EF" w:rsidRPr="009D5DFF" w:rsidRDefault="00C634EF" w:rsidP="00AD4CEB">
      <w:pPr>
        <w:pStyle w:val="AttendancePVFootnote"/>
      </w:pPr>
      <w:r w:rsidRPr="009D5DFF">
        <w:tab/>
        <w:t>(M)</w:t>
      </w:r>
      <w:r w:rsidRPr="009D5DFF">
        <w:tab/>
        <w:t>=</w:t>
      </w:r>
      <w:r w:rsidRPr="009D5DFF">
        <w:tab/>
        <w:t>Член/Miembro/Člen/Medlem/Mitglied/Parlamendiliige/</w:t>
      </w:r>
      <w:r w:rsidR="000F6376" w:rsidRPr="009D5DFF">
        <w:t>Βουλευτής</w:t>
      </w:r>
      <w:r w:rsidRPr="009D5DFF">
        <w:t>/Member/Membre</w:t>
      </w:r>
      <w:r w:rsidR="00E6537C" w:rsidRPr="009D5DFF">
        <w:t>/Član</w:t>
      </w:r>
      <w:r w:rsidRPr="009D5DFF">
        <w:t>/Membro/Deputāts/Narys/Képviselő/ Membru/Lid/Członek/Membro/Membru/Člen/Poslanec/Jäsen/Ledamot</w:t>
      </w:r>
    </w:p>
    <w:p w:rsidR="006275CD" w:rsidRPr="009D5DFF" w:rsidRDefault="00C634EF" w:rsidP="00AD4CEB">
      <w:pPr>
        <w:pStyle w:val="AttendancePVFootnote"/>
      </w:pPr>
      <w:r w:rsidRPr="009D5DFF">
        <w:tab/>
        <w:t>(F)</w:t>
      </w:r>
      <w:r w:rsidRPr="009D5DFF">
        <w:tab/>
        <w:t>=</w:t>
      </w:r>
      <w:r w:rsidRPr="009D5DFF">
        <w:tab/>
        <w:t>Длъжностно лице/Funcionario/Úředník/Tjenestemand/Beamter/Ametnik/Υπάλληλος/Official/Fonctionnaire</w:t>
      </w:r>
      <w:r w:rsidR="00E6537C" w:rsidRPr="009D5DFF">
        <w:t>/Dužnosnik</w:t>
      </w:r>
      <w:r w:rsidRPr="009D5DFF">
        <w:t>/ Funzionario/Ierēdnis/Pareigūnas/Tisztviselő/Uffiċjal/Ambtenaar/Urzędnik/Funcionário/Funcţionar/Úradník/Uradnik/Virkamies/ Tjänsteman</w:t>
      </w:r>
    </w:p>
    <w:p w:rsidR="0022027F" w:rsidRPr="009D5DFF" w:rsidRDefault="0022027F" w:rsidP="0022027F">
      <w:pPr>
        <w:pStyle w:val="AttendancePV"/>
      </w:pPr>
    </w:p>
    <w:sectPr w:rsidR="0022027F" w:rsidRPr="009D5DFF" w:rsidSect="001E4EBD">
      <w:footnotePr>
        <w:numRestart w:val="eachSect"/>
      </w:footnotePr>
      <w:pgSz w:w="11907" w:h="16840" w:code="9"/>
      <w:pgMar w:top="1134"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79" w:rsidRPr="00C50479" w:rsidRDefault="00C50479">
      <w:r w:rsidRPr="00C50479">
        <w:separator/>
      </w:r>
    </w:p>
    <w:p w:rsidR="00C50479" w:rsidRPr="00C50479" w:rsidRDefault="00C50479"/>
  </w:endnote>
  <w:endnote w:type="continuationSeparator" w:id="0">
    <w:p w:rsidR="00C50479" w:rsidRPr="00C50479" w:rsidRDefault="00C50479">
      <w:r w:rsidRPr="00C50479">
        <w:continuationSeparator/>
      </w:r>
    </w:p>
    <w:p w:rsidR="00C50479" w:rsidRPr="00C50479" w:rsidRDefault="00C50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okChampa">
    <w:altName w:val="Leelawadee UI"/>
    <w:charset w:val="DE"/>
    <w:family w:val="swiss"/>
    <w:pitch w:val="variable"/>
    <w:sig w:usb0="00000000" w:usb1="00000000" w:usb2="00000000" w:usb3="00000000" w:csb0="00010001"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5" w:rsidRPr="00C50479" w:rsidRDefault="00A13D65" w:rsidP="005A4857">
    <w:pPr>
      <w:pStyle w:val="EPFooter"/>
    </w:pPr>
    <w:r w:rsidRPr="00C50479">
      <w:t>PE</w:t>
    </w:r>
    <w:r w:rsidRPr="00C50479">
      <w:rPr>
        <w:rStyle w:val="HideTWBExt"/>
      </w:rPr>
      <w:t>&lt;NoPE&gt;</w:t>
    </w:r>
    <w:r w:rsidR="0015205A" w:rsidRPr="0015205A">
      <w:t>763.270</w:t>
    </w:r>
    <w:r w:rsidRPr="00C50479">
      <w:rPr>
        <w:rStyle w:val="HideTWBExt"/>
      </w:rPr>
      <w:t>&lt;/NoPE&gt;&lt;Version&gt;</w:t>
    </w:r>
    <w:r w:rsidR="00C50479" w:rsidRPr="00C50479">
      <w:t>v</w:t>
    </w:r>
    <w:r w:rsidR="0015205A" w:rsidRPr="0015205A">
      <w:t>01-00</w:t>
    </w:r>
    <w:r w:rsidRPr="00C50479">
      <w:rPr>
        <w:rStyle w:val="HideTWBExt"/>
      </w:rPr>
      <w:t>&lt;/Version&gt;</w:t>
    </w:r>
    <w:r w:rsidRPr="00C50479">
      <w:tab/>
    </w:r>
    <w:r w:rsidR="00C63E0B" w:rsidRPr="00C50479">
      <w:fldChar w:fldCharType="begin"/>
    </w:r>
    <w:r w:rsidR="00C63E0B" w:rsidRPr="00C50479">
      <w:instrText xml:space="preserve"> PAGE </w:instrText>
    </w:r>
    <w:r w:rsidR="00C63E0B" w:rsidRPr="00C50479">
      <w:fldChar w:fldCharType="separate"/>
    </w:r>
    <w:r w:rsidR="009D5DFF">
      <w:rPr>
        <w:noProof/>
      </w:rPr>
      <w:t>2</w:t>
    </w:r>
    <w:r w:rsidR="00C63E0B" w:rsidRPr="00C50479">
      <w:fldChar w:fldCharType="end"/>
    </w:r>
    <w:r w:rsidR="00C63E0B" w:rsidRPr="00C50479">
      <w:t>/</w:t>
    </w:r>
    <w:fldSimple w:instr=" NUMPAGES ">
      <w:r w:rsidR="009D5DFF">
        <w:rPr>
          <w:noProof/>
        </w:rPr>
        <w:t>5</w:t>
      </w:r>
    </w:fldSimple>
    <w:r w:rsidRPr="00C50479">
      <w:tab/>
    </w:r>
    <w:r w:rsidRPr="00C50479">
      <w:rPr>
        <w:rStyle w:val="HideTWBExt"/>
      </w:rPr>
      <w:t>&lt;PathFdR&gt;</w:t>
    </w:r>
    <w:r w:rsidR="0015205A" w:rsidRPr="0015205A">
      <w:t>PV\1307106EN.docx</w:t>
    </w:r>
    <w:r w:rsidRPr="00C50479">
      <w:rPr>
        <w:rStyle w:val="HideTWBExt"/>
      </w:rPr>
      <w:t>&lt;/PathFdR&gt;</w:t>
    </w:r>
  </w:p>
  <w:p w:rsidR="00A13D65" w:rsidRPr="00C50479" w:rsidRDefault="0015205A">
    <w:pPr>
      <w:pStyle w:val="EPFooter2"/>
    </w:pPr>
    <w:fldSimple w:instr=" DOCPROPERTY &quot;&lt;Extension&gt;&quot; ">
      <w:r w:rsidR="009D5DFF">
        <w:t>EN</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5" w:rsidRPr="00C50479" w:rsidRDefault="00A13D65" w:rsidP="005A4857">
    <w:pPr>
      <w:pStyle w:val="EPFooter"/>
    </w:pPr>
    <w:r w:rsidRPr="00C50479">
      <w:rPr>
        <w:rStyle w:val="HideTWBExt"/>
      </w:rPr>
      <w:t>&lt;PathFdR&gt;</w:t>
    </w:r>
    <w:r w:rsidR="0015205A" w:rsidRPr="0015205A">
      <w:t>PV\1307106EN.docx</w:t>
    </w:r>
    <w:r w:rsidRPr="00C50479">
      <w:rPr>
        <w:rStyle w:val="HideTWBExt"/>
      </w:rPr>
      <w:t>&lt;/PathFdR&gt;</w:t>
    </w:r>
    <w:r w:rsidRPr="00C50479">
      <w:tab/>
    </w:r>
    <w:r w:rsidR="00C63E0B" w:rsidRPr="00C50479">
      <w:fldChar w:fldCharType="begin"/>
    </w:r>
    <w:r w:rsidR="00C63E0B" w:rsidRPr="00C50479">
      <w:instrText xml:space="preserve"> PAGE </w:instrText>
    </w:r>
    <w:r w:rsidR="00C63E0B" w:rsidRPr="00C50479">
      <w:fldChar w:fldCharType="separate"/>
    </w:r>
    <w:r w:rsidR="009D5DFF">
      <w:rPr>
        <w:noProof/>
      </w:rPr>
      <w:t>3</w:t>
    </w:r>
    <w:r w:rsidR="00C63E0B" w:rsidRPr="00C50479">
      <w:fldChar w:fldCharType="end"/>
    </w:r>
    <w:r w:rsidR="00C63E0B" w:rsidRPr="00C50479">
      <w:t>/</w:t>
    </w:r>
    <w:fldSimple w:instr=" NUMPAGES ">
      <w:r w:rsidR="009D5DFF">
        <w:rPr>
          <w:noProof/>
        </w:rPr>
        <w:t>5</w:t>
      </w:r>
    </w:fldSimple>
    <w:r w:rsidRPr="00C50479">
      <w:tab/>
      <w:t>PE</w:t>
    </w:r>
    <w:r w:rsidRPr="00C50479">
      <w:rPr>
        <w:rStyle w:val="HideTWBExt"/>
      </w:rPr>
      <w:t>&lt;NoPE&gt;</w:t>
    </w:r>
    <w:r w:rsidR="0015205A" w:rsidRPr="0015205A">
      <w:t>763.270</w:t>
    </w:r>
    <w:r w:rsidRPr="00C50479">
      <w:rPr>
        <w:rStyle w:val="HideTWBExt"/>
      </w:rPr>
      <w:t>&lt;/NoPE&gt;&lt;Version&gt;</w:t>
    </w:r>
    <w:r w:rsidR="00C50479" w:rsidRPr="00C50479">
      <w:t>v</w:t>
    </w:r>
    <w:r w:rsidR="0015205A" w:rsidRPr="0015205A">
      <w:t>01-00</w:t>
    </w:r>
    <w:r w:rsidRPr="00C50479">
      <w:rPr>
        <w:rStyle w:val="HideTWBExt"/>
      </w:rPr>
      <w:t>&lt;/Version&gt;</w:t>
    </w:r>
  </w:p>
  <w:p w:rsidR="00A13D65" w:rsidRPr="00C50479" w:rsidRDefault="00A13D65">
    <w:pPr>
      <w:pStyle w:val="EPFooter2"/>
      <w:tabs>
        <w:tab w:val="right" w:pos="9356"/>
      </w:tabs>
    </w:pPr>
    <w:r w:rsidRPr="00C50479">
      <w:tab/>
    </w:r>
    <w:r w:rsidRPr="00C50479">
      <w:tab/>
    </w:r>
    <w:fldSimple w:instr=" DOCPROPERTY &quot;&lt;Extension&gt;&quot; ">
      <w:r w:rsidR="009D5DFF">
        <w:t>EN</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5" w:rsidRPr="00C50479" w:rsidRDefault="00A13D65" w:rsidP="005A4857">
    <w:pPr>
      <w:pStyle w:val="EPFooter"/>
    </w:pPr>
    <w:r w:rsidRPr="00C50479">
      <w:rPr>
        <w:rStyle w:val="HideTWBExt"/>
      </w:rPr>
      <w:t>&lt;PathFdR&gt;</w:t>
    </w:r>
    <w:r w:rsidR="004A560F" w:rsidRPr="004A560F">
      <w:t>PV\1307106EN.docx</w:t>
    </w:r>
    <w:r w:rsidRPr="00C50479">
      <w:rPr>
        <w:rStyle w:val="HideTWBExt"/>
      </w:rPr>
      <w:t>&lt;/PathFdR&gt;</w:t>
    </w:r>
    <w:r w:rsidRPr="00C50479">
      <w:tab/>
    </w:r>
    <w:r w:rsidRPr="00C50479">
      <w:tab/>
      <w:t>PE</w:t>
    </w:r>
    <w:r w:rsidRPr="00C50479">
      <w:rPr>
        <w:rStyle w:val="HideTWBExt"/>
      </w:rPr>
      <w:t>&lt;NoPE&gt;</w:t>
    </w:r>
    <w:r w:rsidR="004A560F" w:rsidRPr="004A560F">
      <w:t>763.270</w:t>
    </w:r>
    <w:r w:rsidRPr="00C50479">
      <w:rPr>
        <w:rStyle w:val="HideTWBExt"/>
      </w:rPr>
      <w:t>&lt;/NoPE&gt;&lt;Version&gt;</w:t>
    </w:r>
    <w:r w:rsidR="00C50479" w:rsidRPr="00C50479">
      <w:t>v</w:t>
    </w:r>
    <w:r w:rsidR="004A560F" w:rsidRPr="004A560F">
      <w:t>01-00</w:t>
    </w:r>
    <w:r w:rsidRPr="00C50479">
      <w:rPr>
        <w:rStyle w:val="HideTWBExt"/>
      </w:rPr>
      <w:t>&lt;/Version&gt;</w:t>
    </w:r>
  </w:p>
  <w:p w:rsidR="00A13D65" w:rsidRPr="00C50479" w:rsidRDefault="0015205A" w:rsidP="00F64B87">
    <w:pPr>
      <w:pStyle w:val="EPFooter2"/>
      <w:tabs>
        <w:tab w:val="clear" w:pos="4535"/>
        <w:tab w:val="center" w:pos="4536"/>
      </w:tabs>
    </w:pPr>
    <w:fldSimple w:instr=" DOCPROPERTY &quot;&lt;Extension&gt;&quot; ">
      <w:r w:rsidR="009D5DFF">
        <w:t>EN</w:t>
      </w:r>
    </w:fldSimple>
    <w:r w:rsidR="00A13D65" w:rsidRPr="00C50479">
      <w:tab/>
    </w:r>
    <w:r w:rsidR="004A560F">
      <w:rPr>
        <w:b w:val="0"/>
        <w:i/>
        <w:color w:val="C0C0C0"/>
        <w:sz w:val="22"/>
        <w:szCs w:val="22"/>
      </w:rPr>
      <w:t>United in diversity</w:t>
    </w:r>
    <w:r w:rsidR="00A13D65" w:rsidRPr="00C50479">
      <w:tab/>
    </w:r>
    <w:fldSimple w:instr=" DOCPROPERTY &quot;&lt;Extension&gt;&quot; ">
      <w:r w:rsidR="009D5DFF">
        <w:t>EN</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79" w:rsidRPr="00C50479" w:rsidRDefault="00C50479">
      <w:r w:rsidRPr="00C50479">
        <w:separator/>
      </w:r>
    </w:p>
    <w:p w:rsidR="00C50479" w:rsidRPr="00C50479" w:rsidRDefault="00C50479"/>
  </w:footnote>
  <w:footnote w:type="continuationSeparator" w:id="0">
    <w:p w:rsidR="00C50479" w:rsidRPr="00C50479" w:rsidRDefault="00C50479">
      <w:r w:rsidRPr="00C50479">
        <w:continuationSeparator/>
      </w:r>
    </w:p>
    <w:p w:rsidR="00C50479" w:rsidRPr="00C50479" w:rsidRDefault="00C504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5A" w:rsidRDefault="00152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5A" w:rsidRDefault="00152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5A" w:rsidRDefault="00152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9EDE335A"/>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13E4CA5"/>
    <w:multiLevelType w:val="multilevel"/>
    <w:tmpl w:val="68563812"/>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36B0AF"/>
    <w:multiLevelType w:val="multilevel"/>
    <w:tmpl w:val="7DAD358E"/>
    <w:lvl w:ilvl="0">
      <w:start w:val="1"/>
      <w:numFmt w:val="bullet"/>
      <w:lvlText w:val=""/>
      <w:lvlJc w:val="left"/>
      <w:pPr>
        <w:tabs>
          <w:tab w:val="left" w:pos="1100"/>
        </w:tabs>
        <w:ind w:left="1100" w:hanging="40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C58130E"/>
    <w:multiLevelType w:val="multilevel"/>
    <w:tmpl w:val="47FC11E8"/>
    <w:lvl w:ilvl="0">
      <w:start w:val="1"/>
      <w:numFmt w:val="decimal"/>
      <w:pStyle w:val="PVxHeading"/>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47D0C51"/>
    <w:multiLevelType w:val="multilevel"/>
    <w:tmpl w:val="80B062B0"/>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7E3788E"/>
    <w:multiLevelType w:val="multilevel"/>
    <w:tmpl w:val="F35CC88C"/>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2C328EE"/>
    <w:multiLevelType w:val="hybridMultilevel"/>
    <w:tmpl w:val="B50AF4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EAF01B1"/>
    <w:multiLevelType w:val="singleLevel"/>
    <w:tmpl w:val="65C6BFBC"/>
    <w:lvl w:ilvl="0">
      <w:start w:val="1"/>
      <w:numFmt w:val="decimal"/>
      <w:lvlText w:val="%1."/>
      <w:lvlJc w:val="left"/>
      <w:pPr>
        <w:tabs>
          <w:tab w:val="num" w:pos="360"/>
        </w:tabs>
        <w:ind w:left="360" w:hanging="360"/>
      </w:pPr>
    </w:lvl>
  </w:abstractNum>
  <w:abstractNum w:abstractNumId="9" w15:restartNumberingAfterBreak="0">
    <w:nsid w:val="4CE833CE"/>
    <w:multiLevelType w:val="multilevel"/>
    <w:tmpl w:val="74FC5176"/>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5519790F"/>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AD35DAB"/>
    <w:multiLevelType w:val="multilevel"/>
    <w:tmpl w:val="827EAE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B4F0640"/>
    <w:multiLevelType w:val="multilevel"/>
    <w:tmpl w:val="4A041180"/>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2E76083"/>
    <w:multiLevelType w:val="multilevel"/>
    <w:tmpl w:val="381276F4"/>
    <w:lvl w:ilvl="0">
      <w:start w:val="1"/>
      <w:numFmt w:val="lowerLetter"/>
      <w:lvlText w:val="%1)"/>
      <w:lvlJc w:val="left"/>
      <w:pPr>
        <w:tabs>
          <w:tab w:val="num" w:pos="1440"/>
        </w:tabs>
        <w:ind w:left="144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3"/>
  </w:num>
  <w:num w:numId="3">
    <w:abstractNumId w:val="9"/>
  </w:num>
  <w:num w:numId="4">
    <w:abstractNumId w:val="8"/>
  </w:num>
  <w:num w:numId="5">
    <w:abstractNumId w:val="1"/>
  </w:num>
  <w:num w:numId="6">
    <w:abstractNumId w:val="6"/>
  </w:num>
  <w:num w:numId="7">
    <w:abstractNumId w:val="2"/>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2"/>
  </w:num>
  <w:num w:numId="16">
    <w:abstractNumId w:val="2"/>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2"/>
  </w:num>
  <w:num w:numId="25">
    <w:abstractNumId w:val="2"/>
  </w:num>
  <w:num w:numId="26">
    <w:abstractNumId w:val="5"/>
  </w:num>
  <w:num w:numId="27">
    <w:abstractNumId w:val="4"/>
  </w:num>
  <w:num w:numId="28">
    <w:abstractNumId w:val="11"/>
  </w:num>
  <w:num w:numId="29">
    <w:abstractNumId w:val="0"/>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AIRMNU" w:val=" 1"/>
    <w:docVar w:name="CITYMNU" w:val=" 1"/>
    <w:docVar w:name="COMKEY" w:val="ENVI"/>
    <w:docVar w:name="LastEditedSection" w:val=" 1"/>
    <w:docVar w:name="MEETMNU" w:val=" 1"/>
    <w:docVar w:name="NVAR" w:val="0"/>
    <w:docVar w:name="STOREDT1" w:val="23/09/2024"/>
    <w:docVar w:name="strDocTypeID" w:val="PVx"/>
    <w:docVar w:name="strSubDir" w:val="1307"/>
    <w:docVar w:name="TXTLANGUE" w:val="EN"/>
    <w:docVar w:name="TXTLANGUEMIN" w:val="en"/>
    <w:docVar w:name="TXTNRPE" w:val="763.270"/>
    <w:docVar w:name="TXTNRPV" w:val="(2024)0923"/>
    <w:docVar w:name="TXTPEorAP" w:val="PE"/>
    <w:docVar w:name="TXTROUTE" w:val="PV\1307106EN.docx"/>
    <w:docVar w:name="TXTVERSION" w:val="01-00"/>
  </w:docVars>
  <w:rsids>
    <w:rsidRoot w:val="00C50479"/>
    <w:rsid w:val="00007788"/>
    <w:rsid w:val="00021AD6"/>
    <w:rsid w:val="000265BD"/>
    <w:rsid w:val="00041A79"/>
    <w:rsid w:val="00044E57"/>
    <w:rsid w:val="00051B98"/>
    <w:rsid w:val="000533F1"/>
    <w:rsid w:val="000637F3"/>
    <w:rsid w:val="0006514D"/>
    <w:rsid w:val="0007192F"/>
    <w:rsid w:val="00092111"/>
    <w:rsid w:val="0009235A"/>
    <w:rsid w:val="00094128"/>
    <w:rsid w:val="000952B6"/>
    <w:rsid w:val="000A769E"/>
    <w:rsid w:val="000B1C1A"/>
    <w:rsid w:val="000B727D"/>
    <w:rsid w:val="000C46ED"/>
    <w:rsid w:val="000D1273"/>
    <w:rsid w:val="000D4F53"/>
    <w:rsid w:val="000D5FD7"/>
    <w:rsid w:val="000E082D"/>
    <w:rsid w:val="000F0B40"/>
    <w:rsid w:val="000F6376"/>
    <w:rsid w:val="0011399B"/>
    <w:rsid w:val="00114A86"/>
    <w:rsid w:val="001173AC"/>
    <w:rsid w:val="0015205A"/>
    <w:rsid w:val="00164E56"/>
    <w:rsid w:val="00176DCC"/>
    <w:rsid w:val="001813D5"/>
    <w:rsid w:val="001857BA"/>
    <w:rsid w:val="00190F58"/>
    <w:rsid w:val="00194506"/>
    <w:rsid w:val="0019636C"/>
    <w:rsid w:val="001A7591"/>
    <w:rsid w:val="001C4040"/>
    <w:rsid w:val="001D14AA"/>
    <w:rsid w:val="001E20EC"/>
    <w:rsid w:val="001E4EBD"/>
    <w:rsid w:val="0020777E"/>
    <w:rsid w:val="0022027F"/>
    <w:rsid w:val="00225BAF"/>
    <w:rsid w:val="0022750E"/>
    <w:rsid w:val="002301D4"/>
    <w:rsid w:val="00236A0D"/>
    <w:rsid w:val="002467F2"/>
    <w:rsid w:val="00250F5D"/>
    <w:rsid w:val="00251D85"/>
    <w:rsid w:val="00257C16"/>
    <w:rsid w:val="0026136B"/>
    <w:rsid w:val="002659A2"/>
    <w:rsid w:val="00273DB4"/>
    <w:rsid w:val="002753C7"/>
    <w:rsid w:val="002870DD"/>
    <w:rsid w:val="002A27BB"/>
    <w:rsid w:val="002C6A21"/>
    <w:rsid w:val="002D74B5"/>
    <w:rsid w:val="002D7816"/>
    <w:rsid w:val="002E083E"/>
    <w:rsid w:val="002E2B09"/>
    <w:rsid w:val="002E37A9"/>
    <w:rsid w:val="00316C24"/>
    <w:rsid w:val="00323589"/>
    <w:rsid w:val="003345F5"/>
    <w:rsid w:val="0033767A"/>
    <w:rsid w:val="00343EBA"/>
    <w:rsid w:val="003547F9"/>
    <w:rsid w:val="0036013B"/>
    <w:rsid w:val="00367FF0"/>
    <w:rsid w:val="00370637"/>
    <w:rsid w:val="00374A20"/>
    <w:rsid w:val="003A0A68"/>
    <w:rsid w:val="003A4EA4"/>
    <w:rsid w:val="003B4372"/>
    <w:rsid w:val="003C12C7"/>
    <w:rsid w:val="003C7A12"/>
    <w:rsid w:val="003D1CBB"/>
    <w:rsid w:val="003E0A41"/>
    <w:rsid w:val="003E0BDE"/>
    <w:rsid w:val="003E0D2D"/>
    <w:rsid w:val="003E582C"/>
    <w:rsid w:val="003F18DC"/>
    <w:rsid w:val="00405A95"/>
    <w:rsid w:val="004062E2"/>
    <w:rsid w:val="0045430B"/>
    <w:rsid w:val="00467244"/>
    <w:rsid w:val="00472CBA"/>
    <w:rsid w:val="00481465"/>
    <w:rsid w:val="00481807"/>
    <w:rsid w:val="0048229C"/>
    <w:rsid w:val="00497850"/>
    <w:rsid w:val="004A2D31"/>
    <w:rsid w:val="004A4538"/>
    <w:rsid w:val="004A4927"/>
    <w:rsid w:val="004A560F"/>
    <w:rsid w:val="004B094A"/>
    <w:rsid w:val="004B163A"/>
    <w:rsid w:val="004B5FD8"/>
    <w:rsid w:val="004B6286"/>
    <w:rsid w:val="004C1E4A"/>
    <w:rsid w:val="004D6B1E"/>
    <w:rsid w:val="004E577D"/>
    <w:rsid w:val="004E76C4"/>
    <w:rsid w:val="004F1219"/>
    <w:rsid w:val="004F12D3"/>
    <w:rsid w:val="004F6ED0"/>
    <w:rsid w:val="004F76B3"/>
    <w:rsid w:val="00517621"/>
    <w:rsid w:val="00517A78"/>
    <w:rsid w:val="00543EF6"/>
    <w:rsid w:val="00553CD4"/>
    <w:rsid w:val="00571482"/>
    <w:rsid w:val="00574D4D"/>
    <w:rsid w:val="005828F0"/>
    <w:rsid w:val="005838E8"/>
    <w:rsid w:val="00596A5E"/>
    <w:rsid w:val="005970B3"/>
    <w:rsid w:val="005A28B9"/>
    <w:rsid w:val="005A4857"/>
    <w:rsid w:val="005B7835"/>
    <w:rsid w:val="005C0A0C"/>
    <w:rsid w:val="005D2D78"/>
    <w:rsid w:val="005D4FEF"/>
    <w:rsid w:val="005D5A08"/>
    <w:rsid w:val="005E11B3"/>
    <w:rsid w:val="005E2DEF"/>
    <w:rsid w:val="005E2FCD"/>
    <w:rsid w:val="005E6C44"/>
    <w:rsid w:val="005F6C89"/>
    <w:rsid w:val="006132D6"/>
    <w:rsid w:val="00615488"/>
    <w:rsid w:val="006275CD"/>
    <w:rsid w:val="00640211"/>
    <w:rsid w:val="006418F2"/>
    <w:rsid w:val="0064227F"/>
    <w:rsid w:val="00643758"/>
    <w:rsid w:val="00650AF2"/>
    <w:rsid w:val="00654687"/>
    <w:rsid w:val="00672690"/>
    <w:rsid w:val="00675887"/>
    <w:rsid w:val="0067649D"/>
    <w:rsid w:val="006B2516"/>
    <w:rsid w:val="006B2AF7"/>
    <w:rsid w:val="006C1AC2"/>
    <w:rsid w:val="006C52AC"/>
    <w:rsid w:val="006C6F0A"/>
    <w:rsid w:val="006D0C4F"/>
    <w:rsid w:val="006D2283"/>
    <w:rsid w:val="006D3CC8"/>
    <w:rsid w:val="006D6EB9"/>
    <w:rsid w:val="006E2C80"/>
    <w:rsid w:val="00704D52"/>
    <w:rsid w:val="0070508E"/>
    <w:rsid w:val="00713B78"/>
    <w:rsid w:val="00714B01"/>
    <w:rsid w:val="00714F25"/>
    <w:rsid w:val="007153A2"/>
    <w:rsid w:val="00754C89"/>
    <w:rsid w:val="00755125"/>
    <w:rsid w:val="00765523"/>
    <w:rsid w:val="00765E1E"/>
    <w:rsid w:val="0076749D"/>
    <w:rsid w:val="007854AE"/>
    <w:rsid w:val="00785E9B"/>
    <w:rsid w:val="00792939"/>
    <w:rsid w:val="00793FC2"/>
    <w:rsid w:val="007A3289"/>
    <w:rsid w:val="007B0C9D"/>
    <w:rsid w:val="007C674A"/>
    <w:rsid w:val="007C72E8"/>
    <w:rsid w:val="007D1D46"/>
    <w:rsid w:val="007D6B19"/>
    <w:rsid w:val="007E0B3D"/>
    <w:rsid w:val="007E5C31"/>
    <w:rsid w:val="00801684"/>
    <w:rsid w:val="00803FD1"/>
    <w:rsid w:val="00804AE1"/>
    <w:rsid w:val="0082592C"/>
    <w:rsid w:val="0083601E"/>
    <w:rsid w:val="00844D91"/>
    <w:rsid w:val="008452E8"/>
    <w:rsid w:val="00872F47"/>
    <w:rsid w:val="0088003A"/>
    <w:rsid w:val="0088601A"/>
    <w:rsid w:val="00891C54"/>
    <w:rsid w:val="00897306"/>
    <w:rsid w:val="008978D3"/>
    <w:rsid w:val="008A0730"/>
    <w:rsid w:val="008A5B14"/>
    <w:rsid w:val="008A7874"/>
    <w:rsid w:val="008B0D40"/>
    <w:rsid w:val="008C12BD"/>
    <w:rsid w:val="008C3BBA"/>
    <w:rsid w:val="008D7AD4"/>
    <w:rsid w:val="008E131C"/>
    <w:rsid w:val="008E4DD5"/>
    <w:rsid w:val="008E6B98"/>
    <w:rsid w:val="008F6F69"/>
    <w:rsid w:val="008F7A17"/>
    <w:rsid w:val="00905F78"/>
    <w:rsid w:val="009119A3"/>
    <w:rsid w:val="009224D7"/>
    <w:rsid w:val="00926DB0"/>
    <w:rsid w:val="009408CB"/>
    <w:rsid w:val="009515D1"/>
    <w:rsid w:val="00956466"/>
    <w:rsid w:val="00960270"/>
    <w:rsid w:val="0097066F"/>
    <w:rsid w:val="00972263"/>
    <w:rsid w:val="0099346B"/>
    <w:rsid w:val="00994629"/>
    <w:rsid w:val="009D17C3"/>
    <w:rsid w:val="009D5DFF"/>
    <w:rsid w:val="009D762D"/>
    <w:rsid w:val="009E0B27"/>
    <w:rsid w:val="009E24B6"/>
    <w:rsid w:val="009E7A82"/>
    <w:rsid w:val="00A00F95"/>
    <w:rsid w:val="00A13D65"/>
    <w:rsid w:val="00A13DDE"/>
    <w:rsid w:val="00A16FC5"/>
    <w:rsid w:val="00A36A4E"/>
    <w:rsid w:val="00A427A6"/>
    <w:rsid w:val="00A44C95"/>
    <w:rsid w:val="00A5325A"/>
    <w:rsid w:val="00A6035E"/>
    <w:rsid w:val="00A65248"/>
    <w:rsid w:val="00A66B35"/>
    <w:rsid w:val="00A81EEA"/>
    <w:rsid w:val="00A87091"/>
    <w:rsid w:val="00A91422"/>
    <w:rsid w:val="00A92F32"/>
    <w:rsid w:val="00AB0669"/>
    <w:rsid w:val="00AB7DBA"/>
    <w:rsid w:val="00AC4D9A"/>
    <w:rsid w:val="00AC5E30"/>
    <w:rsid w:val="00AC660B"/>
    <w:rsid w:val="00AC70F9"/>
    <w:rsid w:val="00AD4CEB"/>
    <w:rsid w:val="00AE1834"/>
    <w:rsid w:val="00AF2827"/>
    <w:rsid w:val="00B01DC3"/>
    <w:rsid w:val="00B15084"/>
    <w:rsid w:val="00B2395C"/>
    <w:rsid w:val="00B408BE"/>
    <w:rsid w:val="00B501B7"/>
    <w:rsid w:val="00B51AD5"/>
    <w:rsid w:val="00B569D4"/>
    <w:rsid w:val="00BA4044"/>
    <w:rsid w:val="00BA464F"/>
    <w:rsid w:val="00BB0B38"/>
    <w:rsid w:val="00BC7215"/>
    <w:rsid w:val="00BD3F38"/>
    <w:rsid w:val="00BF102E"/>
    <w:rsid w:val="00BF288C"/>
    <w:rsid w:val="00BF54D6"/>
    <w:rsid w:val="00C01C42"/>
    <w:rsid w:val="00C13E92"/>
    <w:rsid w:val="00C346F1"/>
    <w:rsid w:val="00C36FC4"/>
    <w:rsid w:val="00C46B37"/>
    <w:rsid w:val="00C50479"/>
    <w:rsid w:val="00C634EF"/>
    <w:rsid w:val="00C63594"/>
    <w:rsid w:val="00C63E0B"/>
    <w:rsid w:val="00C64625"/>
    <w:rsid w:val="00C701DE"/>
    <w:rsid w:val="00C76C40"/>
    <w:rsid w:val="00C82F5B"/>
    <w:rsid w:val="00C90B1B"/>
    <w:rsid w:val="00CA2394"/>
    <w:rsid w:val="00CA53ED"/>
    <w:rsid w:val="00CA70CB"/>
    <w:rsid w:val="00CB12EE"/>
    <w:rsid w:val="00CC5762"/>
    <w:rsid w:val="00CC6E1E"/>
    <w:rsid w:val="00CD01A6"/>
    <w:rsid w:val="00CD0CF5"/>
    <w:rsid w:val="00CE29F4"/>
    <w:rsid w:val="00CE5AEB"/>
    <w:rsid w:val="00CF2D24"/>
    <w:rsid w:val="00CF45C4"/>
    <w:rsid w:val="00CF78F5"/>
    <w:rsid w:val="00D077F2"/>
    <w:rsid w:val="00D11A34"/>
    <w:rsid w:val="00D329C8"/>
    <w:rsid w:val="00D342CE"/>
    <w:rsid w:val="00D374CC"/>
    <w:rsid w:val="00D45997"/>
    <w:rsid w:val="00D6668F"/>
    <w:rsid w:val="00D83E80"/>
    <w:rsid w:val="00D96911"/>
    <w:rsid w:val="00DB2330"/>
    <w:rsid w:val="00DB5CC6"/>
    <w:rsid w:val="00DB7BC4"/>
    <w:rsid w:val="00DC061F"/>
    <w:rsid w:val="00DC507B"/>
    <w:rsid w:val="00DC629C"/>
    <w:rsid w:val="00DC63A9"/>
    <w:rsid w:val="00DC7AF1"/>
    <w:rsid w:val="00DD11C0"/>
    <w:rsid w:val="00DD64B7"/>
    <w:rsid w:val="00DF0DC8"/>
    <w:rsid w:val="00E05CC1"/>
    <w:rsid w:val="00E14108"/>
    <w:rsid w:val="00E17EDA"/>
    <w:rsid w:val="00E21182"/>
    <w:rsid w:val="00E2213D"/>
    <w:rsid w:val="00E2660A"/>
    <w:rsid w:val="00E352CD"/>
    <w:rsid w:val="00E413A9"/>
    <w:rsid w:val="00E64BA6"/>
    <w:rsid w:val="00E6537C"/>
    <w:rsid w:val="00E8424C"/>
    <w:rsid w:val="00E85748"/>
    <w:rsid w:val="00E92D38"/>
    <w:rsid w:val="00EA0B23"/>
    <w:rsid w:val="00EA74BF"/>
    <w:rsid w:val="00EA7E10"/>
    <w:rsid w:val="00EB4FBD"/>
    <w:rsid w:val="00EC7932"/>
    <w:rsid w:val="00EE0704"/>
    <w:rsid w:val="00EE1928"/>
    <w:rsid w:val="00EE3F96"/>
    <w:rsid w:val="00EF2B19"/>
    <w:rsid w:val="00F0068D"/>
    <w:rsid w:val="00F05E49"/>
    <w:rsid w:val="00F24FAF"/>
    <w:rsid w:val="00F262FB"/>
    <w:rsid w:val="00F267B4"/>
    <w:rsid w:val="00F31226"/>
    <w:rsid w:val="00F36557"/>
    <w:rsid w:val="00F4356E"/>
    <w:rsid w:val="00F51C97"/>
    <w:rsid w:val="00F5491E"/>
    <w:rsid w:val="00F60A98"/>
    <w:rsid w:val="00F64B87"/>
    <w:rsid w:val="00F84353"/>
    <w:rsid w:val="00F87059"/>
    <w:rsid w:val="00F909BF"/>
    <w:rsid w:val="00F97A4F"/>
    <w:rsid w:val="00FA0152"/>
    <w:rsid w:val="00FA60B5"/>
    <w:rsid w:val="00FA6AF5"/>
    <w:rsid w:val="00FB09D1"/>
    <w:rsid w:val="00FB3DF0"/>
    <w:rsid w:val="00FC1B11"/>
    <w:rsid w:val="00FD183B"/>
    <w:rsid w:val="00FF04B4"/>
    <w:rsid w:val="00FF4EF0"/>
    <w:rsid w:val="00FF553A"/>
  </w:rsid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75B8B"/>
  <w15:chartTrackingRefBased/>
  <w15:docId w15:val="{5B2A24A8-A604-43D7-8BF9-6FF7B604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semiHidden="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C31"/>
    <w:pPr>
      <w:widowControl w:val="0"/>
    </w:pPr>
    <w:rPr>
      <w:snapToGrid w:val="0"/>
      <w:sz w:val="24"/>
      <w:lang w:eastAsia="en-US"/>
    </w:rPr>
  </w:style>
  <w:style w:type="paragraph" w:styleId="Heading1">
    <w:name w:val="heading 1"/>
    <w:basedOn w:val="Normal"/>
    <w:next w:val="Normal"/>
    <w:semiHidden/>
    <w:qFormat/>
    <w:pPr>
      <w:keepNext/>
      <w:widowControl/>
      <w:tabs>
        <w:tab w:val="left" w:pos="-1057"/>
        <w:tab w:val="left" w:pos="-720"/>
        <w:tab w:val="left" w:pos="0"/>
        <w:tab w:val="left" w:pos="720"/>
        <w:tab w:val="left" w:pos="2154"/>
        <w:tab w:val="left" w:pos="2880"/>
      </w:tabs>
      <w:ind w:left="2155" w:hanging="2155"/>
      <w:jc w:val="both"/>
      <w:outlineLvl w:val="0"/>
    </w:pPr>
    <w:rPr>
      <w:b/>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numPr>
        <w:ilvl w:val="2"/>
        <w:numId w:val="17"/>
      </w:numPr>
      <w:spacing w:before="240" w:after="60"/>
      <w:outlineLvl w:val="2"/>
    </w:pPr>
    <w:rPr>
      <w:rFonts w:ascii="Arial" w:hAnsi="Arial"/>
    </w:rPr>
  </w:style>
  <w:style w:type="paragraph" w:styleId="Heading4">
    <w:name w:val="heading 4"/>
    <w:basedOn w:val="Normal"/>
    <w:next w:val="Normal"/>
    <w:semiHidden/>
    <w:qFormat/>
    <w:pPr>
      <w:keepNext/>
      <w:numPr>
        <w:ilvl w:val="3"/>
        <w:numId w:val="18"/>
      </w:numPr>
      <w:spacing w:before="240" w:after="60"/>
      <w:outlineLvl w:val="3"/>
    </w:pPr>
    <w:rPr>
      <w:rFonts w:ascii="Arial" w:hAnsi="Arial"/>
      <w:b/>
    </w:rPr>
  </w:style>
  <w:style w:type="paragraph" w:styleId="Heading5">
    <w:name w:val="heading 5"/>
    <w:basedOn w:val="Normal"/>
    <w:next w:val="Normal"/>
    <w:semiHidden/>
    <w:qFormat/>
    <w:pPr>
      <w:numPr>
        <w:ilvl w:val="4"/>
        <w:numId w:val="19"/>
      </w:numPr>
      <w:spacing w:before="240" w:after="60"/>
      <w:outlineLvl w:val="4"/>
    </w:pPr>
    <w:rPr>
      <w:sz w:val="22"/>
    </w:rPr>
  </w:style>
  <w:style w:type="paragraph" w:styleId="Heading6">
    <w:name w:val="heading 6"/>
    <w:basedOn w:val="Normal"/>
    <w:next w:val="Normal"/>
    <w:semiHidden/>
    <w:qFormat/>
    <w:pPr>
      <w:numPr>
        <w:ilvl w:val="5"/>
        <w:numId w:val="20"/>
      </w:numPr>
      <w:spacing w:before="240" w:after="60"/>
      <w:outlineLvl w:val="5"/>
    </w:pPr>
    <w:rPr>
      <w:i/>
      <w:sz w:val="22"/>
    </w:rPr>
  </w:style>
  <w:style w:type="paragraph" w:styleId="Heading7">
    <w:name w:val="heading 7"/>
    <w:basedOn w:val="Normal"/>
    <w:next w:val="Normal"/>
    <w:semiHidden/>
    <w:qFormat/>
    <w:pPr>
      <w:numPr>
        <w:ilvl w:val="6"/>
        <w:numId w:val="21"/>
      </w:numPr>
      <w:spacing w:before="240" w:after="60"/>
      <w:outlineLvl w:val="6"/>
    </w:pPr>
    <w:rPr>
      <w:rFonts w:ascii="Arial" w:hAnsi="Arial"/>
      <w:sz w:val="20"/>
    </w:rPr>
  </w:style>
  <w:style w:type="paragraph" w:styleId="Heading8">
    <w:name w:val="heading 8"/>
    <w:basedOn w:val="Normal"/>
    <w:next w:val="Normal"/>
    <w:semiHidden/>
    <w:qFormat/>
    <w:pPr>
      <w:numPr>
        <w:ilvl w:val="7"/>
        <w:numId w:val="22"/>
      </w:numPr>
      <w:spacing w:before="240" w:after="60"/>
      <w:outlineLvl w:val="7"/>
    </w:pPr>
    <w:rPr>
      <w:rFonts w:ascii="Arial" w:hAnsi="Arial"/>
      <w:i/>
      <w:sz w:val="20"/>
    </w:rPr>
  </w:style>
  <w:style w:type="paragraph" w:styleId="Heading9">
    <w:name w:val="heading 9"/>
    <w:basedOn w:val="Normal"/>
    <w:next w:val="Normal"/>
    <w:semiHidden/>
    <w:qFormat/>
    <w:pPr>
      <w:numPr>
        <w:ilvl w:val="8"/>
        <w:numId w:val="2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PV">
    <w:name w:val="AttendancePV"/>
    <w:basedOn w:val="Normal"/>
    <w:rsid w:val="00AD4CEB"/>
    <w:rPr>
      <w:sz w:val="16"/>
    </w:rPr>
  </w:style>
  <w:style w:type="paragraph" w:customStyle="1" w:styleId="PVxIndent">
    <w:name w:val="PVxIndent"/>
    <w:basedOn w:val="Normal"/>
    <w:rsid w:val="006B2AF7"/>
    <w:pPr>
      <w:ind w:left="567"/>
    </w:pPr>
  </w:style>
  <w:style w:type="paragraph" w:customStyle="1" w:styleId="PVxHeading">
    <w:name w:val="PVxHeading"/>
    <w:basedOn w:val="Normal"/>
    <w:next w:val="Normal"/>
    <w:rsid w:val="0007192F"/>
    <w:pPr>
      <w:keepNext/>
      <w:widowControl/>
      <w:numPr>
        <w:numId w:val="27"/>
      </w:numPr>
      <w:tabs>
        <w:tab w:val="clear" w:pos="720"/>
        <w:tab w:val="right" w:pos="9072"/>
      </w:tabs>
      <w:spacing w:before="240" w:after="240"/>
      <w:ind w:left="567" w:hanging="567"/>
    </w:pPr>
    <w:rPr>
      <w:b/>
    </w:rPr>
  </w:style>
  <w:style w:type="paragraph" w:customStyle="1" w:styleId="PVxSubheading12a">
    <w:name w:val="PVxSubheading12a"/>
    <w:basedOn w:val="Normal"/>
    <w:next w:val="Normal"/>
    <w:rsid w:val="006B2AF7"/>
    <w:pPr>
      <w:widowControl/>
      <w:spacing w:after="240"/>
      <w:ind w:left="567"/>
    </w:pPr>
    <w:rPr>
      <w:b/>
      <w:i/>
    </w:rPr>
  </w:style>
  <w:style w:type="paragraph" w:customStyle="1" w:styleId="PVxSubheadingTab12b">
    <w:name w:val="PVxSubheadingTab12b"/>
    <w:basedOn w:val="Normal"/>
    <w:rsid w:val="0048229C"/>
    <w:pPr>
      <w:tabs>
        <w:tab w:val="left" w:pos="2268"/>
      </w:tabs>
      <w:spacing w:before="240"/>
      <w:ind w:left="567"/>
    </w:pPr>
    <w:rPr>
      <w:b/>
      <w:i/>
    </w:rPr>
  </w:style>
  <w:style w:type="paragraph" w:customStyle="1" w:styleId="PVxSubheadingTab12b12a">
    <w:name w:val="PVxSubheadingTab12b12a"/>
    <w:basedOn w:val="Normal"/>
    <w:next w:val="Normal"/>
    <w:rsid w:val="0048229C"/>
    <w:pPr>
      <w:tabs>
        <w:tab w:val="left" w:pos="2268"/>
      </w:tabs>
      <w:spacing w:before="240" w:after="240"/>
      <w:ind w:left="567"/>
    </w:pPr>
    <w:rPr>
      <w:b/>
      <w:i/>
    </w:rPr>
  </w:style>
  <w:style w:type="character" w:customStyle="1" w:styleId="HideTWBExt">
    <w:name w:val="HideTWBExt"/>
    <w:rPr>
      <w:rFonts w:ascii="Arial" w:hAnsi="Arial"/>
      <w:noProof/>
      <w:vanish/>
      <w:color w:val="000080"/>
      <w:sz w:val="20"/>
    </w:rPr>
  </w:style>
  <w:style w:type="paragraph" w:customStyle="1" w:styleId="PVxIndentRightTab">
    <w:name w:val="PVxIndentRightTab"/>
    <w:basedOn w:val="Normal"/>
    <w:rsid w:val="00CD0CF5"/>
    <w:pPr>
      <w:tabs>
        <w:tab w:val="right" w:pos="9072"/>
      </w:tabs>
      <w:ind w:left="567"/>
    </w:pPr>
  </w:style>
  <w:style w:type="paragraph" w:customStyle="1" w:styleId="NormalHanging12b">
    <w:name w:val="NormalHanging12b"/>
    <w:basedOn w:val="Normal"/>
    <w:rsid w:val="004062E2"/>
    <w:pPr>
      <w:spacing w:before="240"/>
      <w:ind w:left="567" w:hanging="567"/>
    </w:pPr>
    <w:rPr>
      <w:snapToGrid/>
      <w:lang w:eastAsia="en-GB"/>
    </w:rPr>
  </w:style>
  <w:style w:type="paragraph" w:styleId="TOC1">
    <w:name w:val="toc 1"/>
    <w:basedOn w:val="Normal"/>
    <w:next w:val="Normal"/>
    <w:autoRedefine/>
    <w:uiPriority w:val="39"/>
    <w:rsid w:val="00A16FC5"/>
  </w:style>
  <w:style w:type="character" w:styleId="Hyperlink">
    <w:name w:val="Hyperlink"/>
    <w:uiPriority w:val="99"/>
    <w:semiHidden/>
    <w:rsid w:val="004A4538"/>
    <w:rPr>
      <w:color w:val="0563C1"/>
      <w:u w:val="single"/>
    </w:rPr>
  </w:style>
  <w:style w:type="paragraph" w:styleId="TOC2">
    <w:name w:val="toc 2"/>
    <w:basedOn w:val="Normal"/>
    <w:next w:val="Normal"/>
    <w:autoRedefine/>
    <w:uiPriority w:val="39"/>
    <w:rsid w:val="00A16FC5"/>
    <w:pPr>
      <w:ind w:left="426"/>
    </w:pPr>
  </w:style>
  <w:style w:type="paragraph" w:customStyle="1" w:styleId="RollCallTable">
    <w:name w:val="RollCallTable"/>
    <w:basedOn w:val="Normal"/>
    <w:rsid w:val="002659A2"/>
    <w:pPr>
      <w:spacing w:before="120" w:after="120"/>
    </w:pPr>
    <w:rPr>
      <w:sz w:val="16"/>
    </w:rPr>
  </w:style>
  <w:style w:type="paragraph" w:styleId="FootnoteText">
    <w:name w:val="footnote text"/>
    <w:basedOn w:val="Normal"/>
    <w:semiHidden/>
    <w:rPr>
      <w:sz w:val="20"/>
    </w:rPr>
  </w:style>
  <w:style w:type="paragraph" w:customStyle="1" w:styleId="RollCallSymbols12pt">
    <w:name w:val="RollCallSymbols12pt"/>
    <w:basedOn w:val="Normal"/>
    <w:rsid w:val="002659A2"/>
    <w:pPr>
      <w:spacing w:before="120" w:after="120"/>
      <w:jc w:val="center"/>
    </w:pPr>
    <w:rPr>
      <w:rFonts w:ascii="Arial" w:hAnsi="Arial"/>
      <w:b/>
      <w:bCs/>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napToGrid/>
      <w:sz w:val="48"/>
    </w:rPr>
  </w:style>
  <w:style w:type="table" w:styleId="TableGrid">
    <w:name w:val="Table Grid"/>
    <w:basedOn w:val="TableNormal"/>
    <w:rsid w:val="00F6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F64B87"/>
    <w:pPr>
      <w:jc w:val="center"/>
    </w:pPr>
    <w:rPr>
      <w:rFonts w:ascii="Arial" w:hAnsi="Arial" w:cs="Arial"/>
      <w:i/>
      <w:snapToGrid/>
      <w:sz w:val="22"/>
      <w:szCs w:val="22"/>
      <w:lang w:eastAsia="en-GB"/>
    </w:rPr>
  </w:style>
  <w:style w:type="paragraph" w:customStyle="1" w:styleId="RollCallSymbols14pt">
    <w:name w:val="RollCallSymbols14pt"/>
    <w:basedOn w:val="Normal"/>
    <w:rsid w:val="002659A2"/>
    <w:pPr>
      <w:spacing w:before="120" w:after="120"/>
      <w:jc w:val="center"/>
    </w:pPr>
    <w:rPr>
      <w:rFonts w:ascii="Arial" w:hAnsi="Arial"/>
      <w:b/>
      <w:bCs/>
      <w:sz w:val="28"/>
    </w:rPr>
  </w:style>
  <w:style w:type="paragraph" w:customStyle="1" w:styleId="NormalBold12b">
    <w:name w:val="NormalBold12b"/>
    <w:basedOn w:val="Normal"/>
    <w:pPr>
      <w:spacing w:before="240"/>
    </w:pPr>
    <w:rPr>
      <w:b/>
    </w:rPr>
  </w:style>
  <w:style w:type="paragraph" w:customStyle="1" w:styleId="PVxIndentTab">
    <w:name w:val="PVxIndentTab"/>
    <w:basedOn w:val="Normal"/>
    <w:rsid w:val="004062E2"/>
    <w:pPr>
      <w:tabs>
        <w:tab w:val="left" w:pos="2268"/>
      </w:tabs>
      <w:ind w:left="567"/>
    </w:pPr>
  </w:style>
  <w:style w:type="paragraph" w:customStyle="1" w:styleId="PVxIndentTab12b">
    <w:name w:val="PVxIndentTab12b"/>
    <w:basedOn w:val="Normal"/>
    <w:next w:val="Normal"/>
    <w:rsid w:val="00CD0CF5"/>
    <w:pPr>
      <w:tabs>
        <w:tab w:val="left" w:pos="2268"/>
      </w:tabs>
      <w:spacing w:before="240"/>
      <w:ind w:left="567"/>
    </w:pPr>
  </w:style>
  <w:style w:type="paragraph" w:customStyle="1" w:styleId="PVxIndent12a">
    <w:name w:val="PVxIndent12a"/>
    <w:basedOn w:val="Normal"/>
    <w:rsid w:val="006B2AF7"/>
    <w:pPr>
      <w:spacing w:after="240"/>
      <w:ind w:left="567"/>
    </w:pPr>
  </w:style>
  <w:style w:type="paragraph" w:customStyle="1" w:styleId="RollCallVotes">
    <w:name w:val="RollCallVotes"/>
    <w:basedOn w:val="Normal"/>
    <w:rsid w:val="002659A2"/>
    <w:pPr>
      <w:spacing w:before="120" w:after="120"/>
      <w:jc w:val="center"/>
    </w:pPr>
    <w:rPr>
      <w:b/>
      <w:bCs/>
      <w:sz w:val="16"/>
    </w:rPr>
  </w:style>
  <w:style w:type="paragraph" w:customStyle="1" w:styleId="RollCallHeading">
    <w:name w:val="RollCallHeading"/>
    <w:basedOn w:val="Normal"/>
    <w:qFormat/>
    <w:rsid w:val="003A0A68"/>
    <w:pPr>
      <w:spacing w:before="480" w:after="480"/>
      <w:jc w:val="center"/>
    </w:pPr>
    <w:rPr>
      <w:b/>
      <w:sz w:val="28"/>
    </w:rPr>
  </w:style>
  <w:style w:type="character" w:customStyle="1" w:styleId="HideTWBInt">
    <w:name w:val="HideTWBInt"/>
    <w:rPr>
      <w:rFonts w:ascii="Arial" w:hAnsi="Arial" w:cs="Arial"/>
      <w:vanish/>
      <w:color w:val="808080"/>
      <w:sz w:val="20"/>
    </w:rPr>
  </w:style>
  <w:style w:type="paragraph" w:customStyle="1" w:styleId="PVxIndent12b">
    <w:name w:val="PVxIndent12b"/>
    <w:basedOn w:val="Normal"/>
    <w:next w:val="Normal"/>
    <w:rsid w:val="006B2AF7"/>
    <w:pPr>
      <w:spacing w:before="240"/>
      <w:ind w:left="567"/>
    </w:pPr>
  </w:style>
  <w:style w:type="paragraph" w:customStyle="1" w:styleId="NormalBold">
    <w:name w:val="NormalBold"/>
    <w:basedOn w:val="Normal"/>
    <w:rPr>
      <w:b/>
    </w:rPr>
  </w:style>
  <w:style w:type="paragraph" w:customStyle="1" w:styleId="LineTop">
    <w:name w:val="LineTop"/>
    <w:basedOn w:val="Normal"/>
    <w:next w:val="Normal"/>
    <w:rsid w:val="00F64B87"/>
    <w:pPr>
      <w:pBdr>
        <w:top w:val="single" w:sz="4" w:space="1" w:color="auto"/>
      </w:pBdr>
      <w:jc w:val="center"/>
    </w:pPr>
    <w:rPr>
      <w:rFonts w:ascii="Arial" w:hAnsi="Arial" w:cs="Arial"/>
      <w:snapToGrid/>
      <w:sz w:val="16"/>
      <w:szCs w:val="16"/>
      <w:lang w:eastAsia="en-GB"/>
    </w:rPr>
  </w:style>
  <w:style w:type="paragraph" w:customStyle="1" w:styleId="LineBottom">
    <w:name w:val="LineBottom"/>
    <w:basedOn w:val="Normal"/>
    <w:next w:val="Normal"/>
    <w:rsid w:val="001173AC"/>
    <w:pPr>
      <w:pBdr>
        <w:bottom w:val="single" w:sz="4" w:space="1" w:color="auto"/>
      </w:pBdr>
      <w:spacing w:after="240"/>
      <w:jc w:val="center"/>
    </w:pPr>
    <w:rPr>
      <w:rFonts w:ascii="Arial" w:hAnsi="Arial" w:cs="Arial"/>
      <w:snapToGrid/>
      <w:sz w:val="16"/>
      <w:szCs w:val="16"/>
      <w:lang w:eastAsia="en-GB"/>
    </w:rPr>
  </w:style>
  <w:style w:type="paragraph" w:customStyle="1" w:styleId="RollCallTitle">
    <w:name w:val="RollCallTitle"/>
    <w:basedOn w:val="Normal"/>
    <w:qFormat/>
    <w:rsid w:val="00AD4CEB"/>
    <w:pPr>
      <w:spacing w:after="240"/>
    </w:pPr>
  </w:style>
  <w:style w:type="paragraph" w:customStyle="1" w:styleId="RollCallContents">
    <w:name w:val="RollCallContents"/>
    <w:basedOn w:val="Normal"/>
    <w:qFormat/>
    <w:rsid w:val="00DC63A9"/>
    <w:pPr>
      <w:spacing w:before="480" w:after="480"/>
      <w:jc w:val="center"/>
    </w:pPr>
    <w:rPr>
      <w:b/>
    </w:rPr>
  </w:style>
  <w:style w:type="paragraph" w:customStyle="1" w:styleId="RollCallSubtitle">
    <w:name w:val="RollCallSubtitle"/>
    <w:basedOn w:val="RollCallTitle"/>
    <w:qFormat/>
    <w:rsid w:val="008A7874"/>
  </w:style>
  <w:style w:type="paragraph" w:customStyle="1" w:styleId="RollCallTabs">
    <w:name w:val="RollCallTabs"/>
    <w:basedOn w:val="Normal"/>
    <w:qFormat/>
    <w:rsid w:val="000A769E"/>
    <w:pPr>
      <w:tabs>
        <w:tab w:val="center" w:pos="284"/>
        <w:tab w:val="left" w:pos="426"/>
      </w:tabs>
    </w:pPr>
  </w:style>
  <w:style w:type="paragraph" w:customStyle="1" w:styleId="EPName">
    <w:name w:val="EPName"/>
    <w:basedOn w:val="Normal"/>
    <w:rsid w:val="00DF0DC8"/>
    <w:pPr>
      <w:spacing w:before="80" w:after="80"/>
    </w:pPr>
    <w:rPr>
      <w:rFonts w:ascii="Arial Narrow" w:hAnsi="Arial Narrow" w:cs="Arial"/>
      <w:b/>
      <w:snapToGrid/>
      <w:sz w:val="32"/>
      <w:szCs w:val="22"/>
      <w:lang w:eastAsia="en-GB"/>
    </w:rPr>
  </w:style>
  <w:style w:type="paragraph" w:customStyle="1" w:styleId="EPTerm">
    <w:name w:val="EPTerm"/>
    <w:basedOn w:val="Normal"/>
    <w:next w:val="Normal"/>
    <w:rsid w:val="00DF0DC8"/>
    <w:pPr>
      <w:spacing w:after="80"/>
    </w:pPr>
    <w:rPr>
      <w:rFonts w:ascii="Arial" w:hAnsi="Arial" w:cs="Arial"/>
      <w:snapToGrid/>
      <w:sz w:val="20"/>
      <w:szCs w:val="22"/>
      <w:lang w:eastAsia="en-GB"/>
    </w:rPr>
  </w:style>
  <w:style w:type="paragraph" w:customStyle="1" w:styleId="EPLogo">
    <w:name w:val="EPLogo"/>
    <w:basedOn w:val="Normal"/>
    <w:qFormat/>
    <w:rsid w:val="00DF0DC8"/>
    <w:pPr>
      <w:jc w:val="right"/>
    </w:pPr>
    <w:rPr>
      <w:snapToGrid/>
      <w:lang w:eastAsia="en-GB"/>
    </w:rPr>
  </w:style>
  <w:style w:type="paragraph" w:customStyle="1" w:styleId="AttendancePVTable">
    <w:name w:val="AttendancePVTable"/>
    <w:basedOn w:val="Normal"/>
    <w:rsid w:val="00AD4CEB"/>
    <w:pPr>
      <w:spacing w:before="120" w:after="120"/>
    </w:pPr>
    <w:rPr>
      <w:sz w:val="16"/>
    </w:rPr>
  </w:style>
  <w:style w:type="paragraph" w:customStyle="1" w:styleId="AttendancePVFootnote">
    <w:name w:val="AttendancePVFootnote"/>
    <w:basedOn w:val="Normal"/>
    <w:rsid w:val="00AD4CEB"/>
    <w:pPr>
      <w:tabs>
        <w:tab w:val="left" w:pos="170"/>
        <w:tab w:val="left" w:pos="510"/>
      </w:tabs>
      <w:ind w:left="680" w:hanging="680"/>
    </w:pPr>
    <w:rPr>
      <w:sz w:val="16"/>
    </w:rPr>
  </w:style>
  <w:style w:type="paragraph" w:customStyle="1" w:styleId="AttendancePVTitle">
    <w:name w:val="AttendancePVTitle"/>
    <w:basedOn w:val="Normal"/>
    <w:rsid w:val="00A66B35"/>
    <w:pPr>
      <w:spacing w:after="480"/>
      <w:jc w:val="center"/>
    </w:pPr>
    <w:rPr>
      <w:b/>
      <w:sz w:val="16"/>
    </w:rPr>
  </w:style>
  <w:style w:type="paragraph" w:customStyle="1" w:styleId="Normal12a">
    <w:name w:val="Normal12a"/>
    <w:basedOn w:val="Normal"/>
    <w:rsid w:val="00AD4CEB"/>
    <w:pPr>
      <w:spacing w:after="240"/>
    </w:pPr>
    <w:rPr>
      <w:snapToGrid/>
      <w:lang w:eastAsia="en-GB"/>
    </w:rPr>
  </w:style>
  <w:style w:type="paragraph" w:customStyle="1" w:styleId="NormalBoldCenter">
    <w:name w:val="NormalBoldCenter"/>
    <w:basedOn w:val="Normal"/>
    <w:rsid w:val="00AD4CEB"/>
    <w:pPr>
      <w:jc w:val="center"/>
    </w:pPr>
    <w:rPr>
      <w:b/>
      <w:lang w:eastAsia="en-GB"/>
    </w:rPr>
  </w:style>
  <w:style w:type="paragraph" w:customStyle="1" w:styleId="HeadingReferenceOJPV">
    <w:name w:val="HeadingReferenceOJPV"/>
    <w:basedOn w:val="Normal"/>
    <w:rsid w:val="001173AC"/>
    <w:pPr>
      <w:spacing w:before="840" w:after="720"/>
      <w:jc w:val="right"/>
    </w:pPr>
    <w:rPr>
      <w:rFonts w:ascii="Arial" w:hAnsi="Arial"/>
      <w:b/>
      <w:lang w:eastAsia="en-GB"/>
    </w:rPr>
  </w:style>
  <w:style w:type="paragraph" w:customStyle="1" w:styleId="EPFooter">
    <w:name w:val="EPFooter"/>
    <w:basedOn w:val="Normal"/>
    <w:rsid w:val="005A4857"/>
    <w:pPr>
      <w:tabs>
        <w:tab w:val="center" w:pos="4535"/>
        <w:tab w:val="right" w:pos="9071"/>
      </w:tabs>
      <w:spacing w:before="240" w:after="240"/>
    </w:pPr>
    <w:rPr>
      <w:sz w:val="22"/>
    </w:rPr>
  </w:style>
  <w:style w:type="paragraph" w:styleId="TOCHeading">
    <w:name w:val="TOC Heading"/>
    <w:basedOn w:val="Normal"/>
    <w:next w:val="Normal"/>
    <w:uiPriority w:val="39"/>
    <w:semiHidden/>
    <w:unhideWhenUsed/>
    <w:qFormat/>
    <w:rsid w:val="000637F3"/>
    <w:pPr>
      <w:keepLines/>
      <w:spacing w:before="240" w:after="240"/>
    </w:pPr>
    <w:rPr>
      <w:rFonts w:asciiTheme="majorHAnsi" w:eastAsiaTheme="majorEastAsia" w:hAnsiTheme="majorHAnsi" w:cstheme="majorBidi"/>
      <w:b/>
      <w:color w:val="2E74B5" w:themeColor="accent1" w:themeShade="BF"/>
      <w:sz w:val="32"/>
      <w:szCs w:val="32"/>
    </w:rPr>
  </w:style>
  <w:style w:type="paragraph" w:styleId="Header">
    <w:name w:val="header"/>
    <w:basedOn w:val="Normal"/>
    <w:link w:val="HeaderChar"/>
    <w:semiHidden/>
    <w:rsid w:val="001E4EBD"/>
    <w:pPr>
      <w:tabs>
        <w:tab w:val="center" w:pos="4513"/>
        <w:tab w:val="right" w:pos="9026"/>
      </w:tabs>
    </w:pPr>
  </w:style>
  <w:style w:type="character" w:customStyle="1" w:styleId="HeaderChar">
    <w:name w:val="Header Char"/>
    <w:basedOn w:val="DefaultParagraphFont"/>
    <w:link w:val="Header"/>
    <w:semiHidden/>
    <w:rsid w:val="001E4EBD"/>
    <w:rPr>
      <w:snapToGrid w:val="0"/>
      <w:sz w:val="24"/>
      <w:lang w:eastAsia="en-US"/>
    </w:rPr>
  </w:style>
  <w:style w:type="paragraph" w:customStyle="1" w:styleId="MeetingIntro">
    <w:name w:val="MeetingIntro"/>
    <w:basedOn w:val="Normal"/>
    <w:rsid w:val="001173AC"/>
    <w:pPr>
      <w:spacing w:before="600" w:after="600"/>
    </w:pPr>
    <w:rPr>
      <w:lang w:eastAsia="en-GB"/>
    </w:rPr>
  </w:style>
  <w:style w:type="paragraph" w:customStyle="1" w:styleId="MeetingClosing">
    <w:name w:val="MeetingClosing"/>
    <w:basedOn w:val="Normal"/>
    <w:rsid w:val="001173AC"/>
    <w:pPr>
      <w:spacing w:before="600" w:after="240"/>
    </w:pPr>
  </w:style>
  <w:style w:type="paragraph" w:customStyle="1" w:styleId="HeadingDocType24a">
    <w:name w:val="HeadingDocType24a"/>
    <w:basedOn w:val="Normal"/>
    <w:rsid w:val="001173AC"/>
    <w:pPr>
      <w:spacing w:after="480"/>
      <w:jc w:val="center"/>
    </w:pPr>
    <w:rPr>
      <w:rFonts w:ascii="Arial" w:hAnsi="Arial"/>
      <w:b/>
      <w:snapToGrid/>
      <w:sz w:val="48"/>
      <w:lang w:eastAsia="en-GB"/>
    </w:rPr>
  </w:style>
  <w:style w:type="paragraph" w:customStyle="1" w:styleId="HeadingCenter12a">
    <w:name w:val="HeadingCenter12a"/>
    <w:basedOn w:val="Normal"/>
    <w:rsid w:val="001173AC"/>
    <w:pPr>
      <w:spacing w:after="240"/>
      <w:jc w:val="center"/>
    </w:pPr>
    <w:rPr>
      <w:b/>
      <w:snapToGrid/>
      <w:lang w:eastAsia="en-GB"/>
    </w:rPr>
  </w:style>
  <w:style w:type="paragraph" w:customStyle="1" w:styleId="AnnexRightBold">
    <w:name w:val="AnnexRightBold"/>
    <w:basedOn w:val="Normal"/>
    <w:rsid w:val="0067649D"/>
    <w:pPr>
      <w:spacing w:after="480"/>
      <w:jc w:val="right"/>
    </w:pPr>
    <w:rPr>
      <w:b/>
      <w:snapToGrid/>
      <w:lang w:eastAsia="en-GB"/>
    </w:rPr>
  </w:style>
  <w:style w:type="paragraph" w:styleId="ListParagraph">
    <w:name w:val="List Paragraph"/>
    <w:basedOn w:val="Normal"/>
    <w:uiPriority w:val="34"/>
    <w:qFormat/>
    <w:rsid w:val="00B569D4"/>
    <w:pPr>
      <w:ind w:left="720"/>
      <w:contextualSpacing/>
    </w:pPr>
  </w:style>
  <w:style w:type="paragraph" w:styleId="Footer">
    <w:name w:val="footer"/>
    <w:basedOn w:val="Normal"/>
    <w:link w:val="FooterChar"/>
    <w:rsid w:val="009D5DFF"/>
    <w:pPr>
      <w:tabs>
        <w:tab w:val="center" w:pos="4513"/>
        <w:tab w:val="right" w:pos="9026"/>
      </w:tabs>
    </w:pPr>
  </w:style>
  <w:style w:type="character" w:customStyle="1" w:styleId="FooterChar">
    <w:name w:val="Footer Char"/>
    <w:basedOn w:val="DefaultParagraphFont"/>
    <w:link w:val="Footer"/>
    <w:rsid w:val="009D5DFF"/>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leen\AppData\Local\Temp\PV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690C-2406-49D1-BECD-4FD8C996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PVx.dotx</Template>
  <TotalTime>0</TotalTime>
  <Pages>5</Pages>
  <Words>928</Words>
  <Characters>9416</Characters>
  <Application>Microsoft Office Word</Application>
  <DocSecurity>0</DocSecurity>
  <Lines>196</Lines>
  <Paragraphs>99</Paragraphs>
  <ScaleCrop>false</ScaleCrop>
  <HeadingPairs>
    <vt:vector size="2" baseType="variant">
      <vt:variant>
        <vt:lpstr>Title</vt:lpstr>
      </vt:variant>
      <vt:variant>
        <vt:i4>1</vt:i4>
      </vt:variant>
    </vt:vector>
  </HeadingPairs>
  <TitlesOfParts>
    <vt:vector size="1" baseType="lpstr">
      <vt:lpstr>PVx</vt:lpstr>
    </vt:vector>
  </TitlesOfParts>
  <Company/>
  <LinksUpToDate>false</LinksUpToDate>
  <CharactersWithSpaces>10245</CharactersWithSpaces>
  <SharedDoc>false</SharedDoc>
  <HLinks>
    <vt:vector size="12" baseType="variant">
      <vt:variant>
        <vt:i4>2752513</vt:i4>
      </vt:variant>
      <vt:variant>
        <vt:i4>8</vt:i4>
      </vt:variant>
      <vt:variant>
        <vt:i4>0</vt:i4>
      </vt:variant>
      <vt:variant>
        <vt:i4>5</vt:i4>
      </vt:variant>
      <vt:variant>
        <vt:lpwstr/>
      </vt:variant>
      <vt:variant>
        <vt:lpwstr>_Toc3824015</vt:lpwstr>
      </vt:variant>
      <vt:variant>
        <vt:i4>2752513</vt:i4>
      </vt:variant>
      <vt:variant>
        <vt:i4>2</vt:i4>
      </vt:variant>
      <vt:variant>
        <vt:i4>0</vt:i4>
      </vt:variant>
      <vt:variant>
        <vt:i4>5</vt:i4>
      </vt:variant>
      <vt:variant>
        <vt:lpwstr/>
      </vt:variant>
      <vt:variant>
        <vt:lpwstr>_Toc3824014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PVx</dc:title>
  <dc:subject/>
  <dc:creator>CLEEN Isabelle</dc:creator>
  <cp:keywords/>
  <cp:lastModifiedBy>mguzowska</cp:lastModifiedBy>
  <cp:revision>2</cp:revision>
  <cp:lastPrinted>2009-06-18T13:43:00Z</cp:lastPrinted>
  <dcterms:created xsi:type="dcterms:W3CDTF">2024-10-01T14:58:00Z</dcterms:created>
  <dcterms:modified xsi:type="dcterms:W3CDTF">2024-10-01T14:58:00Z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9.18.0 Build [20240401]</vt:lpwstr>
  </property>
  <property fmtid="{D5CDD505-2E9C-101B-9397-08002B2CF9AE}" pid="4" name="LastEdited with">
    <vt:lpwstr>9.18.0 Build [20240401]</vt:lpwstr>
  </property>
  <property fmtid="{D5CDD505-2E9C-101B-9397-08002B2CF9AE}" pid="5" name="&lt;FdR&gt;">
    <vt:lpwstr>1307106</vt:lpwstr>
  </property>
  <property fmtid="{D5CDD505-2E9C-101B-9397-08002B2CF9AE}" pid="6" name="&lt;Type&gt;">
    <vt:lpwstr>PV</vt:lpwstr>
  </property>
  <property fmtid="{D5CDD505-2E9C-101B-9397-08002B2CF9AE}" pid="7" name="&lt;ModelCod&gt;">
    <vt:lpwstr>\\eiciBRUpr1\pdocep$\DocEP\DOCS\General\PV\PVx.dotx(24/07/2024 12:58:00)</vt:lpwstr>
  </property>
  <property fmtid="{D5CDD505-2E9C-101B-9397-08002B2CF9AE}" pid="8" name="&lt;ModelTra&gt;">
    <vt:lpwstr>\\eiciBRUpr1\pdocep$\DocEP\TRANSFIL\EN\PVx.EN(25/07/2024 23:35:01)</vt:lpwstr>
  </property>
  <property fmtid="{D5CDD505-2E9C-101B-9397-08002B2CF9AE}" pid="9" name="&lt;Model&gt;">
    <vt:lpwstr>PVx</vt:lpwstr>
  </property>
  <property fmtid="{D5CDD505-2E9C-101B-9397-08002B2CF9AE}" pid="10" name="FooterPath">
    <vt:lpwstr>PV\1307106EN.docx</vt:lpwstr>
  </property>
  <property fmtid="{D5CDD505-2E9C-101B-9397-08002B2CF9AE}" pid="11" name="PE number">
    <vt:lpwstr>763.270</vt:lpwstr>
  </property>
  <property fmtid="{D5CDD505-2E9C-101B-9397-08002B2CF9AE}" pid="12" name="SendToEpades">
    <vt:lpwstr>OK - 2024/10/01 16:57</vt:lpwstr>
  </property>
</Properties>
</file>