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70F7E" w:rsidRPr="00987703" w:rsidTr="00C85D0F">
        <w:trPr>
          <w:trHeight w:hRule="exact" w:val="1418"/>
        </w:trPr>
        <w:tc>
          <w:tcPr>
            <w:tcW w:w="6804" w:type="dxa"/>
            <w:shd w:val="clear" w:color="auto" w:fill="auto"/>
            <w:vAlign w:val="center"/>
          </w:tcPr>
          <w:p w:rsidR="00770F7E" w:rsidRPr="00987703" w:rsidRDefault="00F46BB2" w:rsidP="00C85D0F">
            <w:pPr>
              <w:pStyle w:val="EPName"/>
            </w:pPr>
            <w:r w:rsidRPr="00987703">
              <w:t>European Parliament</w:t>
            </w:r>
          </w:p>
          <w:p w:rsidR="00770F7E" w:rsidRPr="00987703" w:rsidRDefault="00987703" w:rsidP="00987703">
            <w:pPr>
              <w:pStyle w:val="EPTerm"/>
            </w:pPr>
            <w:r w:rsidRPr="00987703">
              <w:t>2019-2024</w:t>
            </w:r>
          </w:p>
        </w:tc>
        <w:tc>
          <w:tcPr>
            <w:tcW w:w="2268" w:type="dxa"/>
            <w:shd w:val="clear" w:color="auto" w:fill="auto"/>
          </w:tcPr>
          <w:p w:rsidR="00770F7E" w:rsidRPr="00987703" w:rsidRDefault="00770F7E" w:rsidP="00C85D0F">
            <w:pPr>
              <w:pStyle w:val="EPLogo"/>
            </w:pPr>
            <w:r w:rsidRPr="00987703">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586F3B" w:rsidRPr="00987703" w:rsidRDefault="00586F3B" w:rsidP="00586F3B">
      <w:pPr>
        <w:pStyle w:val="LineTop"/>
      </w:pPr>
    </w:p>
    <w:p w:rsidR="00586F3B" w:rsidRPr="00987703" w:rsidRDefault="00586F3B" w:rsidP="00586F3B">
      <w:pPr>
        <w:pStyle w:val="EPBody"/>
      </w:pPr>
      <w:r w:rsidRPr="00987703">
        <w:rPr>
          <w:rStyle w:val="HideTWBExt"/>
          <w:noProof w:val="0"/>
        </w:rPr>
        <w:t>&lt;</w:t>
      </w:r>
      <w:r w:rsidRPr="00987703">
        <w:rPr>
          <w:rStyle w:val="HideTWBExt"/>
          <w:i w:val="0"/>
          <w:noProof w:val="0"/>
        </w:rPr>
        <w:t>Commission</w:t>
      </w:r>
      <w:r w:rsidRPr="00987703">
        <w:rPr>
          <w:rStyle w:val="HideTWBExt"/>
          <w:noProof w:val="0"/>
        </w:rPr>
        <w:t>&gt;</w:t>
      </w:r>
      <w:r w:rsidRPr="00987703">
        <w:rPr>
          <w:rStyle w:val="HideTWBInt"/>
        </w:rPr>
        <w:t>{PETI}</w:t>
      </w:r>
      <w:r w:rsidR="00F46BB2" w:rsidRPr="00987703">
        <w:t>Committee on Petitions</w:t>
      </w:r>
      <w:r w:rsidRPr="00987703">
        <w:rPr>
          <w:rStyle w:val="HideTWBExt"/>
          <w:noProof w:val="0"/>
        </w:rPr>
        <w:t>&lt;/</w:t>
      </w:r>
      <w:r w:rsidRPr="00987703">
        <w:rPr>
          <w:rStyle w:val="HideTWBExt"/>
          <w:i w:val="0"/>
          <w:noProof w:val="0"/>
        </w:rPr>
        <w:t>Commission</w:t>
      </w:r>
      <w:r w:rsidRPr="00987703">
        <w:rPr>
          <w:rStyle w:val="HideTWBExt"/>
          <w:noProof w:val="0"/>
        </w:rPr>
        <w:t>&gt;</w:t>
      </w:r>
    </w:p>
    <w:p w:rsidR="00586F3B" w:rsidRPr="00987703" w:rsidRDefault="00586F3B" w:rsidP="00586F3B">
      <w:pPr>
        <w:pStyle w:val="LineBottom"/>
      </w:pPr>
    </w:p>
    <w:p w:rsidR="00C26FE8" w:rsidRPr="00987703" w:rsidRDefault="00C26FE8" w:rsidP="00C26FE8">
      <w:pPr>
        <w:pStyle w:val="HeadingDateNoRef"/>
      </w:pPr>
      <w:r w:rsidRPr="00987703">
        <w:rPr>
          <w:rStyle w:val="HideTWBExt"/>
          <w:noProof w:val="0"/>
        </w:rPr>
        <w:t>&lt;Date&gt;</w:t>
      </w:r>
      <w:r w:rsidR="00987703" w:rsidRPr="00987703">
        <w:rPr>
          <w:rStyle w:val="HideTWBInt"/>
        </w:rPr>
        <w:t>{19/09/2022}</w:t>
      </w:r>
      <w:r w:rsidR="00987703" w:rsidRPr="00987703">
        <w:t>19.9.2022</w:t>
      </w:r>
      <w:r w:rsidRPr="00987703">
        <w:rPr>
          <w:rStyle w:val="HideTWBExt"/>
          <w:noProof w:val="0"/>
        </w:rPr>
        <w:t>&lt;/Date&gt;</w:t>
      </w:r>
    </w:p>
    <w:p w:rsidR="00742098" w:rsidRPr="00987703" w:rsidRDefault="00742098" w:rsidP="00742098">
      <w:pPr>
        <w:pStyle w:val="HeadingDocType"/>
      </w:pPr>
      <w:r w:rsidRPr="00987703">
        <w:rPr>
          <w:rStyle w:val="HideTWBExt"/>
          <w:b w:val="0"/>
          <w:noProof w:val="0"/>
        </w:rPr>
        <w:t>&lt;TitreType&gt;</w:t>
      </w:r>
      <w:r w:rsidR="00F46BB2" w:rsidRPr="00987703">
        <w:t>NOTICE TO MEMBERS</w:t>
      </w:r>
      <w:r w:rsidRPr="00987703">
        <w:rPr>
          <w:rStyle w:val="HideTWBExt"/>
          <w:b w:val="0"/>
          <w:noProof w:val="0"/>
        </w:rPr>
        <w:t>&lt;/TitreType&gt;</w:t>
      </w:r>
    </w:p>
    <w:p w:rsidR="00742098" w:rsidRPr="00987703" w:rsidRDefault="00F46BB2" w:rsidP="00742098">
      <w:pPr>
        <w:pStyle w:val="HeadingSubject"/>
      </w:pPr>
      <w:r w:rsidRPr="00987703">
        <w:t>Subject:</w:t>
      </w:r>
      <w:r w:rsidR="00742098" w:rsidRPr="00987703">
        <w:tab/>
      </w:r>
      <w:r w:rsidR="00742098" w:rsidRPr="00987703">
        <w:rPr>
          <w:rStyle w:val="HideTWBExt"/>
          <w:noProof w:val="0"/>
        </w:rPr>
        <w:t>&lt;T</w:t>
      </w:r>
      <w:r w:rsidR="00A31762" w:rsidRPr="00987703">
        <w:rPr>
          <w:rStyle w:val="HideTWBExt"/>
          <w:noProof w:val="0"/>
        </w:rPr>
        <w:t>ITRE</w:t>
      </w:r>
      <w:r w:rsidR="00742098" w:rsidRPr="00987703">
        <w:rPr>
          <w:rStyle w:val="HideTWBExt"/>
          <w:noProof w:val="0"/>
        </w:rPr>
        <w:t>&gt;</w:t>
      </w:r>
      <w:r w:rsidR="00987703" w:rsidRPr="00987703">
        <w:t>Petition No 0284/2022 by Gelu Sofica (Romanian) on the transposition of Directive (EU) 2019/1937 into Romanian national law</w:t>
      </w:r>
      <w:r w:rsidR="00A31762" w:rsidRPr="00987703">
        <w:rPr>
          <w:rStyle w:val="HideTWBExt"/>
          <w:noProof w:val="0"/>
        </w:rPr>
        <w:t>&lt;/TITRE</w:t>
      </w:r>
      <w:r w:rsidR="00742098" w:rsidRPr="00987703">
        <w:rPr>
          <w:rStyle w:val="HideTWBExt"/>
          <w:noProof w:val="0"/>
        </w:rPr>
        <w:t>&gt;</w:t>
      </w:r>
    </w:p>
    <w:p w:rsidR="00742098" w:rsidRPr="00987703" w:rsidRDefault="00742098" w:rsidP="00D339E0">
      <w:pPr>
        <w:pStyle w:val="NormalBoldHanging12a"/>
      </w:pPr>
      <w:r w:rsidRPr="00987703">
        <w:t>1.</w:t>
      </w:r>
      <w:r w:rsidRPr="00987703">
        <w:tab/>
      </w:r>
      <w:r w:rsidR="00F46BB2" w:rsidRPr="00987703">
        <w:t>Summary of petition</w:t>
      </w:r>
    </w:p>
    <w:p w:rsidR="00742098" w:rsidRPr="00987703" w:rsidRDefault="00987703" w:rsidP="00987703">
      <w:pPr>
        <w:pStyle w:val="Normal12a"/>
        <w:jc w:val="both"/>
      </w:pPr>
      <w:r w:rsidRPr="00987703">
        <w:t xml:space="preserve">This petitioner alleges that Directive (EU) 2019/1937 on the protection of persons who report breaches of Union law has not been transposed into national </w:t>
      </w:r>
      <w:bookmarkStart w:id="0" w:name="_GoBack"/>
      <w:bookmarkEnd w:id="0"/>
      <w:r w:rsidRPr="00987703">
        <w:t>law, even though the deadline to do so lapsed on 17 December 2021. The petitioner argues that the non-transposition of this Directive has negative effects on him, as he is a person who reported illegalities committed at his employer, the Romanian railway company. He states that he is subject to continuous harassment, is not promoted, had been demoted and subsequently reinstated following court orders. The petitioner also claims that the harassment is also directed at his twin brother, also working for the same employer. The petitioner states that there are currently six court cases being tried regarding his professional evaluations by his employer and he alleges that there were 16 court cases already tried. He states that the harassment is due to the fact that he is a whistle-blower witness in three corruption cases.</w:t>
      </w:r>
    </w:p>
    <w:p w:rsidR="00742098" w:rsidRPr="00987703" w:rsidRDefault="00742098" w:rsidP="00D339E0">
      <w:pPr>
        <w:pStyle w:val="NormalBoldHanging12a"/>
      </w:pPr>
      <w:r w:rsidRPr="00987703">
        <w:t>2.</w:t>
      </w:r>
      <w:r w:rsidRPr="00987703">
        <w:tab/>
      </w:r>
      <w:r w:rsidR="00F46BB2" w:rsidRPr="00987703">
        <w:t>Admissibility</w:t>
      </w:r>
    </w:p>
    <w:p w:rsidR="00742098" w:rsidRPr="00987703" w:rsidRDefault="00987703" w:rsidP="005F3572">
      <w:pPr>
        <w:pStyle w:val="Normal12a"/>
      </w:pPr>
      <w:r w:rsidRPr="00987703">
        <w:t>Declared admissible on 24 June 2022. Information requested from Commission under Rule 227(6).</w:t>
      </w:r>
    </w:p>
    <w:p w:rsidR="00742098" w:rsidRPr="00987703" w:rsidRDefault="00987703" w:rsidP="00D339E0">
      <w:pPr>
        <w:pStyle w:val="NormalBoldHanging12a"/>
      </w:pPr>
      <w:r w:rsidRPr="00987703">
        <w:t>3.</w:t>
      </w:r>
      <w:r w:rsidR="00742098" w:rsidRPr="00987703">
        <w:tab/>
      </w:r>
      <w:r w:rsidRPr="00987703">
        <w:t>Commission reply</w:t>
      </w:r>
      <w:r w:rsidRPr="00987703">
        <w:rPr>
          <w:b w:val="0"/>
        </w:rPr>
        <w:t>, received on 19 September 2022</w:t>
      </w:r>
    </w:p>
    <w:p w:rsidR="00987703" w:rsidRPr="00987703" w:rsidRDefault="00987703" w:rsidP="00987703">
      <w:pPr>
        <w:spacing w:after="240"/>
        <w:jc w:val="both"/>
        <w:rPr>
          <w:szCs w:val="24"/>
        </w:rPr>
      </w:pPr>
      <w:r w:rsidRPr="00987703">
        <w:rPr>
          <w:szCs w:val="24"/>
          <w:u w:val="single"/>
          <w:lang w:eastAsia="zh-CN"/>
        </w:rPr>
        <w:t>The Commission’s observations</w:t>
      </w:r>
    </w:p>
    <w:p w:rsidR="00987703" w:rsidRPr="00987703" w:rsidRDefault="00987703" w:rsidP="00987703">
      <w:pPr>
        <w:spacing w:after="240"/>
        <w:jc w:val="both"/>
        <w:rPr>
          <w:szCs w:val="22"/>
          <w:lang w:eastAsia="zh-CN"/>
        </w:rPr>
      </w:pPr>
      <w:r w:rsidRPr="00987703">
        <w:rPr>
          <w:lang w:eastAsia="zh-CN"/>
        </w:rPr>
        <w:lastRenderedPageBreak/>
        <w:t>Directive (EU) 2019/1937</w:t>
      </w:r>
      <w:r w:rsidRPr="00987703">
        <w:rPr>
          <w:rStyle w:val="FootnoteReference"/>
          <w:lang w:eastAsia="zh-CN"/>
        </w:rPr>
        <w:footnoteReference w:id="1"/>
      </w:r>
      <w:r w:rsidRPr="00987703">
        <w:rPr>
          <w:lang w:eastAsia="zh-CN"/>
        </w:rPr>
        <w:t xml:space="preserve"> aims to guarantee a consistently high level of protection for whistleblowers who report information on breaches of Union law in specific policy areas which they acquired in their work-related activities, by setting European Union-wide minimum standards. The policy areas falling within its scope are set out in Article 2 and the Annex of that Directive. As to the personal scope, Article 4(4)(b) of the Directive extends the protection of reporting persons, where applicable, to third persons connected with a whistleblower and who could suffer retaliation in a work-related context, which includes relatives.</w:t>
      </w:r>
    </w:p>
    <w:p w:rsidR="00987703" w:rsidRPr="00987703" w:rsidRDefault="00987703" w:rsidP="00987703">
      <w:pPr>
        <w:spacing w:after="240"/>
        <w:jc w:val="both"/>
        <w:rPr>
          <w:lang w:eastAsia="zh-CN"/>
        </w:rPr>
      </w:pPr>
      <w:r w:rsidRPr="00987703">
        <w:rPr>
          <w:lang w:eastAsia="zh-CN"/>
        </w:rPr>
        <w:t>The Directive had to be transposed by Member States into national law by 17 December 2021. In January 2022, the Commission initiated an infringement procedure against Romania for failure to notify the complete transposition of the Directive. Once the national measures transposing the Directive will have been notified, the Commission will analyse the completeness and conformity of these measures in view of further steps to be taken.</w:t>
      </w:r>
    </w:p>
    <w:p w:rsidR="00987703" w:rsidRPr="00987703" w:rsidRDefault="00987703" w:rsidP="00987703">
      <w:pPr>
        <w:spacing w:after="240"/>
        <w:jc w:val="both"/>
        <w:rPr>
          <w:lang w:eastAsia="zh-CN"/>
        </w:rPr>
      </w:pPr>
      <w:r w:rsidRPr="00987703">
        <w:rPr>
          <w:lang w:eastAsia="zh-CN"/>
        </w:rPr>
        <w:t xml:space="preserve">The petitioner states that he has initiated legal proceedings in front of the competent national courts, several of which are currently pending. It is indeed for the national authorities, including national courts, to analyse the issues of individual cases in light of the national legal framework providing for whistleblower protection, if applicable. Before the transposition of the Directive into national law, certain of its provisions may enjoy direct effect if they are, </w:t>
      </w:r>
      <w:r w:rsidRPr="00987703">
        <w:rPr>
          <w:i/>
          <w:lang w:eastAsia="zh-CN"/>
        </w:rPr>
        <w:t>inter alia</w:t>
      </w:r>
      <w:r w:rsidRPr="00987703">
        <w:rPr>
          <w:lang w:eastAsia="zh-CN"/>
        </w:rPr>
        <w:t xml:space="preserve">, clear, precise and unconditional in line with the case law developed by the Court of Justice of the European Union. It is for the national courts, in cooperation with the Court of Justice of the European Union, to assess which provisions meet these conditions, taking into account the circumstances of each individual case. </w:t>
      </w:r>
    </w:p>
    <w:p w:rsidR="00987703" w:rsidRPr="00987703" w:rsidRDefault="00987703" w:rsidP="00987703">
      <w:pPr>
        <w:spacing w:after="240"/>
        <w:jc w:val="both"/>
        <w:rPr>
          <w:rFonts w:eastAsiaTheme="minorHAnsi" w:cstheme="minorBidi"/>
          <w:szCs w:val="24"/>
          <w:lang w:eastAsia="en-US"/>
        </w:rPr>
      </w:pPr>
      <w:r w:rsidRPr="00987703">
        <w:rPr>
          <w:szCs w:val="24"/>
          <w:u w:val="single"/>
          <w:lang w:eastAsia="zh-CN"/>
        </w:rPr>
        <w:t>Conclusion</w:t>
      </w:r>
    </w:p>
    <w:p w:rsidR="00742098" w:rsidRPr="00987703" w:rsidRDefault="00987703" w:rsidP="00987703">
      <w:pPr>
        <w:spacing w:after="240"/>
        <w:jc w:val="both"/>
      </w:pPr>
      <w:r w:rsidRPr="00987703">
        <w:rPr>
          <w:szCs w:val="24"/>
          <w:shd w:val="clear" w:color="auto" w:fill="FFFFFF"/>
        </w:rPr>
        <w:t>For the reasons set out above, the Commission has no basis to follow up on the issues raised by the petitioner.</w:t>
      </w:r>
    </w:p>
    <w:sectPr w:rsidR="00742098" w:rsidRPr="00987703" w:rsidSect="00987703">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B2" w:rsidRPr="00987703" w:rsidRDefault="00F46BB2">
      <w:r w:rsidRPr="00987703">
        <w:separator/>
      </w:r>
    </w:p>
  </w:endnote>
  <w:endnote w:type="continuationSeparator" w:id="0">
    <w:p w:rsidR="00F46BB2" w:rsidRPr="00987703" w:rsidRDefault="00F46BB2">
      <w:r w:rsidRPr="0098770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703" w:rsidRPr="00987703" w:rsidRDefault="00987703" w:rsidP="00987703">
    <w:pPr>
      <w:pStyle w:val="EPFooter"/>
    </w:pPr>
    <w:r w:rsidRPr="00987703">
      <w:t>PE</w:t>
    </w:r>
    <w:r w:rsidRPr="00987703">
      <w:rPr>
        <w:rStyle w:val="HideTWBExt"/>
        <w:noProof w:val="0"/>
      </w:rPr>
      <w:t>&lt;NoPE&gt;</w:t>
    </w:r>
    <w:r w:rsidRPr="00987703">
      <w:t>737.169</w:t>
    </w:r>
    <w:r w:rsidRPr="00987703">
      <w:rPr>
        <w:rStyle w:val="HideTWBExt"/>
        <w:noProof w:val="0"/>
      </w:rPr>
      <w:t>&lt;/NoPE&gt;&lt;Version&gt;</w:t>
    </w:r>
    <w:r w:rsidRPr="00987703">
      <w:t>v01-00</w:t>
    </w:r>
    <w:r w:rsidRPr="00987703">
      <w:rPr>
        <w:rStyle w:val="HideTWBExt"/>
        <w:noProof w:val="0"/>
      </w:rPr>
      <w:t>&lt;/Version&gt;</w:t>
    </w:r>
    <w:r w:rsidRPr="00987703">
      <w:tab/>
    </w:r>
    <w:r w:rsidRPr="00987703">
      <w:fldChar w:fldCharType="begin"/>
    </w:r>
    <w:r w:rsidRPr="00987703">
      <w:instrText xml:space="preserve"> PAGE  \* MERGEFORMAT </w:instrText>
    </w:r>
    <w:r w:rsidRPr="00987703">
      <w:fldChar w:fldCharType="separate"/>
    </w:r>
    <w:r w:rsidR="003D09EB">
      <w:rPr>
        <w:noProof/>
      </w:rPr>
      <w:t>2</w:t>
    </w:r>
    <w:r w:rsidRPr="00987703">
      <w:fldChar w:fldCharType="end"/>
    </w:r>
    <w:r w:rsidRPr="00987703">
      <w:t>/</w:t>
    </w:r>
    <w:fldSimple w:instr=" NUMPAGES  \* MERGEFORMAT ">
      <w:r w:rsidR="003D09EB">
        <w:rPr>
          <w:noProof/>
        </w:rPr>
        <w:t>2</w:t>
      </w:r>
    </w:fldSimple>
    <w:r w:rsidRPr="00987703">
      <w:tab/>
    </w:r>
    <w:r w:rsidRPr="00987703">
      <w:rPr>
        <w:rStyle w:val="HideTWBExt"/>
        <w:noProof w:val="0"/>
      </w:rPr>
      <w:t>&lt;PathFdR&gt;</w:t>
    </w:r>
    <w:r w:rsidRPr="00987703">
      <w:t>CM\1264281EN.docx</w:t>
    </w:r>
    <w:r w:rsidRPr="00987703">
      <w:rPr>
        <w:rStyle w:val="HideTWBExt"/>
        <w:noProof w:val="0"/>
      </w:rPr>
      <w:t>&lt;/PathFdR&gt;</w:t>
    </w:r>
  </w:p>
  <w:p w:rsidR="00515EFE" w:rsidRPr="00987703" w:rsidRDefault="00987703" w:rsidP="00987703">
    <w:pPr>
      <w:pStyle w:val="EPFooter2"/>
    </w:pPr>
    <w:r w:rsidRPr="00987703">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703" w:rsidRPr="00987703" w:rsidRDefault="00987703" w:rsidP="00987703">
    <w:pPr>
      <w:pStyle w:val="EPFooter"/>
    </w:pPr>
    <w:r w:rsidRPr="00987703">
      <w:rPr>
        <w:rStyle w:val="HideTWBExt"/>
        <w:noProof w:val="0"/>
      </w:rPr>
      <w:t>&lt;PathFdR&gt;</w:t>
    </w:r>
    <w:r w:rsidRPr="00987703">
      <w:t>CM\1264281EN.docx</w:t>
    </w:r>
    <w:r w:rsidRPr="00987703">
      <w:rPr>
        <w:rStyle w:val="HideTWBExt"/>
        <w:noProof w:val="0"/>
      </w:rPr>
      <w:t>&lt;/PathFdR&gt;</w:t>
    </w:r>
    <w:r w:rsidRPr="00987703">
      <w:tab/>
    </w:r>
    <w:r w:rsidRPr="00987703">
      <w:fldChar w:fldCharType="begin"/>
    </w:r>
    <w:r w:rsidRPr="00987703">
      <w:instrText xml:space="preserve"> PAGE  \* MERGEFORMAT </w:instrText>
    </w:r>
    <w:r w:rsidRPr="00987703">
      <w:fldChar w:fldCharType="separate"/>
    </w:r>
    <w:r w:rsidR="003D09EB">
      <w:rPr>
        <w:noProof/>
      </w:rPr>
      <w:t>2</w:t>
    </w:r>
    <w:r w:rsidRPr="00987703">
      <w:fldChar w:fldCharType="end"/>
    </w:r>
    <w:r w:rsidRPr="00987703">
      <w:t>/</w:t>
    </w:r>
    <w:fldSimple w:instr=" NUMPAGES  \* MERGEFORMAT ">
      <w:r w:rsidR="003D09EB">
        <w:rPr>
          <w:noProof/>
        </w:rPr>
        <w:t>2</w:t>
      </w:r>
    </w:fldSimple>
    <w:r w:rsidRPr="00987703">
      <w:tab/>
      <w:t>PE</w:t>
    </w:r>
    <w:r w:rsidRPr="00987703">
      <w:rPr>
        <w:rStyle w:val="HideTWBExt"/>
        <w:noProof w:val="0"/>
      </w:rPr>
      <w:t>&lt;NoPE&gt;</w:t>
    </w:r>
    <w:r w:rsidRPr="00987703">
      <w:t>737.169</w:t>
    </w:r>
    <w:r w:rsidRPr="00987703">
      <w:rPr>
        <w:rStyle w:val="HideTWBExt"/>
        <w:noProof w:val="0"/>
      </w:rPr>
      <w:t>&lt;/NoPE&gt;&lt;Version&gt;</w:t>
    </w:r>
    <w:r w:rsidRPr="00987703">
      <w:t>v01-00</w:t>
    </w:r>
    <w:r w:rsidRPr="00987703">
      <w:rPr>
        <w:rStyle w:val="HideTWBExt"/>
        <w:noProof w:val="0"/>
      </w:rPr>
      <w:t>&lt;/Version&gt;</w:t>
    </w:r>
  </w:p>
  <w:p w:rsidR="00515EFE" w:rsidRPr="00987703" w:rsidRDefault="00987703" w:rsidP="00987703">
    <w:pPr>
      <w:pStyle w:val="EPFooter2"/>
    </w:pPr>
    <w:r w:rsidRPr="00987703">
      <w:tab/>
    </w:r>
    <w:r w:rsidRPr="00987703">
      <w:tab/>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703" w:rsidRPr="00987703" w:rsidRDefault="00987703" w:rsidP="00987703">
    <w:pPr>
      <w:pStyle w:val="EPFooter"/>
    </w:pPr>
    <w:r w:rsidRPr="00987703">
      <w:rPr>
        <w:rStyle w:val="HideTWBExt"/>
        <w:noProof w:val="0"/>
      </w:rPr>
      <w:t>&lt;PathFdR&gt;</w:t>
    </w:r>
    <w:r w:rsidRPr="00987703">
      <w:t>CM\1264281EN.docx</w:t>
    </w:r>
    <w:r w:rsidRPr="00987703">
      <w:rPr>
        <w:rStyle w:val="HideTWBExt"/>
        <w:noProof w:val="0"/>
      </w:rPr>
      <w:t>&lt;/PathFdR&gt;</w:t>
    </w:r>
    <w:r w:rsidRPr="00987703">
      <w:tab/>
    </w:r>
    <w:r w:rsidRPr="00987703">
      <w:tab/>
      <w:t>PE</w:t>
    </w:r>
    <w:r w:rsidRPr="00987703">
      <w:rPr>
        <w:rStyle w:val="HideTWBExt"/>
        <w:noProof w:val="0"/>
      </w:rPr>
      <w:t>&lt;NoPE&gt;</w:t>
    </w:r>
    <w:r w:rsidRPr="00987703">
      <w:t>737.169</w:t>
    </w:r>
    <w:r w:rsidRPr="00987703">
      <w:rPr>
        <w:rStyle w:val="HideTWBExt"/>
        <w:noProof w:val="0"/>
      </w:rPr>
      <w:t>&lt;/NoPE&gt;&lt;Version&gt;</w:t>
    </w:r>
    <w:r w:rsidRPr="00987703">
      <w:t>v01-00</w:t>
    </w:r>
    <w:r w:rsidRPr="00987703">
      <w:rPr>
        <w:rStyle w:val="HideTWBExt"/>
        <w:noProof w:val="0"/>
      </w:rPr>
      <w:t>&lt;/Version&gt;</w:t>
    </w:r>
  </w:p>
  <w:p w:rsidR="00515EFE" w:rsidRPr="00987703" w:rsidRDefault="00987703" w:rsidP="00987703">
    <w:pPr>
      <w:pStyle w:val="EPFooter2"/>
    </w:pPr>
    <w:r w:rsidRPr="00987703">
      <w:t>EN</w:t>
    </w:r>
    <w:r w:rsidRPr="00987703">
      <w:tab/>
    </w:r>
    <w:r w:rsidRPr="00987703">
      <w:rPr>
        <w:b w:val="0"/>
        <w:i/>
        <w:color w:val="C0C0C0"/>
        <w:sz w:val="22"/>
      </w:rPr>
      <w:t>United in diversity</w:t>
    </w:r>
    <w:r w:rsidRPr="00987703">
      <w:tab/>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B2" w:rsidRPr="00987703" w:rsidRDefault="00F46BB2">
      <w:r w:rsidRPr="00987703">
        <w:separator/>
      </w:r>
    </w:p>
  </w:footnote>
  <w:footnote w:type="continuationSeparator" w:id="0">
    <w:p w:rsidR="00F46BB2" w:rsidRPr="00987703" w:rsidRDefault="00F46BB2">
      <w:r w:rsidRPr="00987703">
        <w:continuationSeparator/>
      </w:r>
    </w:p>
  </w:footnote>
  <w:footnote w:id="1">
    <w:p w:rsidR="00987703" w:rsidRPr="00987703" w:rsidRDefault="00987703" w:rsidP="00987703">
      <w:pPr>
        <w:pStyle w:val="title-bold"/>
        <w:shd w:val="clear" w:color="auto" w:fill="FFFFFF"/>
        <w:spacing w:before="0" w:beforeAutospacing="0" w:after="0" w:afterAutospacing="0"/>
        <w:jc w:val="both"/>
        <w:rPr>
          <w:b/>
          <w:bCs/>
          <w:i/>
          <w:color w:val="333333"/>
          <w:sz w:val="20"/>
          <w:szCs w:val="20"/>
        </w:rPr>
      </w:pPr>
      <w:r w:rsidRPr="00987703">
        <w:rPr>
          <w:rStyle w:val="FootnoteReference"/>
          <w:sz w:val="20"/>
          <w:szCs w:val="20"/>
        </w:rPr>
        <w:footnoteRef/>
      </w:r>
      <w:r w:rsidRPr="00987703">
        <w:rPr>
          <w:sz w:val="20"/>
          <w:szCs w:val="20"/>
        </w:rPr>
        <w:t xml:space="preserve"> </w:t>
      </w:r>
      <w:r w:rsidRPr="00987703">
        <w:rPr>
          <w:bCs/>
          <w:color w:val="333333"/>
          <w:sz w:val="20"/>
          <w:szCs w:val="20"/>
        </w:rPr>
        <w:t>Directive (EU) 2019/1937 of the European Parliament and of the Council of 23 October 2019 on the protection of persons who report breaches of Union law,</w:t>
      </w:r>
      <w:r w:rsidRPr="00987703">
        <w:rPr>
          <w:b/>
          <w:bCs/>
          <w:color w:val="333333"/>
          <w:sz w:val="20"/>
          <w:szCs w:val="20"/>
        </w:rPr>
        <w:t xml:space="preserve"> </w:t>
      </w:r>
      <w:r w:rsidRPr="00987703">
        <w:rPr>
          <w:rStyle w:val="Emphasis"/>
          <w:rFonts w:eastAsiaTheme="majorEastAsia"/>
          <w:color w:val="333333"/>
          <w:szCs w:val="20"/>
        </w:rPr>
        <w:t>OJ L 305, 26.11.2019, p. 17–56.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EB" w:rsidRDefault="003D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EB" w:rsidRDefault="003D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EB" w:rsidRDefault="003D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EditedSection" w:val=" 1"/>
    <w:docVar w:name="PAR3MNU" w:val=" 1"/>
    <w:docVar w:name="RECEIVED1MNU" w:val=" 1"/>
    <w:docVar w:name="strDocTypeID" w:val="CM_PETI"/>
    <w:docVar w:name="strSubDir" w:val="1264"/>
    <w:docVar w:name="TXTLANGUE" w:val="EN"/>
    <w:docVar w:name="TXTLANGUEMIN" w:val="en"/>
    <w:docVar w:name="TXTNRPE" w:val="737.169"/>
    <w:docVar w:name="TXTPEorAP" w:val="PE"/>
    <w:docVar w:name="TXTROUTE" w:val="CM\1264281EN.docx"/>
    <w:docVar w:name="TXTVERSION" w:val="01-00"/>
  </w:docVars>
  <w:rsids>
    <w:rsidRoot w:val="00F46BB2"/>
    <w:rsid w:val="00005580"/>
    <w:rsid w:val="00021877"/>
    <w:rsid w:val="000B1FCF"/>
    <w:rsid w:val="000C55C2"/>
    <w:rsid w:val="000F177C"/>
    <w:rsid w:val="00113F15"/>
    <w:rsid w:val="00146D0F"/>
    <w:rsid w:val="00184435"/>
    <w:rsid w:val="00197354"/>
    <w:rsid w:val="001B4EE5"/>
    <w:rsid w:val="00210517"/>
    <w:rsid w:val="0026650F"/>
    <w:rsid w:val="00293A67"/>
    <w:rsid w:val="002D1C23"/>
    <w:rsid w:val="0036659A"/>
    <w:rsid w:val="00374CF2"/>
    <w:rsid w:val="003D09EB"/>
    <w:rsid w:val="003D4BEC"/>
    <w:rsid w:val="003E5164"/>
    <w:rsid w:val="003F0B55"/>
    <w:rsid w:val="004B3DD0"/>
    <w:rsid w:val="004B68CD"/>
    <w:rsid w:val="004E3E40"/>
    <w:rsid w:val="00515EFE"/>
    <w:rsid w:val="00583711"/>
    <w:rsid w:val="00586F3B"/>
    <w:rsid w:val="005D2B42"/>
    <w:rsid w:val="005E2BFF"/>
    <w:rsid w:val="005F3572"/>
    <w:rsid w:val="00666D8D"/>
    <w:rsid w:val="006E2B69"/>
    <w:rsid w:val="00714E91"/>
    <w:rsid w:val="00727E87"/>
    <w:rsid w:val="00737D2D"/>
    <w:rsid w:val="00740B60"/>
    <w:rsid w:val="00742098"/>
    <w:rsid w:val="00770F7E"/>
    <w:rsid w:val="007F328A"/>
    <w:rsid w:val="00892FAD"/>
    <w:rsid w:val="008A7531"/>
    <w:rsid w:val="00930145"/>
    <w:rsid w:val="009434F7"/>
    <w:rsid w:val="00967CC6"/>
    <w:rsid w:val="0098672A"/>
    <w:rsid w:val="00987703"/>
    <w:rsid w:val="009A7D47"/>
    <w:rsid w:val="00A31762"/>
    <w:rsid w:val="00AF73CF"/>
    <w:rsid w:val="00BA398B"/>
    <w:rsid w:val="00BB70B2"/>
    <w:rsid w:val="00C26FE8"/>
    <w:rsid w:val="00C71A0F"/>
    <w:rsid w:val="00D0655B"/>
    <w:rsid w:val="00D339E0"/>
    <w:rsid w:val="00D85B3A"/>
    <w:rsid w:val="00D9553F"/>
    <w:rsid w:val="00DC7A3F"/>
    <w:rsid w:val="00DF6B1C"/>
    <w:rsid w:val="00E1684E"/>
    <w:rsid w:val="00EE6762"/>
    <w:rsid w:val="00EF3A1F"/>
    <w:rsid w:val="00F46BB2"/>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AF7B2"/>
  <w15:chartTrackingRefBased/>
  <w15:docId w15:val="{AB14F66D-52C9-4BE1-9D0F-1FF25F6E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E5"/>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rsid w:val="00197354"/>
    <w:pPr>
      <w:widowControl/>
      <w:tabs>
        <w:tab w:val="center" w:pos="4535"/>
        <w:tab w:val="right" w:pos="9921"/>
      </w:tabs>
      <w:ind w:left="-850" w:right="-850"/>
    </w:pPr>
    <w:rPr>
      <w:rFonts w:ascii="Arial" w:hAnsi="Arial" w:cs="Arial"/>
      <w:b/>
      <w:sz w:val="48"/>
    </w:rPr>
  </w:style>
  <w:style w:type="paragraph" w:customStyle="1" w:styleId="Normal12a">
    <w:name w:val="Normal12a"/>
    <w:basedOn w:val="Normal"/>
    <w:pPr>
      <w:spacing w:after="240"/>
    </w:pPr>
  </w:style>
  <w:style w:type="character" w:customStyle="1" w:styleId="HideTWBInt">
    <w:name w:val="HideTWBInt"/>
    <w:rPr>
      <w:rFonts w:ascii="Arial" w:hAnsi="Arial" w:cs="Arial"/>
      <w:vanish/>
      <w:color w:val="808080"/>
      <w:sz w:val="20"/>
    </w:rPr>
  </w:style>
  <w:style w:type="paragraph" w:customStyle="1" w:styleId="EPName">
    <w:name w:val="EPName"/>
    <w:basedOn w:val="Normal"/>
    <w:rsid w:val="005D2B42"/>
    <w:pPr>
      <w:spacing w:before="80" w:after="80"/>
    </w:pPr>
    <w:rPr>
      <w:rFonts w:ascii="Arial Narrow" w:hAnsi="Arial Narrow" w:cs="Arial"/>
      <w:b/>
      <w:sz w:val="32"/>
      <w:szCs w:val="22"/>
    </w:rPr>
  </w:style>
  <w:style w:type="paragraph" w:customStyle="1" w:styleId="NormalBoldHanging12a">
    <w:name w:val="NormalBoldHanging12a"/>
    <w:basedOn w:val="Normal"/>
    <w:rsid w:val="005F3572"/>
    <w:pPr>
      <w:spacing w:after="240"/>
      <w:ind w:left="567" w:hanging="567"/>
    </w:pPr>
    <w:rPr>
      <w:b/>
    </w:rPr>
  </w:style>
  <w:style w:type="paragraph" w:customStyle="1" w:styleId="HeadingSubject">
    <w:name w:val="HeadingSubject"/>
    <w:basedOn w:val="Normal"/>
    <w:rsid w:val="005F3572"/>
    <w:pPr>
      <w:spacing w:before="720" w:after="480"/>
      <w:ind w:left="1134" w:hanging="1134"/>
    </w:pPr>
    <w:rPr>
      <w:b/>
      <w:szCs w:val="24"/>
    </w:rPr>
  </w:style>
  <w:style w:type="paragraph" w:customStyle="1" w:styleId="HeadingDateNoRef">
    <w:name w:val="HeadingDateNoRef"/>
    <w:basedOn w:val="Normal"/>
    <w:rsid w:val="00AF73CF"/>
    <w:pPr>
      <w:spacing w:before="1320" w:after="240"/>
    </w:pPr>
  </w:style>
  <w:style w:type="paragraph" w:customStyle="1" w:styleId="HeadingDocType">
    <w:name w:val="HeadingDocType"/>
    <w:basedOn w:val="Normal"/>
    <w:rsid w:val="0098672A"/>
    <w:pPr>
      <w:jc w:val="center"/>
    </w:pPr>
    <w:rPr>
      <w:rFonts w:ascii="Arial" w:hAnsi="Arial"/>
      <w:b/>
      <w:sz w:val="48"/>
    </w:rPr>
  </w:style>
  <w:style w:type="table" w:styleId="TableGrid">
    <w:name w:val="Table Grid"/>
    <w:basedOn w:val="TableNormal"/>
    <w:rsid w:val="0058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3D4BEC"/>
    <w:pPr>
      <w:jc w:val="center"/>
    </w:pPr>
    <w:rPr>
      <w:rFonts w:ascii="Arial" w:hAnsi="Arial" w:cs="Arial"/>
      <w:i/>
      <w:sz w:val="22"/>
      <w:szCs w:val="22"/>
    </w:rPr>
  </w:style>
  <w:style w:type="paragraph" w:customStyle="1" w:styleId="LineTop">
    <w:name w:val="LineTop"/>
    <w:basedOn w:val="Normal"/>
    <w:next w:val="Normal"/>
    <w:rsid w:val="00586F3B"/>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2D1C23"/>
    <w:pPr>
      <w:pBdr>
        <w:bottom w:val="single" w:sz="4" w:space="1" w:color="auto"/>
      </w:pBdr>
      <w:spacing w:after="240"/>
      <w:jc w:val="center"/>
    </w:pPr>
    <w:rPr>
      <w:rFonts w:ascii="Arial" w:hAnsi="Arial" w:cs="Arial"/>
      <w:sz w:val="16"/>
      <w:szCs w:val="16"/>
    </w:rPr>
  </w:style>
  <w:style w:type="paragraph" w:customStyle="1" w:styleId="EPTerm">
    <w:name w:val="EPTerm"/>
    <w:basedOn w:val="Normal"/>
    <w:next w:val="Normal"/>
    <w:rsid w:val="005D2B42"/>
    <w:pPr>
      <w:spacing w:after="80"/>
    </w:pPr>
    <w:rPr>
      <w:rFonts w:ascii="Arial" w:hAnsi="Arial" w:cs="Arial"/>
      <w:sz w:val="20"/>
      <w:szCs w:val="22"/>
    </w:rPr>
  </w:style>
  <w:style w:type="paragraph" w:customStyle="1" w:styleId="EPLogo">
    <w:name w:val="EPLogo"/>
    <w:basedOn w:val="Normal"/>
    <w:qFormat/>
    <w:rsid w:val="005D2B42"/>
    <w:pPr>
      <w:jc w:val="right"/>
    </w:pPr>
  </w:style>
  <w:style w:type="paragraph" w:customStyle="1" w:styleId="EPFooter">
    <w:name w:val="EPFooter"/>
    <w:basedOn w:val="Normal"/>
    <w:rsid w:val="00EE6762"/>
    <w:pPr>
      <w:tabs>
        <w:tab w:val="center" w:pos="4535"/>
        <w:tab w:val="right" w:pos="9071"/>
      </w:tabs>
      <w:spacing w:before="240" w:after="240"/>
    </w:pPr>
    <w:rPr>
      <w:color w:val="010000"/>
      <w:sz w:val="22"/>
    </w:rPr>
  </w:style>
  <w:style w:type="paragraph" w:styleId="Header">
    <w:name w:val="header"/>
    <w:basedOn w:val="Normal"/>
    <w:link w:val="HeaderChar"/>
    <w:semiHidden/>
    <w:rsid w:val="00EE6762"/>
    <w:pPr>
      <w:tabs>
        <w:tab w:val="center" w:pos="4513"/>
        <w:tab w:val="right" w:pos="9026"/>
      </w:tabs>
    </w:pPr>
  </w:style>
  <w:style w:type="character" w:customStyle="1" w:styleId="HeaderChar">
    <w:name w:val="Header Char"/>
    <w:basedOn w:val="DefaultParagraphFont"/>
    <w:link w:val="Header"/>
    <w:semiHidden/>
    <w:rsid w:val="00740B60"/>
    <w:rPr>
      <w:sz w:val="24"/>
    </w:rPr>
  </w:style>
  <w:style w:type="paragraph" w:styleId="TOCHeading">
    <w:name w:val="TOC Heading"/>
    <w:basedOn w:val="Normal"/>
    <w:next w:val="Normal"/>
    <w:uiPriority w:val="39"/>
    <w:semiHidden/>
    <w:unhideWhenUsed/>
    <w:qFormat/>
    <w:rsid w:val="00583711"/>
    <w:pPr>
      <w:keepLines/>
      <w:spacing w:after="240"/>
    </w:pPr>
    <w:rPr>
      <w:rFonts w:asciiTheme="majorHAnsi" w:eastAsiaTheme="majorEastAsia" w:hAnsiTheme="majorHAnsi" w:cstheme="majorBidi"/>
      <w:b/>
      <w:color w:val="2E74B5" w:themeColor="accent1" w:themeShade="BF"/>
      <w:sz w:val="32"/>
      <w:szCs w:val="32"/>
    </w:rPr>
  </w:style>
  <w:style w:type="paragraph" w:customStyle="1" w:styleId="title-bold">
    <w:name w:val="title-bold"/>
    <w:basedOn w:val="Normal"/>
    <w:rsid w:val="00987703"/>
    <w:pPr>
      <w:widowControl/>
      <w:spacing w:before="100" w:beforeAutospacing="1" w:after="100" w:afterAutospacing="1"/>
    </w:pPr>
    <w:rPr>
      <w:szCs w:val="24"/>
    </w:rPr>
  </w:style>
  <w:style w:type="character" w:styleId="FootnoteReference">
    <w:name w:val="footnote reference"/>
    <w:basedOn w:val="DefaultParagraphFont"/>
    <w:uiPriority w:val="99"/>
    <w:unhideWhenUsed/>
    <w:rsid w:val="00987703"/>
    <w:rPr>
      <w:vertAlign w:val="superscript"/>
    </w:rPr>
  </w:style>
  <w:style w:type="character" w:styleId="Emphasis">
    <w:name w:val="Emphasis"/>
    <w:basedOn w:val="DefaultParagraphFont"/>
    <w:uiPriority w:val="20"/>
    <w:qFormat/>
    <w:rsid w:val="00987703"/>
    <w:rPr>
      <w:i/>
      <w:iCs/>
    </w:rPr>
  </w:style>
  <w:style w:type="paragraph" w:styleId="Footer">
    <w:name w:val="footer"/>
    <w:basedOn w:val="Normal"/>
    <w:link w:val="FooterChar"/>
    <w:semiHidden/>
    <w:rsid w:val="003D09EB"/>
    <w:pPr>
      <w:tabs>
        <w:tab w:val="center" w:pos="4513"/>
        <w:tab w:val="right" w:pos="9026"/>
      </w:tabs>
    </w:pPr>
  </w:style>
  <w:style w:type="character" w:customStyle="1" w:styleId="FooterChar">
    <w:name w:val="Footer Char"/>
    <w:basedOn w:val="DefaultParagraphFont"/>
    <w:link w:val="Footer"/>
    <w:semiHidden/>
    <w:rsid w:val="003D09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16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2892</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CM_PETI</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CM_PETI</dc:title>
  <dc:subject/>
  <dc:creator>RODTS Eddy</dc:creator>
  <cp:keywords/>
  <dc:description/>
  <cp:lastModifiedBy>RODTS Eddy</cp:lastModifiedBy>
  <cp:revision>2</cp:revision>
  <cp:lastPrinted>2005-02-25T11:09:00Z</cp:lastPrinted>
  <dcterms:created xsi:type="dcterms:W3CDTF">2022-10-05T14:21:00Z</dcterms:created>
  <dcterms:modified xsi:type="dcterms:W3CDTF">2022-10-05T14:21:00Z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9.13.0 Build [20220701]</vt:lpwstr>
  </property>
  <property fmtid="{D5CDD505-2E9C-101B-9397-08002B2CF9AE}" pid="4" name="LastEdited with">
    <vt:lpwstr>9.13.0 Build [20220701]</vt:lpwstr>
  </property>
  <property fmtid="{D5CDD505-2E9C-101B-9397-08002B2CF9AE}" pid="5" name="&lt;FdR&gt;">
    <vt:lpwstr>1264281</vt:lpwstr>
  </property>
  <property fmtid="{D5CDD505-2E9C-101B-9397-08002B2CF9AE}" pid="6" name="&lt;Type&gt;">
    <vt:lpwstr>CM</vt:lpwstr>
  </property>
  <property fmtid="{D5CDD505-2E9C-101B-9397-08002B2CF9AE}" pid="7" name="&lt;ModelCod&gt;">
    <vt:lpwstr>\\eiciBRUpr1\pdocep$\DocEP\DOCS\General\CM\CM_PETI.dotx(17/04/2020 19:26:05)</vt:lpwstr>
  </property>
  <property fmtid="{D5CDD505-2E9C-101B-9397-08002B2CF9AE}" pid="8" name="&lt;ModelTra&gt;">
    <vt:lpwstr>\\eiciBRUpr1\pdocep$\DocEP\TRANSFIL\EN\CM_PETI.EN(20/12/2021 18:06:00)</vt:lpwstr>
  </property>
  <property fmtid="{D5CDD505-2E9C-101B-9397-08002B2CF9AE}" pid="9" name="&lt;Model&gt;">
    <vt:lpwstr>CM_PETI</vt:lpwstr>
  </property>
  <property fmtid="{D5CDD505-2E9C-101B-9397-08002B2CF9AE}" pid="10" name="FooterPath">
    <vt:lpwstr>CM\1264281EN.docx</vt:lpwstr>
  </property>
  <property fmtid="{D5CDD505-2E9C-101B-9397-08002B2CF9AE}" pid="11" name="PE number">
    <vt:lpwstr>737.169</vt:lpwstr>
  </property>
  <property fmtid="{D5CDD505-2E9C-101B-9397-08002B2CF9AE}" pid="12" name="SendToEpades">
    <vt:lpwstr>OK - 2022/10/05 16:21</vt:lpwstr>
  </property>
</Properties>
</file>