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0" w:type="dxa"/>
          <w:right w:w="0" w:type="dxa"/>
        </w:tblCellMar>
        <w:tblLook w:val="01E0" w:firstRow="1" w:lastRow="1" w:firstColumn="1" w:lastColumn="1" w:noHBand="0" w:noVBand="0"/>
      </w:tblPr>
      <w:tblGrid>
        <w:gridCol w:w="6804"/>
        <w:gridCol w:w="2268"/>
      </w:tblGrid>
      <w:tr w:rsidR="00041A79" w:rsidRPr="00F14A4A" w:rsidTr="00C85D0F">
        <w:trPr>
          <w:trHeight w:hRule="exact" w:val="1418"/>
        </w:trPr>
        <w:tc>
          <w:tcPr>
            <w:tcW w:w="6804" w:type="dxa"/>
            <w:shd w:val="clear" w:color="auto" w:fill="auto"/>
            <w:vAlign w:val="center"/>
          </w:tcPr>
          <w:p w:rsidR="00041A79" w:rsidRPr="00F14A4A" w:rsidRDefault="00A500F5" w:rsidP="00C85D0F">
            <w:pPr>
              <w:pStyle w:val="EPName"/>
            </w:pPr>
            <w:bookmarkStart w:id="0" w:name="_GoBack"/>
            <w:bookmarkEnd w:id="0"/>
            <w:r w:rsidRPr="00F14A4A">
              <w:t>European Parliament</w:t>
            </w:r>
          </w:p>
          <w:p w:rsidR="00041A79" w:rsidRPr="00F14A4A" w:rsidRDefault="00647586" w:rsidP="00647586">
            <w:pPr>
              <w:pStyle w:val="EPTerm"/>
            </w:pPr>
            <w:r w:rsidRPr="00F14A4A">
              <w:t>2024-2029</w:t>
            </w:r>
          </w:p>
        </w:tc>
        <w:tc>
          <w:tcPr>
            <w:tcW w:w="2268" w:type="dxa"/>
            <w:shd w:val="clear" w:color="auto" w:fill="auto"/>
          </w:tcPr>
          <w:p w:rsidR="00041A79" w:rsidRPr="00F14A4A" w:rsidRDefault="00041A79" w:rsidP="00C85D0F">
            <w:pPr>
              <w:pStyle w:val="EPLogo"/>
            </w:pPr>
            <w:r w:rsidRPr="00F14A4A">
              <w:rPr>
                <w:noProof/>
              </w:rPr>
              <w:drawing>
                <wp:inline distT="0" distB="0" distL="0" distR="0" wp14:anchorId="4B8BE00E" wp14:editId="501F4E6E">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rsidR="00F64B87" w:rsidRPr="00F14A4A" w:rsidRDefault="00F64B87" w:rsidP="00F64B87">
      <w:pPr>
        <w:pStyle w:val="LineTop"/>
      </w:pPr>
    </w:p>
    <w:p w:rsidR="00F64B87" w:rsidRPr="00F14A4A" w:rsidRDefault="00F64B87" w:rsidP="00F64B87">
      <w:pPr>
        <w:pStyle w:val="EPBody"/>
      </w:pPr>
      <w:r w:rsidRPr="00F14A4A">
        <w:rPr>
          <w:rStyle w:val="HideTWBExt"/>
        </w:rPr>
        <w:t>&lt;</w:t>
      </w:r>
      <w:r w:rsidRPr="00F14A4A">
        <w:rPr>
          <w:rStyle w:val="HideTWBExt"/>
          <w:i w:val="0"/>
        </w:rPr>
        <w:t>Commission&gt;</w:t>
      </w:r>
      <w:r w:rsidR="00647586" w:rsidRPr="00F14A4A">
        <w:rPr>
          <w:rStyle w:val="HideTWBInt"/>
        </w:rPr>
        <w:t>{PETI}</w:t>
      </w:r>
      <w:r w:rsidR="00647586" w:rsidRPr="00F14A4A">
        <w:t>Committee on Petitions</w:t>
      </w:r>
      <w:r w:rsidRPr="00F14A4A">
        <w:rPr>
          <w:rStyle w:val="HideTWBExt"/>
        </w:rPr>
        <w:t>&lt;/</w:t>
      </w:r>
      <w:r w:rsidRPr="00F14A4A">
        <w:rPr>
          <w:rStyle w:val="HideTWBExt"/>
          <w:i w:val="0"/>
        </w:rPr>
        <w:t>Commission</w:t>
      </w:r>
      <w:r w:rsidRPr="00F14A4A">
        <w:rPr>
          <w:rStyle w:val="HideTWBExt"/>
        </w:rPr>
        <w:t>&gt;</w:t>
      </w:r>
    </w:p>
    <w:p w:rsidR="001173AC" w:rsidRPr="00F14A4A" w:rsidRDefault="001173AC" w:rsidP="001173AC">
      <w:pPr>
        <w:pStyle w:val="LineBottom"/>
      </w:pPr>
    </w:p>
    <w:p w:rsidR="00647586" w:rsidRPr="00F14A4A" w:rsidRDefault="00647586" w:rsidP="00647586">
      <w:pPr>
        <w:pStyle w:val="HeadingReferenceOJPV"/>
        <w:rPr>
          <w:snapToGrid/>
        </w:rPr>
      </w:pPr>
      <w:r w:rsidRPr="00F14A4A">
        <w:t>PETI_PV(2024)1003_1</w:t>
      </w:r>
    </w:p>
    <w:p w:rsidR="00647586" w:rsidRPr="00F14A4A" w:rsidRDefault="00647586" w:rsidP="00647586">
      <w:pPr>
        <w:pStyle w:val="HeadingDocType24a"/>
      </w:pPr>
      <w:r w:rsidRPr="00F14A4A">
        <w:t>MINUTES</w:t>
      </w:r>
    </w:p>
    <w:p w:rsidR="00647586" w:rsidRPr="00F14A4A" w:rsidRDefault="00647586" w:rsidP="00647586">
      <w:pPr>
        <w:pStyle w:val="HeadingCenter12a"/>
      </w:pPr>
      <w:r w:rsidRPr="00F14A4A">
        <w:t>Meeting of 3 October 2024, 14.30-16.45</w:t>
      </w:r>
    </w:p>
    <w:p w:rsidR="00647586" w:rsidRPr="00F14A4A" w:rsidRDefault="00647586" w:rsidP="00647586">
      <w:pPr>
        <w:pStyle w:val="HeadingCenter12a"/>
      </w:pPr>
      <w:r w:rsidRPr="00F14A4A">
        <w:t>BRUSSELS</w:t>
      </w:r>
    </w:p>
    <w:p w:rsidR="00647586" w:rsidRPr="00F14A4A" w:rsidRDefault="00647586" w:rsidP="00647586">
      <w:pPr>
        <w:pStyle w:val="MeetingIntro"/>
        <w:jc w:val="center"/>
        <w:rPr>
          <w:i/>
        </w:rPr>
      </w:pPr>
      <w:r w:rsidRPr="00F14A4A">
        <w:rPr>
          <w:i/>
        </w:rPr>
        <w:t>The meeting opened on Thursday 3 October 2024 at 14:34, with Bogdan Rzońca (Chair) presiding.</w:t>
      </w:r>
    </w:p>
    <w:p w:rsidR="00647586" w:rsidRPr="00F14A4A" w:rsidRDefault="00647586" w:rsidP="00647586">
      <w:pPr>
        <w:rPr>
          <w:b/>
          <w:sz w:val="28"/>
          <w:szCs w:val="28"/>
        </w:rPr>
      </w:pPr>
      <w:r w:rsidRPr="00F14A4A">
        <w:rPr>
          <w:b/>
          <w:sz w:val="28"/>
          <w:szCs w:val="28"/>
        </w:rPr>
        <w:t>Thursday 3 October 14:30 -16:45</w:t>
      </w:r>
    </w:p>
    <w:p w:rsidR="00647586" w:rsidRPr="00F14A4A" w:rsidRDefault="00647586" w:rsidP="00647586"/>
    <w:p w:rsidR="00647586" w:rsidRPr="00F14A4A" w:rsidRDefault="00647586" w:rsidP="00647586">
      <w:pPr>
        <w:widowControl/>
        <w:tabs>
          <w:tab w:val="left" w:pos="-1417"/>
          <w:tab w:val="left" w:pos="-397"/>
          <w:tab w:val="left" w:pos="6804"/>
        </w:tabs>
        <w:ind w:left="426" w:hanging="426"/>
        <w:jc w:val="both"/>
      </w:pPr>
      <w:r w:rsidRPr="00F14A4A">
        <w:rPr>
          <w:b/>
          <w:szCs w:val="24"/>
        </w:rPr>
        <w:t>1.</w:t>
      </w:r>
      <w:r w:rsidRPr="00F14A4A">
        <w:rPr>
          <w:b/>
          <w:szCs w:val="24"/>
        </w:rPr>
        <w:tab/>
      </w:r>
      <w:r w:rsidRPr="00F14A4A">
        <w:rPr>
          <w:b/>
        </w:rPr>
        <w:t>Adoption of draft agenda</w:t>
      </w:r>
      <w:r w:rsidRPr="00F14A4A">
        <w:rPr>
          <w:rStyle w:val="FootnoteReference"/>
          <w:b/>
          <w:vertAlign w:val="superscript"/>
        </w:rPr>
        <w:footnoteReference w:id="1"/>
      </w:r>
      <w:r w:rsidRPr="00F14A4A">
        <w:rPr>
          <w:b/>
          <w:vertAlign w:val="superscript"/>
        </w:rPr>
        <w:t xml:space="preserve"> </w:t>
      </w:r>
      <w:r w:rsidRPr="00F14A4A">
        <w:tab/>
        <w:t>OJ – PE763.201</w:t>
      </w:r>
    </w:p>
    <w:p w:rsidR="00647586" w:rsidRPr="00F14A4A" w:rsidRDefault="00647586" w:rsidP="00647586">
      <w:pPr>
        <w:widowControl/>
        <w:tabs>
          <w:tab w:val="left" w:pos="-1417"/>
          <w:tab w:val="left" w:pos="-397"/>
          <w:tab w:val="left" w:pos="6804"/>
        </w:tabs>
        <w:jc w:val="both"/>
      </w:pPr>
      <w:r w:rsidRPr="00F14A4A">
        <w:tab/>
        <w:t>FdR1306630 </w:t>
      </w:r>
    </w:p>
    <w:p w:rsidR="00647586" w:rsidRPr="00F14A4A" w:rsidRDefault="00647586" w:rsidP="00647586">
      <w:r w:rsidRPr="00F14A4A">
        <w:t xml:space="preserve">The agenda was adopted as shown in the minutes. Discussion of </w:t>
      </w:r>
    </w:p>
    <w:p w:rsidR="00647586" w:rsidRPr="00F14A4A" w:rsidRDefault="00647586" w:rsidP="00647586">
      <w:r w:rsidRPr="00F14A4A">
        <w:t>Petition 0961/2024 (ITEM 6 of agenda) was canceled</w:t>
      </w:r>
    </w:p>
    <w:p w:rsidR="00647586" w:rsidRPr="00F14A4A" w:rsidRDefault="00647586" w:rsidP="00647586"/>
    <w:tbl>
      <w:tblPr>
        <w:tblW w:w="0" w:type="dxa"/>
        <w:tblLayout w:type="fixed"/>
        <w:tblCellMar>
          <w:left w:w="0" w:type="dxa"/>
          <w:right w:w="0" w:type="dxa"/>
        </w:tblCellMar>
        <w:tblLook w:val="04A0" w:firstRow="1" w:lastRow="0" w:firstColumn="1" w:lastColumn="0" w:noHBand="0" w:noVBand="1"/>
      </w:tblPr>
      <w:tblGrid>
        <w:gridCol w:w="426"/>
        <w:gridCol w:w="6378"/>
        <w:gridCol w:w="2268"/>
      </w:tblGrid>
      <w:tr w:rsidR="00647586" w:rsidRPr="00F14A4A" w:rsidTr="00647586">
        <w:trPr>
          <w:trHeight w:val="585"/>
        </w:trPr>
        <w:tc>
          <w:tcPr>
            <w:tcW w:w="426" w:type="dxa"/>
            <w:hideMark/>
          </w:tcPr>
          <w:p w:rsidR="00647586" w:rsidRPr="00F14A4A" w:rsidRDefault="00647586">
            <w:pPr>
              <w:widowControl/>
              <w:tabs>
                <w:tab w:val="left" w:pos="-1417"/>
                <w:tab w:val="left" w:pos="-397"/>
                <w:tab w:val="left" w:pos="360"/>
                <w:tab w:val="left" w:pos="601"/>
                <w:tab w:val="left" w:pos="839"/>
                <w:tab w:val="left" w:pos="7682"/>
              </w:tabs>
              <w:ind w:left="360" w:hanging="360"/>
              <w:jc w:val="both"/>
            </w:pPr>
            <w:r w:rsidRPr="00F14A4A">
              <w:rPr>
                <w:b/>
                <w:szCs w:val="24"/>
              </w:rPr>
              <w:t>2.</w:t>
            </w:r>
            <w:r w:rsidRPr="00F14A4A">
              <w:rPr>
                <w:b/>
                <w:szCs w:val="24"/>
              </w:rPr>
              <w:tab/>
            </w:r>
          </w:p>
        </w:tc>
        <w:tc>
          <w:tcPr>
            <w:tcW w:w="6378" w:type="dxa"/>
            <w:hideMark/>
          </w:tcPr>
          <w:p w:rsidR="00647586" w:rsidRPr="00F14A4A" w:rsidRDefault="00647586">
            <w:pPr>
              <w:widowControl/>
              <w:tabs>
                <w:tab w:val="left" w:pos="-1417"/>
                <w:tab w:val="left" w:pos="-397"/>
                <w:tab w:val="left" w:pos="601"/>
                <w:tab w:val="left" w:pos="839"/>
                <w:tab w:val="left" w:pos="7682"/>
              </w:tabs>
              <w:rPr>
                <w:b/>
              </w:rPr>
            </w:pPr>
            <w:r w:rsidRPr="00F14A4A">
              <w:rPr>
                <w:b/>
              </w:rPr>
              <w:t>Chair's announcements concerning Coordinators' decisions</w:t>
            </w:r>
          </w:p>
        </w:tc>
        <w:tc>
          <w:tcPr>
            <w:tcW w:w="2268" w:type="dxa"/>
            <w:hideMark/>
          </w:tcPr>
          <w:p w:rsidR="00647586" w:rsidRPr="00F14A4A" w:rsidRDefault="00647586">
            <w:pPr>
              <w:widowControl/>
              <w:tabs>
                <w:tab w:val="left" w:pos="-1417"/>
                <w:tab w:val="left" w:pos="-397"/>
                <w:tab w:val="left" w:pos="601"/>
                <w:tab w:val="left" w:pos="839"/>
                <w:tab w:val="left" w:pos="7682"/>
              </w:tabs>
              <w:jc w:val="both"/>
            </w:pPr>
            <w:r w:rsidRPr="00F14A4A">
              <w:t xml:space="preserve"> </w:t>
            </w:r>
          </w:p>
        </w:tc>
      </w:tr>
    </w:tbl>
    <w:p w:rsidR="00647586" w:rsidRPr="00F14A4A" w:rsidRDefault="00647586" w:rsidP="00647586">
      <w:pPr>
        <w:widowControl/>
        <w:tabs>
          <w:tab w:val="left" w:pos="-1417"/>
          <w:tab w:val="left" w:pos="-397"/>
          <w:tab w:val="left" w:pos="839"/>
          <w:tab w:val="left" w:pos="7682"/>
        </w:tabs>
        <w:jc w:val="both"/>
        <w:rPr>
          <w:sz w:val="16"/>
          <w:szCs w:val="16"/>
          <w:u w:val="single"/>
        </w:rPr>
      </w:pPr>
    </w:p>
    <w:p w:rsidR="00647586" w:rsidRPr="00F14A4A" w:rsidRDefault="00647586" w:rsidP="00647586">
      <w:pPr>
        <w:pStyle w:val="Heading1"/>
        <w:keepNext w:val="0"/>
        <w:widowControl w:val="0"/>
        <w:tabs>
          <w:tab w:val="clear" w:pos="0"/>
          <w:tab w:val="left" w:pos="567"/>
        </w:tabs>
        <w:autoSpaceDE w:val="0"/>
        <w:autoSpaceDN w:val="0"/>
        <w:adjustRightInd w:val="0"/>
        <w:spacing w:before="120" w:after="120"/>
        <w:ind w:left="567" w:hanging="567"/>
        <w:rPr>
          <w:szCs w:val="24"/>
        </w:rPr>
      </w:pPr>
      <w:bookmarkStart w:id="1" w:name="_Toc178085472"/>
      <w:r w:rsidRPr="00F14A4A">
        <w:rPr>
          <w:szCs w:val="24"/>
        </w:rPr>
        <w:t>1.</w:t>
      </w:r>
      <w:r w:rsidRPr="00F14A4A">
        <w:rPr>
          <w:szCs w:val="24"/>
        </w:rPr>
        <w:tab/>
        <w:t>Adoption of agenda</w:t>
      </w:r>
      <w:bookmarkEnd w:id="1"/>
    </w:p>
    <w:p w:rsidR="00647586" w:rsidRPr="00F14A4A" w:rsidRDefault="00647586" w:rsidP="00647586">
      <w:pPr>
        <w:rPr>
          <w:szCs w:val="24"/>
          <w:lang w:eastAsia="en-GB"/>
        </w:rPr>
      </w:pPr>
    </w:p>
    <w:p w:rsidR="00647586" w:rsidRPr="00F14A4A" w:rsidRDefault="00647586" w:rsidP="00647586">
      <w:pPr>
        <w:rPr>
          <w:szCs w:val="24"/>
          <w:lang w:eastAsia="en-GB"/>
        </w:rPr>
      </w:pPr>
      <w:r w:rsidRPr="00F14A4A">
        <w:rPr>
          <w:szCs w:val="24"/>
          <w:lang w:eastAsia="en-GB"/>
        </w:rPr>
        <w:t>The agenda was adopted.</w:t>
      </w:r>
    </w:p>
    <w:p w:rsidR="00647586" w:rsidRPr="00F14A4A" w:rsidRDefault="00647586" w:rsidP="00647586">
      <w:pPr>
        <w:pStyle w:val="Heading1"/>
        <w:keepNext w:val="0"/>
        <w:widowControl w:val="0"/>
        <w:tabs>
          <w:tab w:val="clear" w:pos="0"/>
          <w:tab w:val="left" w:pos="567"/>
        </w:tabs>
        <w:autoSpaceDE w:val="0"/>
        <w:autoSpaceDN w:val="0"/>
        <w:adjustRightInd w:val="0"/>
        <w:spacing w:before="120" w:after="120"/>
        <w:ind w:left="567" w:hanging="567"/>
        <w:rPr>
          <w:szCs w:val="24"/>
        </w:rPr>
      </w:pPr>
      <w:bookmarkStart w:id="2" w:name="_Toc178085473"/>
      <w:r w:rsidRPr="00F14A4A">
        <w:rPr>
          <w:szCs w:val="24"/>
        </w:rPr>
        <w:t>2.</w:t>
      </w:r>
      <w:r w:rsidRPr="00F14A4A">
        <w:rPr>
          <w:szCs w:val="24"/>
        </w:rPr>
        <w:tab/>
        <w:t>Chair’s announcements</w:t>
      </w:r>
      <w:bookmarkEnd w:id="2"/>
    </w:p>
    <w:p w:rsidR="00647586" w:rsidRPr="00F14A4A" w:rsidRDefault="00647586" w:rsidP="00647586">
      <w:pPr>
        <w:jc w:val="both"/>
        <w:rPr>
          <w:szCs w:val="24"/>
          <w:lang w:eastAsia="en-GB"/>
        </w:rPr>
      </w:pPr>
      <w:r w:rsidRPr="00F14A4A">
        <w:rPr>
          <w:szCs w:val="24"/>
          <w:lang w:eastAsia="en-GB"/>
        </w:rPr>
        <w:lastRenderedPageBreak/>
        <w:t xml:space="preserve">The Chair announced that he accepted the request by the Coordinator of the S&amp;D group to be replaced by S&amp;D MEP Hana Jalloul at this PETI Coordinators’ meeting.  </w:t>
      </w:r>
    </w:p>
    <w:p w:rsidR="00647586" w:rsidRPr="00F14A4A" w:rsidRDefault="00647586" w:rsidP="00647586">
      <w:pPr>
        <w:rPr>
          <w:szCs w:val="24"/>
          <w:lang w:eastAsia="en-GB"/>
        </w:rPr>
      </w:pPr>
    </w:p>
    <w:p w:rsidR="00647586" w:rsidRPr="00F14A4A" w:rsidRDefault="00647586" w:rsidP="00647586">
      <w:pPr>
        <w:pStyle w:val="Heading1"/>
        <w:keepNext w:val="0"/>
        <w:widowControl w:val="0"/>
        <w:tabs>
          <w:tab w:val="clear" w:pos="0"/>
          <w:tab w:val="left" w:pos="567"/>
        </w:tabs>
        <w:autoSpaceDE w:val="0"/>
        <w:autoSpaceDN w:val="0"/>
        <w:adjustRightInd w:val="0"/>
        <w:spacing w:before="120" w:after="120"/>
        <w:ind w:left="567" w:hanging="567"/>
        <w:rPr>
          <w:szCs w:val="24"/>
        </w:rPr>
      </w:pPr>
      <w:bookmarkStart w:id="3" w:name="_Toc34659585"/>
      <w:bookmarkStart w:id="4" w:name="_Toc178085474"/>
      <w:bookmarkStart w:id="5" w:name="_Toc495919467"/>
      <w:r w:rsidRPr="00F14A4A">
        <w:rPr>
          <w:szCs w:val="24"/>
        </w:rPr>
        <w:t>3.</w:t>
      </w:r>
      <w:r w:rsidRPr="00F14A4A">
        <w:rPr>
          <w:szCs w:val="24"/>
        </w:rPr>
        <w:tab/>
        <w:t xml:space="preserve">Adoption of the draft agenda of the PETI meeting </w:t>
      </w:r>
      <w:bookmarkEnd w:id="3"/>
      <w:r w:rsidRPr="00F14A4A">
        <w:rPr>
          <w:szCs w:val="24"/>
        </w:rPr>
        <w:t>of 6-7 November 2024</w:t>
      </w:r>
      <w:bookmarkEnd w:id="4"/>
    </w:p>
    <w:p w:rsidR="00647586" w:rsidRPr="00F14A4A" w:rsidRDefault="00647586" w:rsidP="00647586">
      <w:pPr>
        <w:jc w:val="both"/>
        <w:rPr>
          <w:szCs w:val="24"/>
          <w:lang w:eastAsia="en-GB"/>
        </w:rPr>
      </w:pPr>
      <w:r w:rsidRPr="00F14A4A">
        <w:rPr>
          <w:szCs w:val="24"/>
          <w:lang w:eastAsia="en-GB"/>
        </w:rPr>
        <w:t>Coordinators approved the draft agenda of the PETI Committee meeting of 6-7 November 2024.</w:t>
      </w:r>
    </w:p>
    <w:p w:rsidR="00647586" w:rsidRPr="00F14A4A" w:rsidRDefault="00647586" w:rsidP="00647586">
      <w:pPr>
        <w:jc w:val="both"/>
        <w:rPr>
          <w:szCs w:val="24"/>
          <w:lang w:eastAsia="en-GB"/>
        </w:rPr>
      </w:pPr>
      <w:r w:rsidRPr="00F14A4A">
        <w:rPr>
          <w:szCs w:val="24"/>
          <w:lang w:eastAsia="en-GB"/>
        </w:rPr>
        <w:t xml:space="preserve">Coordinators took note of the fact that, should the confirmation hearings of Commissioners-designate take place in week 45 (4-7 November 2024), the meetings facilities of ordinary committee meetings scheduled for that week will be limited as all resources (meeting rooms and interpretation) will be devoted to the Confirmation hearings and therefore the PETI Committee meeting on 6-7 November may need to be cancelled/postponed. </w:t>
      </w:r>
    </w:p>
    <w:p w:rsidR="00647586" w:rsidRPr="00F14A4A" w:rsidRDefault="00647586" w:rsidP="00647586">
      <w:pPr>
        <w:jc w:val="both"/>
        <w:rPr>
          <w:szCs w:val="24"/>
          <w:lang w:eastAsia="en-GB"/>
        </w:rPr>
      </w:pPr>
      <w:r w:rsidRPr="00F14A4A">
        <w:rPr>
          <w:szCs w:val="24"/>
          <w:lang w:eastAsia="en-GB"/>
        </w:rPr>
        <w:t> </w:t>
      </w:r>
    </w:p>
    <w:p w:rsidR="00647586" w:rsidRPr="00F14A4A" w:rsidRDefault="00647586" w:rsidP="00647586">
      <w:pPr>
        <w:pStyle w:val="Heading1"/>
        <w:keepNext w:val="0"/>
        <w:widowControl w:val="0"/>
        <w:tabs>
          <w:tab w:val="clear" w:pos="0"/>
          <w:tab w:val="left" w:pos="567"/>
        </w:tabs>
        <w:autoSpaceDE w:val="0"/>
        <w:autoSpaceDN w:val="0"/>
        <w:adjustRightInd w:val="0"/>
        <w:spacing w:before="120" w:after="120"/>
        <w:ind w:left="567" w:hanging="567"/>
        <w:rPr>
          <w:szCs w:val="24"/>
        </w:rPr>
      </w:pPr>
      <w:bookmarkStart w:id="6" w:name="_Toc178085475"/>
      <w:r w:rsidRPr="00F14A4A">
        <w:rPr>
          <w:szCs w:val="24"/>
        </w:rPr>
        <w:t>4.</w:t>
      </w:r>
      <w:r w:rsidRPr="00F14A4A">
        <w:rPr>
          <w:szCs w:val="24"/>
        </w:rPr>
        <w:tab/>
        <w:t>Proposals for future meetings</w:t>
      </w:r>
      <w:bookmarkEnd w:id="6"/>
    </w:p>
    <w:p w:rsidR="00647586" w:rsidRPr="00F14A4A" w:rsidRDefault="00647586" w:rsidP="00647586">
      <w:pPr>
        <w:jc w:val="both"/>
        <w:rPr>
          <w:szCs w:val="24"/>
          <w:lang w:eastAsia="en-GB"/>
        </w:rPr>
      </w:pPr>
      <w:r w:rsidRPr="00F14A4A">
        <w:rPr>
          <w:szCs w:val="24"/>
          <w:lang w:eastAsia="en-GB"/>
        </w:rPr>
        <w:t>Coordinators decided to apply the urgency procedure to and include in the agenda of the committee meeting of 6-7 November 2024 the following petitions: Petitions Nos 1029/2024, 0798/2024 (EPP requests) and 0819/2024 (PfE request).</w:t>
      </w:r>
    </w:p>
    <w:p w:rsidR="00647586" w:rsidRPr="00F14A4A" w:rsidRDefault="00647586" w:rsidP="00647586">
      <w:pPr>
        <w:jc w:val="both"/>
        <w:rPr>
          <w:szCs w:val="24"/>
          <w:lang w:eastAsia="en-GB"/>
        </w:rPr>
      </w:pPr>
      <w:r w:rsidRPr="00F14A4A">
        <w:rPr>
          <w:szCs w:val="24"/>
          <w:lang w:eastAsia="en-GB"/>
        </w:rPr>
        <w:t>Coordinators decided to include in the agenda of the committee meeting of 6-7 November 2024 the following petitions: Petitions Nos 1340/2020 (EPP request), 0529/2024 (S&amp;D request), 1324/2023 (PfE request), 0734/2024 (ECR request), 0043/2024, 0298/2022 and 0349/2022 (GREENS/EFA request).</w:t>
      </w:r>
    </w:p>
    <w:p w:rsidR="00647586" w:rsidRPr="00F14A4A" w:rsidRDefault="00647586" w:rsidP="00647586">
      <w:pPr>
        <w:jc w:val="both"/>
        <w:rPr>
          <w:szCs w:val="24"/>
          <w:lang w:eastAsia="en-GB"/>
        </w:rPr>
      </w:pPr>
      <w:r w:rsidRPr="00F14A4A">
        <w:rPr>
          <w:szCs w:val="24"/>
          <w:lang w:eastAsia="en-GB"/>
        </w:rPr>
        <w:t>Coordinators decided not to apply the urgency procedure to Petition No 0919/2024 and include it in the agenda of the committee meeting of 6-7 November 2024 (ECR request).</w:t>
      </w:r>
    </w:p>
    <w:p w:rsidR="00647586" w:rsidRPr="00F14A4A" w:rsidRDefault="00647586" w:rsidP="003C3547">
      <w:pPr>
        <w:jc w:val="both"/>
        <w:rPr>
          <w:szCs w:val="24"/>
          <w:lang w:eastAsia="en-GB"/>
        </w:rPr>
      </w:pPr>
      <w:r w:rsidRPr="00F14A4A">
        <w:rPr>
          <w:szCs w:val="24"/>
          <w:lang w:eastAsia="en-GB"/>
        </w:rPr>
        <w:t>Coordinators decided not to include Petitions No 0145/2024 (GREENS/EFA request) 0284/2023 (The Left request) in the agenda of the committee meeting of 6-7 November 2024.</w:t>
      </w:r>
    </w:p>
    <w:p w:rsidR="00647586" w:rsidRPr="00F14A4A" w:rsidRDefault="00647586" w:rsidP="00647586">
      <w:pPr>
        <w:pStyle w:val="Heading1"/>
        <w:keepNext w:val="0"/>
        <w:widowControl w:val="0"/>
        <w:tabs>
          <w:tab w:val="clear" w:pos="0"/>
          <w:tab w:val="left" w:pos="567"/>
        </w:tabs>
        <w:autoSpaceDE w:val="0"/>
        <w:autoSpaceDN w:val="0"/>
        <w:adjustRightInd w:val="0"/>
        <w:spacing w:before="100" w:beforeAutospacing="1" w:after="100" w:afterAutospacing="1"/>
        <w:ind w:left="567" w:hanging="567"/>
        <w:rPr>
          <w:rFonts w:eastAsia="Calibri"/>
          <w:szCs w:val="24"/>
        </w:rPr>
      </w:pPr>
      <w:bookmarkStart w:id="7" w:name="_Toc178085482"/>
      <w:bookmarkStart w:id="8" w:name="_Toc176257031"/>
      <w:bookmarkStart w:id="9" w:name="_Toc66892450"/>
      <w:r w:rsidRPr="00F14A4A">
        <w:rPr>
          <w:rFonts w:eastAsia="Calibri"/>
          <w:szCs w:val="24"/>
        </w:rPr>
        <w:t>5.</w:t>
      </w:r>
      <w:r w:rsidRPr="00F14A4A">
        <w:rPr>
          <w:rFonts w:eastAsia="Calibri"/>
          <w:szCs w:val="24"/>
        </w:rPr>
        <w:tab/>
        <w:t>Confirmation hearings of Commissioners-designate: written and oral questions</w:t>
      </w:r>
    </w:p>
    <w:p w:rsidR="00647586" w:rsidRPr="00F14A4A" w:rsidRDefault="00647586" w:rsidP="00647586">
      <w:pPr>
        <w:jc w:val="both"/>
        <w:rPr>
          <w:rFonts w:eastAsia="Calibri"/>
          <w:szCs w:val="24"/>
          <w:lang w:eastAsia="en-GB"/>
        </w:rPr>
      </w:pPr>
      <w:r w:rsidRPr="00F14A4A">
        <w:rPr>
          <w:rFonts w:eastAsia="Calibri"/>
          <w:szCs w:val="24"/>
          <w:lang w:eastAsia="en-GB"/>
        </w:rPr>
        <w:t>Coordinators endorsed the following written question, prepared at technical level, to be submitted on behalf of the PETI Committee to Commissioner-designate Maroš Šefčovič:</w:t>
      </w:r>
    </w:p>
    <w:p w:rsidR="00647586" w:rsidRPr="00F14A4A" w:rsidRDefault="00647586" w:rsidP="00647586">
      <w:pPr>
        <w:jc w:val="both"/>
        <w:rPr>
          <w:rFonts w:eastAsia="Calibri"/>
          <w:szCs w:val="24"/>
          <w:lang w:eastAsia="en-GB"/>
        </w:rPr>
      </w:pPr>
      <w:r w:rsidRPr="00F14A4A">
        <w:rPr>
          <w:rFonts w:eastAsia="Calibri"/>
          <w:szCs w:val="24"/>
          <w:lang w:eastAsia="en-GB"/>
        </w:rPr>
        <w:t>“Over the years, a significant number of petitions led to the opening of infringement proceedings and EU Pilot procedures. The way issues raised in petitions are treated has a decisive impact on citizens as regards their opinion on the effective respect for their rights arising from EU law, as well as on their trust in the EU Institutions. Transparency of the infringement procedures as well as communication to petitioners on the state of play of infringement procedures need to be improved for the benefit of the petition’s process. In addition, infringement procedures remain open for years often without any progress.</w:t>
      </w:r>
    </w:p>
    <w:p w:rsidR="00647586" w:rsidRPr="00F14A4A" w:rsidRDefault="00647586" w:rsidP="00647586">
      <w:pPr>
        <w:jc w:val="both"/>
        <w:rPr>
          <w:rFonts w:eastAsia="Calibri"/>
          <w:szCs w:val="24"/>
          <w:lang w:eastAsia="en-GB"/>
        </w:rPr>
      </w:pPr>
    </w:p>
    <w:p w:rsidR="00647586" w:rsidRPr="00F14A4A" w:rsidRDefault="00647586" w:rsidP="00647586">
      <w:pPr>
        <w:jc w:val="both"/>
        <w:rPr>
          <w:rFonts w:eastAsia="Calibri"/>
          <w:szCs w:val="24"/>
          <w:lang w:eastAsia="en-GB"/>
        </w:rPr>
      </w:pPr>
      <w:r w:rsidRPr="00F14A4A">
        <w:rPr>
          <w:rFonts w:eastAsia="Calibri"/>
          <w:szCs w:val="24"/>
          <w:lang w:eastAsia="en-GB"/>
        </w:rPr>
        <w:t>The PETI Committee has consistently acknowledged the Commission’s increased efforts to provide timely responses to requests for information made by the PETI Committee.</w:t>
      </w:r>
    </w:p>
    <w:p w:rsidR="00647586" w:rsidRPr="00F14A4A" w:rsidRDefault="00647586" w:rsidP="00647586">
      <w:pPr>
        <w:jc w:val="both"/>
        <w:rPr>
          <w:rFonts w:eastAsia="Calibri"/>
          <w:szCs w:val="24"/>
          <w:lang w:eastAsia="en-GB"/>
        </w:rPr>
      </w:pPr>
    </w:p>
    <w:p w:rsidR="00647586" w:rsidRPr="00F14A4A" w:rsidRDefault="00647586" w:rsidP="00647586">
      <w:pPr>
        <w:jc w:val="both"/>
        <w:rPr>
          <w:rFonts w:eastAsia="Calibri"/>
          <w:szCs w:val="24"/>
          <w:lang w:eastAsia="en-GB"/>
        </w:rPr>
      </w:pPr>
      <w:r w:rsidRPr="00F14A4A">
        <w:rPr>
          <w:rFonts w:eastAsia="Calibri"/>
          <w:szCs w:val="24"/>
          <w:lang w:eastAsia="en-GB"/>
        </w:rPr>
        <w:t xml:space="preserve">However, in the last term, PETI reiterated the need to receive regular updates on developments in infringement proceedings and EU Pilots, that either have been initiated on the basis of petitions or are linked to open petitions, as well as to make improvements on the overall action on the enforcement of the EU law. PETI Committee would appreciate more proactivity and automaticity in receiving summary information on the state of play of infringement procedures as part of the structured dialogue between PETI and the Commissioner responsible for petitions. </w:t>
      </w:r>
    </w:p>
    <w:p w:rsidR="00647586" w:rsidRPr="00F14A4A" w:rsidRDefault="00647586" w:rsidP="00647586">
      <w:pPr>
        <w:jc w:val="both"/>
        <w:rPr>
          <w:rFonts w:eastAsia="Calibri"/>
          <w:szCs w:val="24"/>
          <w:lang w:eastAsia="en-GB"/>
        </w:rPr>
      </w:pPr>
    </w:p>
    <w:p w:rsidR="00647586" w:rsidRPr="00F14A4A" w:rsidRDefault="00647586" w:rsidP="00647586">
      <w:pPr>
        <w:jc w:val="both"/>
        <w:rPr>
          <w:rFonts w:eastAsia="Calibri"/>
          <w:szCs w:val="24"/>
          <w:lang w:eastAsia="en-GB"/>
        </w:rPr>
      </w:pPr>
      <w:r w:rsidRPr="00F14A4A">
        <w:rPr>
          <w:rFonts w:eastAsia="Calibri"/>
          <w:szCs w:val="24"/>
          <w:lang w:eastAsia="en-GB"/>
        </w:rPr>
        <w:t xml:space="preserve">President Von der Leyen in her political Guidelines proposed to revise the 2010 Framework Agreement between the European Parliament and the European Commission. </w:t>
      </w:r>
    </w:p>
    <w:p w:rsidR="00647586" w:rsidRPr="00F14A4A" w:rsidRDefault="00647586" w:rsidP="00647586">
      <w:pPr>
        <w:jc w:val="both"/>
        <w:rPr>
          <w:rFonts w:eastAsia="Calibri"/>
          <w:szCs w:val="24"/>
          <w:lang w:eastAsia="en-GB"/>
        </w:rPr>
      </w:pPr>
    </w:p>
    <w:p w:rsidR="00647586" w:rsidRPr="00F14A4A" w:rsidRDefault="00647586" w:rsidP="00647586">
      <w:pPr>
        <w:jc w:val="both"/>
        <w:rPr>
          <w:rFonts w:eastAsia="Calibri"/>
          <w:i/>
          <w:szCs w:val="24"/>
          <w:lang w:eastAsia="en-GB"/>
        </w:rPr>
      </w:pPr>
      <w:r w:rsidRPr="00F14A4A">
        <w:rPr>
          <w:rFonts w:eastAsia="Calibri"/>
          <w:i/>
          <w:szCs w:val="24"/>
          <w:lang w:eastAsia="en-GB"/>
        </w:rPr>
        <w:t xml:space="preserve">With this in mind, what specific actions would you put in place to (i) ensure improved handling, better coordination and regular and timely information on the state of play of infringement proceedings and EU Pilots linked to petitions? (ii) accelerate the resolution of related long-standing open infringements cases, and what mechanisms will you put in place to ensure that citizens are not left waiting indefinitely for an outcome? (iii) implement a new inter-institutional IT tool between the Commission and the Parliament which would make easier the access for this latter to all relevant information linked to petitions? </w:t>
      </w:r>
    </w:p>
    <w:p w:rsidR="00647586" w:rsidRPr="00F14A4A" w:rsidRDefault="00647586" w:rsidP="00647586">
      <w:pPr>
        <w:jc w:val="both"/>
        <w:rPr>
          <w:rFonts w:eastAsia="Calibri"/>
          <w:i/>
          <w:szCs w:val="24"/>
          <w:lang w:eastAsia="en-GB"/>
        </w:rPr>
      </w:pPr>
      <w:r w:rsidRPr="00F14A4A">
        <w:rPr>
          <w:rFonts w:eastAsia="Calibri"/>
          <w:i/>
          <w:szCs w:val="24"/>
          <w:lang w:eastAsia="en-GB"/>
        </w:rPr>
        <w:t>Can the candidate commit to include these requirements for the Commission in the revision of the Framework Agreement?”</w:t>
      </w:r>
    </w:p>
    <w:p w:rsidR="00647586" w:rsidRPr="00F14A4A" w:rsidRDefault="00647586" w:rsidP="00647586">
      <w:pPr>
        <w:jc w:val="both"/>
        <w:rPr>
          <w:rFonts w:eastAsia="Calibri"/>
          <w:i/>
          <w:szCs w:val="24"/>
          <w:lang w:eastAsia="en-GB"/>
        </w:rPr>
      </w:pPr>
    </w:p>
    <w:p w:rsidR="00647586" w:rsidRPr="00F14A4A" w:rsidRDefault="00647586" w:rsidP="00647586">
      <w:pPr>
        <w:jc w:val="both"/>
        <w:rPr>
          <w:rFonts w:eastAsia="Calibri"/>
          <w:szCs w:val="24"/>
          <w:lang w:eastAsia="en-GB"/>
        </w:rPr>
      </w:pPr>
      <w:r w:rsidRPr="00F14A4A">
        <w:rPr>
          <w:rFonts w:eastAsia="Calibri"/>
          <w:szCs w:val="24"/>
          <w:lang w:eastAsia="en-GB"/>
        </w:rPr>
        <w:t>As regards the oral question to be addressed by the Chair on behalf of the PETI Committee at the confirmation hearing of Commissioner-designate Maroš Šefčovič, Coordinators decided to endorse the following question:</w:t>
      </w:r>
    </w:p>
    <w:p w:rsidR="00647586" w:rsidRPr="00F14A4A" w:rsidRDefault="00647586" w:rsidP="00647586">
      <w:pPr>
        <w:jc w:val="both"/>
        <w:rPr>
          <w:rFonts w:eastAsia="Calibri"/>
          <w:szCs w:val="24"/>
          <w:lang w:eastAsia="en-GB"/>
        </w:rPr>
      </w:pPr>
      <w:r w:rsidRPr="00F14A4A">
        <w:rPr>
          <w:rFonts w:eastAsia="Calibri"/>
          <w:szCs w:val="24"/>
          <w:lang w:eastAsia="en-GB"/>
        </w:rPr>
        <w:t xml:space="preserve">“ As indicated in your mission letter and in the frame of the ongoing revision of the Framework Agreement between the European Parliament and the European Commission, the political responsibility and accountability of the Commission vis-à-vis the PETI Committee should be further improved to allow Parliament to exercise its scrutiny powers and to strengthen our institutional dialogue. </w:t>
      </w:r>
    </w:p>
    <w:p w:rsidR="00647586" w:rsidRPr="00F14A4A" w:rsidRDefault="00647586" w:rsidP="00647586">
      <w:pPr>
        <w:jc w:val="both"/>
        <w:rPr>
          <w:rFonts w:eastAsia="Calibri"/>
          <w:szCs w:val="24"/>
          <w:lang w:eastAsia="en-GB"/>
        </w:rPr>
      </w:pPr>
    </w:p>
    <w:p w:rsidR="00647586" w:rsidRPr="00F14A4A" w:rsidRDefault="00647586" w:rsidP="00647586">
      <w:pPr>
        <w:jc w:val="both"/>
        <w:rPr>
          <w:rFonts w:eastAsia="Calibri"/>
          <w:szCs w:val="24"/>
          <w:lang w:eastAsia="en-GB"/>
        </w:rPr>
      </w:pPr>
      <w:r w:rsidRPr="00F14A4A">
        <w:rPr>
          <w:rFonts w:eastAsia="Calibri"/>
          <w:szCs w:val="24"/>
          <w:lang w:eastAsia="en-GB"/>
        </w:rPr>
        <w:t xml:space="preserve">Additionally, PETI requests that more senior-manager level and high-ranking Commission staff attending PETI meetings with authority to address petitioner’s concerns and answers Members questions in a more adequate manner. Their responses should be clear, simple and empathic, in order to convey better understanding. </w:t>
      </w:r>
    </w:p>
    <w:p w:rsidR="00647586" w:rsidRPr="00F14A4A" w:rsidRDefault="00647586" w:rsidP="00647586">
      <w:pPr>
        <w:jc w:val="both"/>
        <w:rPr>
          <w:rFonts w:eastAsia="Calibri"/>
          <w:szCs w:val="24"/>
          <w:lang w:eastAsia="en-GB"/>
        </w:rPr>
      </w:pPr>
    </w:p>
    <w:p w:rsidR="00647586" w:rsidRPr="00F14A4A" w:rsidRDefault="00647586" w:rsidP="00647586">
      <w:pPr>
        <w:jc w:val="both"/>
        <w:rPr>
          <w:rFonts w:eastAsia="Calibri"/>
          <w:i/>
          <w:szCs w:val="24"/>
          <w:lang w:eastAsia="en-GB"/>
        </w:rPr>
      </w:pPr>
      <w:r w:rsidRPr="00F14A4A">
        <w:rPr>
          <w:rFonts w:eastAsia="Calibri"/>
          <w:i/>
          <w:szCs w:val="24"/>
          <w:lang w:eastAsia="en-GB"/>
        </w:rPr>
        <w:t>How do you plan to involve the relevant Commissioners responsible for topics related to petitions and ensure the Commission’s participation at the appropriate level in PETI meetings, to address and help resolve the concerns expressed by petitioners?”</w:t>
      </w:r>
    </w:p>
    <w:p w:rsidR="00647586" w:rsidRPr="00F14A4A" w:rsidRDefault="00647586" w:rsidP="00647586">
      <w:pPr>
        <w:pStyle w:val="Heading1"/>
        <w:keepNext w:val="0"/>
        <w:widowControl w:val="0"/>
        <w:tabs>
          <w:tab w:val="clear" w:pos="0"/>
          <w:tab w:val="left" w:pos="567"/>
        </w:tabs>
        <w:autoSpaceDE w:val="0"/>
        <w:autoSpaceDN w:val="0"/>
        <w:adjustRightInd w:val="0"/>
        <w:spacing w:before="100" w:beforeAutospacing="1" w:after="100" w:afterAutospacing="1"/>
        <w:ind w:left="567" w:hanging="567"/>
        <w:rPr>
          <w:szCs w:val="24"/>
        </w:rPr>
      </w:pPr>
      <w:r w:rsidRPr="00F14A4A">
        <w:rPr>
          <w:szCs w:val="24"/>
        </w:rPr>
        <w:t>6.</w:t>
      </w:r>
      <w:r w:rsidRPr="00F14A4A">
        <w:rPr>
          <w:szCs w:val="24"/>
        </w:rPr>
        <w:tab/>
      </w:r>
      <w:r w:rsidRPr="00F14A4A">
        <w:rPr>
          <w:rFonts w:eastAsia="Calibri"/>
          <w:szCs w:val="24"/>
        </w:rPr>
        <w:t>Request to g</w:t>
      </w:r>
      <w:r w:rsidRPr="00F14A4A">
        <w:rPr>
          <w:szCs w:val="24"/>
        </w:rPr>
        <w:t>ive a mandate to PETI Chair, for the upcoming CCC Meeting, to request the participation of PETI, as invited Committee, in the Hearing of Commissioner-designate, Valdis Dombrovskis (in addition to Commissioner Sefcovic) in light of this latter assigned portfolio, notably its competences on Implementation as detailed in its related Mission letter (Greens/EFA Group Request)</w:t>
      </w:r>
    </w:p>
    <w:p w:rsidR="00647586" w:rsidRPr="00F14A4A" w:rsidRDefault="00647586" w:rsidP="00647586">
      <w:pPr>
        <w:jc w:val="both"/>
        <w:rPr>
          <w:szCs w:val="24"/>
          <w:lang w:eastAsia="en-GB"/>
        </w:rPr>
      </w:pPr>
      <w:r w:rsidRPr="00F14A4A">
        <w:rPr>
          <w:szCs w:val="24"/>
          <w:lang w:eastAsia="en-GB"/>
        </w:rPr>
        <w:t xml:space="preserve">Coordinators decided not to mandate PETI Chair to request to the CCC the participation of PETI as invited committee in the confirmation hearing of Commissioner-designate Valdis Dombrovskis. </w:t>
      </w:r>
    </w:p>
    <w:p w:rsidR="00647586" w:rsidRPr="00F14A4A" w:rsidRDefault="00647586" w:rsidP="00647586">
      <w:pPr>
        <w:rPr>
          <w:szCs w:val="24"/>
          <w:u w:val="single"/>
          <w:lang w:eastAsia="en-GB"/>
        </w:rPr>
      </w:pPr>
    </w:p>
    <w:p w:rsidR="00647586" w:rsidRPr="00F14A4A" w:rsidRDefault="00647586" w:rsidP="00647586">
      <w:pPr>
        <w:pStyle w:val="Heading1"/>
        <w:keepNext w:val="0"/>
        <w:widowControl w:val="0"/>
        <w:tabs>
          <w:tab w:val="clear" w:pos="0"/>
        </w:tabs>
        <w:autoSpaceDE w:val="0"/>
        <w:autoSpaceDN w:val="0"/>
        <w:adjustRightInd w:val="0"/>
        <w:spacing w:before="120" w:after="120"/>
        <w:ind w:left="426" w:hanging="426"/>
        <w:rPr>
          <w:szCs w:val="24"/>
        </w:rPr>
      </w:pPr>
      <w:r w:rsidRPr="00F14A4A">
        <w:rPr>
          <w:szCs w:val="24"/>
        </w:rPr>
        <w:t>7.</w:t>
      </w:r>
      <w:r w:rsidRPr="00F14A4A">
        <w:rPr>
          <w:szCs w:val="24"/>
        </w:rPr>
        <w:tab/>
      </w:r>
      <w:r w:rsidRPr="00F14A4A">
        <w:rPr>
          <w:rFonts w:eastAsia="Calibri"/>
          <w:szCs w:val="24"/>
        </w:rPr>
        <w:t>Request to a</w:t>
      </w:r>
      <w:r w:rsidRPr="00F14A4A">
        <w:rPr>
          <w:szCs w:val="24"/>
        </w:rPr>
        <w:t>llow MEP Cristina GUARDA to attend remotely the November 2024 PETI Committee Meeting (Request by the GREENS/EFA Group)</w:t>
      </w:r>
    </w:p>
    <w:p w:rsidR="00647586" w:rsidRPr="00F14A4A" w:rsidRDefault="00647586" w:rsidP="00647586">
      <w:pPr>
        <w:rPr>
          <w:szCs w:val="24"/>
          <w:lang w:eastAsia="en-GB"/>
        </w:rPr>
      </w:pPr>
      <w:r w:rsidRPr="00F14A4A">
        <w:rPr>
          <w:szCs w:val="24"/>
          <w:lang w:eastAsia="en-GB"/>
        </w:rPr>
        <w:t xml:space="preserve">Coordinators decided to authorise MEP Cristina GUARDA to attend remotely the November 2024 PETI Committee Meeting (Application of Rule 222 RoP). </w:t>
      </w:r>
    </w:p>
    <w:p w:rsidR="00647586" w:rsidRPr="00F14A4A" w:rsidRDefault="00647586" w:rsidP="00647586">
      <w:pPr>
        <w:pStyle w:val="Heading1"/>
        <w:keepNext w:val="0"/>
        <w:widowControl w:val="0"/>
        <w:tabs>
          <w:tab w:val="clear" w:pos="0"/>
          <w:tab w:val="left" w:pos="567"/>
        </w:tabs>
        <w:autoSpaceDE w:val="0"/>
        <w:autoSpaceDN w:val="0"/>
        <w:adjustRightInd w:val="0"/>
        <w:spacing w:before="100" w:beforeAutospacing="1" w:after="100" w:afterAutospacing="1"/>
        <w:ind w:left="567" w:hanging="567"/>
        <w:rPr>
          <w:rFonts w:eastAsia="Calibri"/>
          <w:szCs w:val="24"/>
        </w:rPr>
      </w:pPr>
      <w:r w:rsidRPr="00F14A4A">
        <w:rPr>
          <w:rFonts w:eastAsia="Calibri"/>
          <w:szCs w:val="24"/>
        </w:rPr>
        <w:t>8.</w:t>
      </w:r>
      <w:r w:rsidRPr="00F14A4A">
        <w:rPr>
          <w:rFonts w:eastAsia="Calibri"/>
          <w:szCs w:val="24"/>
        </w:rPr>
        <w:tab/>
      </w:r>
      <w:r w:rsidRPr="00F14A4A">
        <w:rPr>
          <w:szCs w:val="24"/>
        </w:rPr>
        <w:t xml:space="preserve">Request </w:t>
      </w:r>
      <w:r w:rsidRPr="00F14A4A">
        <w:rPr>
          <w:rFonts w:eastAsia="Calibri"/>
          <w:szCs w:val="24"/>
        </w:rPr>
        <w:t>to send a letter to the Catalan Government following the recommendations issued by the PETI Committee after the FFV to Barcelona (2023) (Request by the Patriots for Europe group)</w:t>
      </w:r>
      <w:bookmarkEnd w:id="7"/>
    </w:p>
    <w:p w:rsidR="00647586" w:rsidRPr="00F14A4A" w:rsidRDefault="00647586" w:rsidP="00647586">
      <w:pPr>
        <w:spacing w:before="100" w:beforeAutospacing="1" w:after="100" w:afterAutospacing="1"/>
        <w:jc w:val="both"/>
        <w:rPr>
          <w:rFonts w:eastAsia="Calibri"/>
          <w:szCs w:val="24"/>
          <w:lang w:eastAsia="en-GB"/>
        </w:rPr>
      </w:pPr>
      <w:r w:rsidRPr="00F14A4A">
        <w:rPr>
          <w:rFonts w:eastAsia="Calibri"/>
          <w:szCs w:val="24"/>
          <w:lang w:eastAsia="en-GB"/>
        </w:rPr>
        <w:t>Coordinators agreed to the request</w:t>
      </w:r>
      <w:r w:rsidRPr="00F14A4A">
        <w:rPr>
          <w:szCs w:val="24"/>
        </w:rPr>
        <w:t xml:space="preserve"> </w:t>
      </w:r>
      <w:r w:rsidRPr="00F14A4A">
        <w:rPr>
          <w:rFonts w:eastAsia="Calibri"/>
          <w:szCs w:val="24"/>
          <w:lang w:eastAsia="en-GB"/>
        </w:rPr>
        <w:t xml:space="preserve">by the Patriots for Europe group to send a letter to the Councillor of Education and to the new President of the Catalan region, as a follow-up to the fact-finding visit to Barcelona in December 2023 and the recommendations made by the PETI Committee. </w:t>
      </w:r>
    </w:p>
    <w:p w:rsidR="00647586" w:rsidRPr="00F14A4A" w:rsidRDefault="00647586" w:rsidP="00647586">
      <w:pPr>
        <w:spacing w:before="100" w:beforeAutospacing="1" w:after="100" w:afterAutospacing="1"/>
        <w:jc w:val="both"/>
        <w:rPr>
          <w:rFonts w:eastAsia="Calibri"/>
          <w:szCs w:val="24"/>
          <w:lang w:eastAsia="en-GB"/>
        </w:rPr>
      </w:pPr>
      <w:r w:rsidRPr="00F14A4A">
        <w:rPr>
          <w:rFonts w:eastAsia="Calibri"/>
          <w:szCs w:val="24"/>
          <w:lang w:eastAsia="en-GB"/>
        </w:rPr>
        <w:t xml:space="preserve">In addition, Coordinators decided to send the fact-finding visit report to the Council of Europe. </w:t>
      </w:r>
    </w:p>
    <w:p w:rsidR="00647586" w:rsidRPr="00F14A4A" w:rsidRDefault="00647586" w:rsidP="00647586">
      <w:pPr>
        <w:pStyle w:val="Heading1"/>
        <w:keepNext w:val="0"/>
        <w:widowControl w:val="0"/>
        <w:tabs>
          <w:tab w:val="clear" w:pos="0"/>
          <w:tab w:val="left" w:pos="567"/>
        </w:tabs>
        <w:autoSpaceDE w:val="0"/>
        <w:autoSpaceDN w:val="0"/>
        <w:adjustRightInd w:val="0"/>
        <w:spacing w:before="100" w:beforeAutospacing="1" w:after="100" w:afterAutospacing="1" w:line="252" w:lineRule="auto"/>
        <w:ind w:left="567" w:hanging="567"/>
        <w:rPr>
          <w:szCs w:val="24"/>
        </w:rPr>
      </w:pPr>
      <w:bookmarkStart w:id="10" w:name="_Toc178085483"/>
      <w:r w:rsidRPr="00F14A4A">
        <w:rPr>
          <w:szCs w:val="24"/>
        </w:rPr>
        <w:t>9.</w:t>
      </w:r>
      <w:r w:rsidRPr="00F14A4A">
        <w:rPr>
          <w:szCs w:val="24"/>
        </w:rPr>
        <w:tab/>
        <w:t>Inter-parliamentary Committee Meeting (ICM) on "Strengthening cooperation for a timely and correct enforcement of EU law benefitting EU citizens" (6 November 2024 15:00-18:30)</w:t>
      </w:r>
      <w:bookmarkEnd w:id="8"/>
      <w:bookmarkEnd w:id="10"/>
    </w:p>
    <w:p w:rsidR="00647586" w:rsidRPr="00F14A4A" w:rsidRDefault="00647586" w:rsidP="00647586">
      <w:pPr>
        <w:spacing w:before="100" w:beforeAutospacing="1" w:after="100" w:afterAutospacing="1"/>
        <w:jc w:val="both"/>
        <w:rPr>
          <w:rFonts w:eastAsia="Calibri"/>
          <w:szCs w:val="24"/>
          <w:lang w:eastAsia="en-GB"/>
        </w:rPr>
      </w:pPr>
      <w:r w:rsidRPr="00F14A4A">
        <w:rPr>
          <w:rFonts w:eastAsia="Calibri"/>
          <w:szCs w:val="24"/>
          <w:lang w:eastAsia="en-GB"/>
        </w:rPr>
        <w:t xml:space="preserve">Coordinators endorsed the proposed draft agenda for the Inter-parliamentary Committee Meeting on "Strengthening cooperation for a timely and correct enforcement of EU law benefitting EU citizens", scheduled for the PETI meeting of 6 November 2024. </w:t>
      </w:r>
    </w:p>
    <w:p w:rsidR="00647586" w:rsidRPr="00F14A4A" w:rsidRDefault="00647586" w:rsidP="00647586">
      <w:pPr>
        <w:spacing w:before="100" w:beforeAutospacing="1" w:after="100" w:afterAutospacing="1"/>
        <w:jc w:val="both"/>
        <w:rPr>
          <w:rFonts w:eastAsia="Calibri"/>
          <w:szCs w:val="24"/>
          <w:lang w:eastAsia="en-GB"/>
        </w:rPr>
      </w:pPr>
      <w:r w:rsidRPr="00F14A4A">
        <w:rPr>
          <w:rFonts w:eastAsia="Calibri"/>
          <w:szCs w:val="24"/>
          <w:lang w:eastAsia="en-GB"/>
        </w:rPr>
        <w:t xml:space="preserve">Coordinators took note of the fact that, should the confirmation hearings of Commissioners-designate take place the first week of November, the ICM may be postponed to the first half of 2025. </w:t>
      </w:r>
    </w:p>
    <w:p w:rsidR="00647586" w:rsidRPr="00F14A4A" w:rsidRDefault="00647586" w:rsidP="00647586">
      <w:pPr>
        <w:pStyle w:val="Heading1"/>
        <w:keepNext w:val="0"/>
        <w:widowControl w:val="0"/>
        <w:tabs>
          <w:tab w:val="clear" w:pos="0"/>
          <w:tab w:val="left" w:pos="567"/>
        </w:tabs>
        <w:autoSpaceDE w:val="0"/>
        <w:autoSpaceDN w:val="0"/>
        <w:adjustRightInd w:val="0"/>
        <w:spacing w:before="120" w:after="120"/>
        <w:ind w:left="567" w:hanging="567"/>
        <w:rPr>
          <w:szCs w:val="24"/>
        </w:rPr>
      </w:pPr>
      <w:bookmarkStart w:id="11" w:name="_Toc178085484"/>
      <w:r w:rsidRPr="00F14A4A">
        <w:rPr>
          <w:szCs w:val="24"/>
        </w:rPr>
        <w:t>10.</w:t>
      </w:r>
      <w:r w:rsidRPr="00F14A4A">
        <w:rPr>
          <w:szCs w:val="24"/>
        </w:rPr>
        <w:tab/>
        <w:t>Appointment of Members for the structures implementing of UN Convention on the Rights of Persons with Disabilities (CRPD)</w:t>
      </w:r>
      <w:bookmarkEnd w:id="11"/>
      <w:r w:rsidRPr="00F14A4A">
        <w:rPr>
          <w:szCs w:val="24"/>
        </w:rPr>
        <w:t xml:space="preserve"> </w:t>
      </w:r>
    </w:p>
    <w:p w:rsidR="00647586" w:rsidRPr="00F14A4A" w:rsidRDefault="00647586" w:rsidP="00647586">
      <w:pPr>
        <w:jc w:val="both"/>
        <w:rPr>
          <w:szCs w:val="24"/>
          <w:lang w:eastAsia="en-GB"/>
        </w:rPr>
      </w:pPr>
      <w:r w:rsidRPr="00F14A4A">
        <w:rPr>
          <w:szCs w:val="24"/>
          <w:lang w:eastAsia="en-GB"/>
        </w:rPr>
        <w:t>Coordinators appointed Rosa Estaràs Ferragut (EPP) and Alex Agius Saliba (S&amp;D) as Member and substitute Member representing PETI in  the EU Framework for the UN Convention on the Rights of Persons with Disabilities and EP CRPD Network.</w:t>
      </w:r>
    </w:p>
    <w:p w:rsidR="00647586" w:rsidRPr="00F14A4A" w:rsidRDefault="00647586" w:rsidP="00647586">
      <w:pPr>
        <w:jc w:val="both"/>
        <w:rPr>
          <w:szCs w:val="24"/>
          <w:lang w:eastAsia="en-GB"/>
        </w:rPr>
      </w:pPr>
    </w:p>
    <w:p w:rsidR="00647586" w:rsidRPr="00F14A4A" w:rsidRDefault="00647586" w:rsidP="00647586">
      <w:pPr>
        <w:pStyle w:val="Heading1"/>
        <w:keepNext w:val="0"/>
        <w:widowControl w:val="0"/>
        <w:tabs>
          <w:tab w:val="clear" w:pos="0"/>
          <w:tab w:val="left" w:pos="567"/>
        </w:tabs>
        <w:autoSpaceDE w:val="0"/>
        <w:autoSpaceDN w:val="0"/>
        <w:adjustRightInd w:val="0"/>
        <w:spacing w:before="120" w:after="120"/>
        <w:ind w:left="567" w:hanging="567"/>
        <w:rPr>
          <w:szCs w:val="24"/>
        </w:rPr>
      </w:pPr>
      <w:bookmarkStart w:id="12" w:name="_Toc178085485"/>
      <w:bookmarkStart w:id="13" w:name="_Toc85707167"/>
      <w:bookmarkEnd w:id="9"/>
      <w:r w:rsidRPr="00F14A4A">
        <w:rPr>
          <w:szCs w:val="24"/>
        </w:rPr>
        <w:t>11.</w:t>
      </w:r>
      <w:r w:rsidRPr="00F14A4A">
        <w:rPr>
          <w:szCs w:val="24"/>
        </w:rPr>
        <w:tab/>
        <w:t>Appointment of Members for the Gender Mainstreaming Network</w:t>
      </w:r>
      <w:bookmarkEnd w:id="12"/>
    </w:p>
    <w:p w:rsidR="00647586" w:rsidRPr="00F14A4A" w:rsidRDefault="00647586" w:rsidP="00647586">
      <w:pPr>
        <w:autoSpaceDE w:val="0"/>
        <w:autoSpaceDN w:val="0"/>
        <w:adjustRightInd w:val="0"/>
        <w:jc w:val="both"/>
        <w:rPr>
          <w:szCs w:val="24"/>
          <w:lang w:eastAsia="en-GB"/>
        </w:rPr>
      </w:pPr>
      <w:r w:rsidRPr="00F14A4A">
        <w:rPr>
          <w:szCs w:val="24"/>
          <w:lang w:eastAsia="en-GB"/>
        </w:rPr>
        <w:t xml:space="preserve">Coordinators decided to postpone to the next meeting the decision on the appointment of a PETI Member and substitute Member in the Gender Mainstreaming Network. </w:t>
      </w:r>
    </w:p>
    <w:p w:rsidR="00647586" w:rsidRPr="00F14A4A" w:rsidRDefault="00647586" w:rsidP="00647586">
      <w:pPr>
        <w:rPr>
          <w:b/>
          <w:szCs w:val="24"/>
        </w:rPr>
      </w:pPr>
    </w:p>
    <w:p w:rsidR="00647586" w:rsidRPr="00F14A4A" w:rsidRDefault="00647586" w:rsidP="00647586">
      <w:pPr>
        <w:pStyle w:val="Heading1"/>
        <w:keepNext w:val="0"/>
        <w:widowControl w:val="0"/>
        <w:tabs>
          <w:tab w:val="clear" w:pos="0"/>
          <w:tab w:val="left" w:pos="567"/>
        </w:tabs>
        <w:autoSpaceDE w:val="0"/>
        <w:autoSpaceDN w:val="0"/>
        <w:adjustRightInd w:val="0"/>
        <w:spacing w:before="120" w:after="120"/>
        <w:ind w:left="567" w:hanging="567"/>
        <w:rPr>
          <w:szCs w:val="24"/>
        </w:rPr>
      </w:pPr>
      <w:bookmarkStart w:id="14" w:name="_Toc178085487"/>
      <w:r w:rsidRPr="00F14A4A">
        <w:rPr>
          <w:szCs w:val="24"/>
        </w:rPr>
        <w:t>12.</w:t>
      </w:r>
      <w:r w:rsidRPr="00F14A4A">
        <w:rPr>
          <w:szCs w:val="24"/>
        </w:rPr>
        <w:tab/>
        <w:t>“Parliament 2024” reform: New Rules on Public Hearings</w:t>
      </w:r>
      <w:bookmarkEnd w:id="14"/>
      <w:r w:rsidRPr="00F14A4A">
        <w:rPr>
          <w:szCs w:val="24"/>
        </w:rPr>
        <w:t xml:space="preserve">  </w:t>
      </w:r>
    </w:p>
    <w:p w:rsidR="00647586" w:rsidRPr="00F14A4A" w:rsidRDefault="00647586" w:rsidP="00647586">
      <w:pPr>
        <w:jc w:val="both"/>
        <w:rPr>
          <w:szCs w:val="24"/>
          <w:lang w:eastAsia="en-GB"/>
        </w:rPr>
      </w:pPr>
      <w:r w:rsidRPr="00F14A4A">
        <w:rPr>
          <w:szCs w:val="24"/>
          <w:lang w:eastAsia="en-GB"/>
        </w:rPr>
        <w:t xml:space="preserve">Coordinators took note of the new Bureau Decision on Rules on Public Hearings, which entered into force on 16 July 2024. </w:t>
      </w:r>
    </w:p>
    <w:p w:rsidR="00647586" w:rsidRPr="00F14A4A" w:rsidRDefault="00647586" w:rsidP="00647586">
      <w:pPr>
        <w:jc w:val="both"/>
        <w:rPr>
          <w:szCs w:val="24"/>
          <w:lang w:eastAsia="en-GB"/>
        </w:rPr>
      </w:pPr>
    </w:p>
    <w:p w:rsidR="00647586" w:rsidRPr="00F14A4A" w:rsidRDefault="00647586" w:rsidP="00647586">
      <w:pPr>
        <w:pStyle w:val="Heading1"/>
        <w:keepNext w:val="0"/>
        <w:widowControl w:val="0"/>
        <w:tabs>
          <w:tab w:val="clear" w:pos="0"/>
        </w:tabs>
        <w:autoSpaceDE w:val="0"/>
        <w:autoSpaceDN w:val="0"/>
        <w:adjustRightInd w:val="0"/>
        <w:spacing w:before="120" w:after="120"/>
        <w:ind w:left="426" w:hanging="426"/>
        <w:jc w:val="left"/>
        <w:rPr>
          <w:szCs w:val="24"/>
        </w:rPr>
      </w:pPr>
      <w:bookmarkStart w:id="15" w:name="_Toc178085488"/>
      <w:r w:rsidRPr="00F14A4A">
        <w:rPr>
          <w:szCs w:val="24"/>
        </w:rPr>
        <w:t>13.</w:t>
      </w:r>
      <w:r w:rsidRPr="00F14A4A">
        <w:rPr>
          <w:szCs w:val="24"/>
        </w:rPr>
        <w:tab/>
        <w:t>Clarifications on the procedure to request PETI fact-finding visits</w:t>
      </w:r>
      <w:bookmarkEnd w:id="15"/>
    </w:p>
    <w:p w:rsidR="00647586" w:rsidRPr="00F14A4A" w:rsidRDefault="00647586" w:rsidP="00647586">
      <w:pPr>
        <w:jc w:val="both"/>
        <w:rPr>
          <w:szCs w:val="24"/>
          <w:lang w:eastAsia="en-GB"/>
        </w:rPr>
      </w:pPr>
      <w:r w:rsidRPr="00F14A4A">
        <w:rPr>
          <w:szCs w:val="24"/>
          <w:lang w:eastAsia="en-GB"/>
        </w:rPr>
        <w:t xml:space="preserve">Coordinators took note that, until the new implementing rules on missions within and outside the EU are adopted by the Conference of Presidents, requests for PETI fact-finding visits should be submitted in line with the Bureau Decision on committee missions outside the three places of work of the EP. </w:t>
      </w:r>
    </w:p>
    <w:p w:rsidR="00647586" w:rsidRPr="00F14A4A" w:rsidRDefault="00647586" w:rsidP="00647586">
      <w:pPr>
        <w:jc w:val="both"/>
        <w:rPr>
          <w:szCs w:val="24"/>
          <w:lang w:eastAsia="en-GB"/>
        </w:rPr>
      </w:pPr>
      <w:r w:rsidRPr="00F14A4A">
        <w:rPr>
          <w:szCs w:val="24"/>
          <w:lang w:eastAsia="en-GB"/>
        </w:rPr>
        <w:t>Coordinators decided to do a planning on public hearings and fact-finding visits for the first half of 2025 with a maximum of two hearings and two fact-finding visits per semester. Coordinators decided that the political groups’ proposals for hearings and fact-finding visits will be collected by the Secretariat and discussed at the next Coordinators’ meeting.</w:t>
      </w:r>
    </w:p>
    <w:p w:rsidR="00647586" w:rsidRPr="00F14A4A" w:rsidRDefault="00647586" w:rsidP="00647586">
      <w:pPr>
        <w:jc w:val="both"/>
        <w:rPr>
          <w:szCs w:val="24"/>
          <w:lang w:eastAsia="en-GB"/>
        </w:rPr>
      </w:pPr>
    </w:p>
    <w:p w:rsidR="00647586" w:rsidRPr="00F14A4A" w:rsidRDefault="00647586" w:rsidP="00647586">
      <w:pPr>
        <w:pStyle w:val="Heading1"/>
        <w:keepNext w:val="0"/>
        <w:widowControl w:val="0"/>
        <w:tabs>
          <w:tab w:val="clear" w:pos="0"/>
          <w:tab w:val="left" w:pos="567"/>
        </w:tabs>
        <w:autoSpaceDE w:val="0"/>
        <w:autoSpaceDN w:val="0"/>
        <w:adjustRightInd w:val="0"/>
        <w:spacing w:before="120" w:after="120"/>
        <w:ind w:left="567" w:hanging="567"/>
        <w:rPr>
          <w:szCs w:val="24"/>
        </w:rPr>
      </w:pPr>
      <w:bookmarkStart w:id="16" w:name="_Toc178085486"/>
      <w:r w:rsidRPr="00F14A4A">
        <w:rPr>
          <w:szCs w:val="24"/>
        </w:rPr>
        <w:t>14.</w:t>
      </w:r>
      <w:r w:rsidRPr="00F14A4A">
        <w:rPr>
          <w:szCs w:val="24"/>
        </w:rPr>
        <w:tab/>
        <w:t>Requests concerning B-items</w:t>
      </w:r>
      <w:bookmarkEnd w:id="13"/>
      <w:bookmarkEnd w:id="16"/>
      <w:r w:rsidRPr="00F14A4A">
        <w:rPr>
          <w:szCs w:val="24"/>
        </w:rPr>
        <w:t xml:space="preserve"> </w:t>
      </w:r>
    </w:p>
    <w:p w:rsidR="00647586" w:rsidRPr="00F14A4A" w:rsidRDefault="00647586" w:rsidP="00647586">
      <w:pPr>
        <w:jc w:val="both"/>
        <w:rPr>
          <w:szCs w:val="24"/>
          <w:lang w:eastAsia="en-GB"/>
        </w:rPr>
      </w:pPr>
      <w:r w:rsidRPr="00F14A4A">
        <w:rPr>
          <w:szCs w:val="24"/>
          <w:lang w:eastAsia="en-GB"/>
        </w:rPr>
        <w:t xml:space="preserve">Coordinators decided to deal with the requests concerning B-items for which a new specific action was requested  by written procedure. </w:t>
      </w:r>
    </w:p>
    <w:p w:rsidR="00647586" w:rsidRPr="00F14A4A" w:rsidRDefault="00647586" w:rsidP="00647586">
      <w:pPr>
        <w:jc w:val="both"/>
        <w:rPr>
          <w:szCs w:val="24"/>
          <w:lang w:eastAsia="en-GB"/>
        </w:rPr>
      </w:pPr>
    </w:p>
    <w:p w:rsidR="00647586" w:rsidRPr="00F14A4A" w:rsidRDefault="00647586" w:rsidP="00647586">
      <w:pPr>
        <w:jc w:val="both"/>
        <w:rPr>
          <w:szCs w:val="24"/>
          <w:lang w:eastAsia="en-GB"/>
        </w:rPr>
      </w:pPr>
      <w:r w:rsidRPr="00F14A4A">
        <w:rPr>
          <w:szCs w:val="24"/>
          <w:lang w:eastAsia="en-GB"/>
        </w:rPr>
        <w:t>Coordinators took note of the B items from 4 September agenda requested to be kept open for which the petitioner has a two month-time to provide additional information to provide additional information: 0272/2015, 0665/2017, 0198/2018, 0244/2019, 1174/2017, 0273/2018</w:t>
      </w:r>
    </w:p>
    <w:p w:rsidR="00647586" w:rsidRPr="00F14A4A" w:rsidRDefault="00647586" w:rsidP="00647586">
      <w:pPr>
        <w:jc w:val="both"/>
        <w:rPr>
          <w:szCs w:val="24"/>
          <w:lang w:eastAsia="en-GB"/>
        </w:rPr>
      </w:pPr>
      <w:r w:rsidRPr="00F14A4A">
        <w:rPr>
          <w:szCs w:val="24"/>
          <w:lang w:eastAsia="en-GB"/>
        </w:rPr>
        <w:t>1140/2019, 0488/2022, 0594/2022, 0598/2023, 0667/2023, 0725/2023, 0924/2023, 1222/2023</w:t>
      </w:r>
    </w:p>
    <w:p w:rsidR="00647586" w:rsidRPr="00F14A4A" w:rsidRDefault="00647586" w:rsidP="00647586">
      <w:pPr>
        <w:jc w:val="both"/>
        <w:rPr>
          <w:szCs w:val="24"/>
          <w:lang w:eastAsia="en-GB"/>
        </w:rPr>
      </w:pPr>
    </w:p>
    <w:p w:rsidR="00647586" w:rsidRPr="00F14A4A" w:rsidRDefault="00647586" w:rsidP="00647586">
      <w:pPr>
        <w:jc w:val="both"/>
        <w:rPr>
          <w:szCs w:val="24"/>
          <w:lang w:eastAsia="en-GB"/>
        </w:rPr>
      </w:pPr>
      <w:r w:rsidRPr="00F14A4A">
        <w:rPr>
          <w:lang w:eastAsia="en-GB"/>
        </w:rPr>
        <w:t>Coordinators took note of the B item for which the petitioner failed to provide additional information within two months and has been closed in accordance with PETI Guidelines</w:t>
      </w:r>
      <w:r w:rsidRPr="00F14A4A">
        <w:rPr>
          <w:szCs w:val="24"/>
          <w:lang w:eastAsia="en-GB"/>
        </w:rPr>
        <w:t xml:space="preserve">: </w:t>
      </w:r>
      <w:r w:rsidRPr="00F14A4A">
        <w:rPr>
          <w:lang w:eastAsia="en-GB"/>
        </w:rPr>
        <w:t>petition 0196/2018</w:t>
      </w:r>
      <w:r w:rsidRPr="00F14A4A">
        <w:rPr>
          <w:color w:val="2F5597"/>
          <w:szCs w:val="24"/>
        </w:rPr>
        <w:t xml:space="preserve">  </w:t>
      </w:r>
    </w:p>
    <w:p w:rsidR="00647586" w:rsidRPr="00F14A4A" w:rsidRDefault="00647586" w:rsidP="00647586">
      <w:pPr>
        <w:pStyle w:val="Heading1"/>
        <w:keepNext w:val="0"/>
        <w:widowControl w:val="0"/>
        <w:tabs>
          <w:tab w:val="clear" w:pos="0"/>
          <w:tab w:val="left" w:pos="567"/>
        </w:tabs>
        <w:autoSpaceDE w:val="0"/>
        <w:autoSpaceDN w:val="0"/>
        <w:adjustRightInd w:val="0"/>
        <w:spacing w:before="120" w:after="120"/>
        <w:ind w:left="567" w:hanging="567"/>
        <w:rPr>
          <w:szCs w:val="24"/>
        </w:rPr>
      </w:pPr>
      <w:bookmarkStart w:id="17" w:name="_Toc178085489"/>
      <w:r w:rsidRPr="00F14A4A">
        <w:rPr>
          <w:szCs w:val="24"/>
        </w:rPr>
        <w:t>15.</w:t>
      </w:r>
      <w:r w:rsidRPr="00F14A4A">
        <w:rPr>
          <w:szCs w:val="24"/>
        </w:rPr>
        <w:tab/>
        <w:t>Registration of two ECIs</w:t>
      </w:r>
      <w:bookmarkStart w:id="18" w:name="_Toc72146826"/>
      <w:bookmarkStart w:id="19" w:name="_Toc30156058"/>
      <w:bookmarkEnd w:id="17"/>
    </w:p>
    <w:bookmarkEnd w:id="18"/>
    <w:bookmarkEnd w:id="19"/>
    <w:p w:rsidR="00647586" w:rsidRPr="00F14A4A" w:rsidRDefault="00647586" w:rsidP="00647586">
      <w:pPr>
        <w:spacing w:line="276" w:lineRule="auto"/>
        <w:jc w:val="both"/>
        <w:rPr>
          <w:rFonts w:eastAsia="Calibri"/>
          <w:szCs w:val="24"/>
          <w:lang w:eastAsia="en-GB"/>
        </w:rPr>
      </w:pPr>
      <w:r w:rsidRPr="00F14A4A">
        <w:rPr>
          <w:rFonts w:eastAsia="Calibri"/>
          <w:szCs w:val="24"/>
          <w:lang w:eastAsia="en-GB"/>
        </w:rPr>
        <w:t>Coordinators took note of the registration, by the European Commission, of two European Citizens' Initiatives, entitled: </w:t>
      </w:r>
    </w:p>
    <w:p w:rsidR="00647586" w:rsidRPr="00F14A4A" w:rsidRDefault="00647586" w:rsidP="00647586">
      <w:pPr>
        <w:widowControl/>
        <w:spacing w:line="276" w:lineRule="auto"/>
        <w:ind w:left="720" w:hanging="360"/>
        <w:jc w:val="both"/>
        <w:rPr>
          <w:b/>
          <w:szCs w:val="24"/>
          <w:lang w:val="en-IE"/>
        </w:rPr>
      </w:pPr>
      <w:r w:rsidRPr="00F14A4A">
        <w:rPr>
          <w:rFonts w:ascii="Symbol" w:hAnsi="Symbol"/>
          <w:szCs w:val="24"/>
          <w:lang w:val="en-IE"/>
        </w:rPr>
        <w:t></w:t>
      </w:r>
      <w:r w:rsidRPr="00F14A4A">
        <w:rPr>
          <w:rFonts w:ascii="Symbol" w:hAnsi="Symbol"/>
          <w:szCs w:val="24"/>
          <w:lang w:val="en-IE"/>
        </w:rPr>
        <w:tab/>
      </w:r>
      <w:r w:rsidRPr="00F14A4A">
        <w:rPr>
          <w:rFonts w:eastAsia="Calibri"/>
          <w:b/>
          <w:szCs w:val="24"/>
        </w:rPr>
        <w:t>ECI for a Water-Smart and Resilient Europe (11/09/2024)</w:t>
      </w:r>
    </w:p>
    <w:p w:rsidR="00647586" w:rsidRPr="00F14A4A" w:rsidRDefault="00647586" w:rsidP="00647586">
      <w:pPr>
        <w:widowControl/>
        <w:spacing w:line="276" w:lineRule="auto"/>
        <w:ind w:left="720" w:hanging="360"/>
        <w:jc w:val="both"/>
        <w:rPr>
          <w:b/>
          <w:szCs w:val="24"/>
          <w:lang w:val="en-IE"/>
        </w:rPr>
      </w:pPr>
      <w:r w:rsidRPr="00F14A4A">
        <w:rPr>
          <w:rFonts w:ascii="Symbol" w:hAnsi="Symbol"/>
          <w:szCs w:val="24"/>
          <w:lang w:val="en-IE"/>
        </w:rPr>
        <w:t></w:t>
      </w:r>
      <w:r w:rsidRPr="00F14A4A">
        <w:rPr>
          <w:rFonts w:ascii="Symbol" w:hAnsi="Symbol"/>
          <w:szCs w:val="24"/>
          <w:lang w:val="en-IE"/>
        </w:rPr>
        <w:tab/>
      </w:r>
      <w:r w:rsidRPr="00F14A4A">
        <w:rPr>
          <w:rFonts w:eastAsia="Calibri"/>
          <w:b/>
          <w:szCs w:val="24"/>
        </w:rPr>
        <w:t xml:space="preserve">PsychedeliCare (11/09/2024) </w:t>
      </w:r>
    </w:p>
    <w:p w:rsidR="00647586" w:rsidRPr="00F14A4A" w:rsidRDefault="00647586" w:rsidP="00647586">
      <w:pPr>
        <w:rPr>
          <w:szCs w:val="24"/>
        </w:rPr>
      </w:pPr>
      <w:bookmarkStart w:id="20" w:name="_Toc34659598"/>
    </w:p>
    <w:p w:rsidR="00647586" w:rsidRPr="00F14A4A" w:rsidRDefault="00647586" w:rsidP="00647586">
      <w:pPr>
        <w:autoSpaceDE w:val="0"/>
        <w:autoSpaceDN w:val="0"/>
        <w:adjustRightInd w:val="0"/>
        <w:spacing w:before="120" w:after="120"/>
        <w:ind w:left="567" w:hanging="567"/>
        <w:jc w:val="both"/>
        <w:outlineLvl w:val="0"/>
        <w:rPr>
          <w:rFonts w:eastAsiaTheme="minorEastAsia"/>
          <w:b/>
          <w:bCs/>
          <w:noProof/>
          <w:color w:val="000000"/>
          <w:szCs w:val="24"/>
          <w:lang w:eastAsia="en-GB"/>
        </w:rPr>
      </w:pPr>
      <w:bookmarkStart w:id="21" w:name="_Toc178085490"/>
      <w:bookmarkStart w:id="22" w:name="_Toc34659599"/>
      <w:bookmarkEnd w:id="20"/>
      <w:r w:rsidRPr="00F14A4A">
        <w:rPr>
          <w:rFonts w:eastAsiaTheme="minorEastAsia"/>
          <w:b/>
          <w:bCs/>
          <w:noProof/>
          <w:color w:val="000000"/>
          <w:szCs w:val="24"/>
          <w:lang w:eastAsia="en-GB"/>
        </w:rPr>
        <w:t>16.</w:t>
      </w:r>
      <w:r w:rsidRPr="00F14A4A">
        <w:rPr>
          <w:rFonts w:eastAsiaTheme="minorEastAsia"/>
          <w:b/>
          <w:bCs/>
          <w:noProof/>
          <w:color w:val="000000"/>
          <w:szCs w:val="24"/>
          <w:lang w:eastAsia="en-GB"/>
        </w:rPr>
        <w:tab/>
        <w:t>Feedback on the first meeting of the 'Standing Network on the Budget', 17 September 2024</w:t>
      </w:r>
      <w:bookmarkEnd w:id="21"/>
    </w:p>
    <w:p w:rsidR="00647586" w:rsidRPr="00F14A4A" w:rsidRDefault="00647586" w:rsidP="00647586">
      <w:pPr>
        <w:jc w:val="both"/>
        <w:rPr>
          <w:rFonts w:eastAsia="Calibri"/>
          <w:szCs w:val="24"/>
        </w:rPr>
      </w:pPr>
      <w:r w:rsidRPr="00F14A4A">
        <w:rPr>
          <w:rFonts w:eastAsia="Calibri"/>
          <w:szCs w:val="24"/>
        </w:rPr>
        <w:t xml:space="preserve">Coordinators took note of the feedback on the first meeting of the 'Standing Network on the Budget', which took place on 17 September 2024. </w:t>
      </w:r>
    </w:p>
    <w:p w:rsidR="00647586" w:rsidRPr="00F14A4A" w:rsidRDefault="00647586" w:rsidP="00647586">
      <w:pPr>
        <w:rPr>
          <w:rFonts w:eastAsia="Calibri"/>
          <w:szCs w:val="24"/>
        </w:rPr>
      </w:pPr>
    </w:p>
    <w:p w:rsidR="00647586" w:rsidRPr="00F14A4A" w:rsidRDefault="00647586" w:rsidP="00647586">
      <w:pPr>
        <w:tabs>
          <w:tab w:val="left" w:pos="567"/>
        </w:tabs>
        <w:autoSpaceDE w:val="0"/>
        <w:autoSpaceDN w:val="0"/>
        <w:adjustRightInd w:val="0"/>
        <w:spacing w:before="120" w:after="120"/>
        <w:ind w:left="567" w:hanging="567"/>
        <w:jc w:val="both"/>
        <w:outlineLvl w:val="0"/>
        <w:rPr>
          <w:rFonts w:eastAsiaTheme="minorEastAsia"/>
          <w:b/>
          <w:bCs/>
          <w:noProof/>
          <w:color w:val="000000"/>
          <w:szCs w:val="24"/>
          <w:u w:val="single"/>
          <w:lang w:eastAsia="en-GB"/>
        </w:rPr>
      </w:pPr>
      <w:bookmarkStart w:id="23" w:name="_Toc178085491"/>
      <w:r w:rsidRPr="00F14A4A">
        <w:rPr>
          <w:rFonts w:eastAsiaTheme="minorEastAsia"/>
          <w:b/>
          <w:bCs/>
          <w:noProof/>
          <w:color w:val="000000"/>
          <w:szCs w:val="24"/>
          <w:lang w:eastAsia="en-GB"/>
        </w:rPr>
        <w:t>17.</w:t>
      </w:r>
      <w:r w:rsidRPr="00F14A4A">
        <w:rPr>
          <w:rFonts w:eastAsiaTheme="minorEastAsia"/>
          <w:b/>
          <w:bCs/>
          <w:noProof/>
          <w:color w:val="000000"/>
          <w:szCs w:val="24"/>
          <w:lang w:eastAsia="en-GB"/>
        </w:rPr>
        <w:tab/>
        <w:t>Letters</w:t>
      </w:r>
      <w:bookmarkEnd w:id="22"/>
      <w:bookmarkEnd w:id="23"/>
      <w:r w:rsidRPr="00F14A4A">
        <w:rPr>
          <w:rFonts w:eastAsiaTheme="minorEastAsia"/>
          <w:b/>
          <w:bCs/>
          <w:noProof/>
          <w:color w:val="000000"/>
          <w:szCs w:val="24"/>
          <w:lang w:eastAsia="en-GB"/>
        </w:rPr>
        <w:t xml:space="preserve"> </w:t>
      </w:r>
    </w:p>
    <w:p w:rsidR="00647586" w:rsidRPr="00F14A4A" w:rsidRDefault="00647586" w:rsidP="00647586">
      <w:pPr>
        <w:rPr>
          <w:szCs w:val="24"/>
        </w:rPr>
      </w:pPr>
      <w:r w:rsidRPr="00F14A4A">
        <w:rPr>
          <w:szCs w:val="24"/>
        </w:rPr>
        <w:t xml:space="preserve">Coordinators took note of the replies received. </w:t>
      </w:r>
    </w:p>
    <w:p w:rsidR="00647586" w:rsidRPr="00F14A4A" w:rsidRDefault="00647586" w:rsidP="00647586">
      <w:pPr>
        <w:rPr>
          <w:szCs w:val="24"/>
        </w:rPr>
      </w:pPr>
    </w:p>
    <w:p w:rsidR="00647586" w:rsidRPr="00F14A4A" w:rsidRDefault="00647586" w:rsidP="00647586">
      <w:pPr>
        <w:pStyle w:val="Heading1"/>
        <w:keepNext w:val="0"/>
        <w:widowControl w:val="0"/>
        <w:tabs>
          <w:tab w:val="clear" w:pos="0"/>
          <w:tab w:val="left" w:pos="567"/>
        </w:tabs>
        <w:autoSpaceDE w:val="0"/>
        <w:autoSpaceDN w:val="0"/>
        <w:adjustRightInd w:val="0"/>
        <w:spacing w:before="120" w:after="120"/>
        <w:ind w:left="567" w:hanging="567"/>
        <w:rPr>
          <w:szCs w:val="24"/>
        </w:rPr>
      </w:pPr>
      <w:bookmarkStart w:id="24" w:name="_Toc178085492"/>
      <w:r w:rsidRPr="00F14A4A">
        <w:rPr>
          <w:szCs w:val="24"/>
        </w:rPr>
        <w:t>18.</w:t>
      </w:r>
      <w:r w:rsidRPr="00F14A4A">
        <w:rPr>
          <w:szCs w:val="24"/>
        </w:rPr>
        <w:tab/>
        <w:t>Any other business</w:t>
      </w:r>
      <w:bookmarkEnd w:id="24"/>
    </w:p>
    <w:p w:rsidR="00647586" w:rsidRPr="00F14A4A" w:rsidRDefault="00647586" w:rsidP="00647586">
      <w:pPr>
        <w:spacing w:after="200" w:line="276" w:lineRule="auto"/>
        <w:ind w:left="357"/>
        <w:jc w:val="both"/>
        <w:rPr>
          <w:i/>
          <w:szCs w:val="24"/>
        </w:rPr>
      </w:pPr>
      <w:r w:rsidRPr="00F14A4A">
        <w:rPr>
          <w:szCs w:val="24"/>
        </w:rPr>
        <w:t xml:space="preserve">None. </w:t>
      </w:r>
      <w:bookmarkEnd w:id="5"/>
    </w:p>
    <w:p w:rsidR="00647586" w:rsidRPr="00F14A4A" w:rsidRDefault="00647586" w:rsidP="00647586">
      <w:pPr>
        <w:jc w:val="both"/>
      </w:pPr>
      <w:r w:rsidRPr="00F14A4A">
        <w:rPr>
          <w:b/>
        </w:rPr>
        <w:t xml:space="preserve">MEP Ana Miranda </w:t>
      </w:r>
      <w:r w:rsidRPr="00F14A4A">
        <w:t xml:space="preserve">(Greens/ALE) on behalf of her political group expressed her discontent concerning the decision taken by the committee to cancel the discussion on Petition No. 0961/2024 which was requested by the Greens under urgency procedure and was planned to take place on 3 October 2024. </w:t>
      </w:r>
    </w:p>
    <w:p w:rsidR="00647586" w:rsidRPr="00F14A4A" w:rsidRDefault="00647586" w:rsidP="00647586">
      <w:pPr>
        <w:widowControl/>
        <w:tabs>
          <w:tab w:val="left" w:pos="-1417"/>
          <w:tab w:val="left" w:pos="-397"/>
          <w:tab w:val="left" w:pos="839"/>
          <w:tab w:val="left" w:pos="7682"/>
        </w:tabs>
        <w:jc w:val="both"/>
        <w:rPr>
          <w:u w:val="single"/>
        </w:rPr>
      </w:pPr>
    </w:p>
    <w:p w:rsidR="00647586" w:rsidRPr="00F14A4A" w:rsidRDefault="00647586" w:rsidP="00647586">
      <w:pPr>
        <w:widowControl/>
        <w:tabs>
          <w:tab w:val="left" w:pos="-1417"/>
          <w:tab w:val="left" w:pos="-397"/>
          <w:tab w:val="left" w:pos="839"/>
          <w:tab w:val="left" w:pos="7682"/>
        </w:tabs>
        <w:jc w:val="both"/>
        <w:rPr>
          <w:u w:val="single"/>
        </w:rPr>
      </w:pPr>
      <w:r w:rsidRPr="00F14A4A">
        <w:rPr>
          <w:u w:val="single"/>
        </w:rPr>
        <w:t>Report</w:t>
      </w:r>
    </w:p>
    <w:p w:rsidR="00647586" w:rsidRPr="00F14A4A" w:rsidRDefault="00647586" w:rsidP="00647586">
      <w:pPr>
        <w:widowControl/>
        <w:tabs>
          <w:tab w:val="left" w:pos="-1417"/>
          <w:tab w:val="left" w:pos="-397"/>
          <w:tab w:val="left" w:pos="839"/>
          <w:tab w:val="left" w:pos="7682"/>
        </w:tabs>
        <w:jc w:val="both"/>
        <w:rPr>
          <w:u w:val="single"/>
        </w:rPr>
      </w:pPr>
    </w:p>
    <w:tbl>
      <w:tblPr>
        <w:tblW w:w="0" w:type="dxa"/>
        <w:tblLayout w:type="fixed"/>
        <w:tblCellMar>
          <w:left w:w="0" w:type="dxa"/>
          <w:right w:w="0" w:type="dxa"/>
        </w:tblCellMar>
        <w:tblLook w:val="04A0" w:firstRow="1" w:lastRow="0" w:firstColumn="1" w:lastColumn="0" w:noHBand="0" w:noVBand="1"/>
      </w:tblPr>
      <w:tblGrid>
        <w:gridCol w:w="426"/>
        <w:gridCol w:w="6378"/>
        <w:gridCol w:w="2410"/>
      </w:tblGrid>
      <w:tr w:rsidR="00647586" w:rsidRPr="00F14A4A" w:rsidTr="00647586">
        <w:trPr>
          <w:trHeight w:val="825"/>
        </w:trPr>
        <w:tc>
          <w:tcPr>
            <w:tcW w:w="426" w:type="dxa"/>
            <w:hideMark/>
          </w:tcPr>
          <w:p w:rsidR="00647586" w:rsidRPr="00F14A4A" w:rsidRDefault="00647586">
            <w:pPr>
              <w:widowControl/>
              <w:tabs>
                <w:tab w:val="left" w:pos="-1417"/>
                <w:tab w:val="left" w:pos="-397"/>
                <w:tab w:val="left" w:pos="360"/>
                <w:tab w:val="left" w:pos="601"/>
                <w:tab w:val="left" w:pos="839"/>
                <w:tab w:val="left" w:pos="7682"/>
              </w:tabs>
              <w:ind w:left="360" w:hanging="360"/>
              <w:jc w:val="both"/>
            </w:pPr>
            <w:r w:rsidRPr="00F14A4A">
              <w:rPr>
                <w:b/>
                <w:szCs w:val="24"/>
              </w:rPr>
              <w:t>3.</w:t>
            </w:r>
            <w:r w:rsidRPr="00F14A4A">
              <w:rPr>
                <w:b/>
                <w:szCs w:val="24"/>
              </w:rPr>
              <w:tab/>
            </w:r>
          </w:p>
        </w:tc>
        <w:tc>
          <w:tcPr>
            <w:tcW w:w="6378" w:type="dxa"/>
            <w:hideMark/>
          </w:tcPr>
          <w:p w:rsidR="00647586" w:rsidRPr="00F14A4A" w:rsidRDefault="00647586">
            <w:pPr>
              <w:tabs>
                <w:tab w:val="left" w:pos="-1417"/>
                <w:tab w:val="left" w:pos="-397"/>
                <w:tab w:val="left" w:pos="601"/>
                <w:tab w:val="left" w:pos="839"/>
                <w:tab w:val="left" w:pos="7682"/>
              </w:tabs>
              <w:rPr>
                <w:b/>
              </w:rPr>
            </w:pPr>
            <w:r w:rsidRPr="00F14A4A">
              <w:rPr>
                <w:b/>
              </w:rPr>
              <w:t>Draft Report on the Activities of the European Ombudsman - Annual Report 2023</w:t>
            </w:r>
          </w:p>
          <w:p w:rsidR="00647586" w:rsidRPr="00F14A4A" w:rsidRDefault="00647586">
            <w:pPr>
              <w:tabs>
                <w:tab w:val="left" w:pos="-1417"/>
                <w:tab w:val="left" w:pos="-397"/>
                <w:tab w:val="left" w:pos="601"/>
                <w:tab w:val="left" w:pos="839"/>
                <w:tab w:val="left" w:pos="7682"/>
              </w:tabs>
              <w:rPr>
                <w:lang w:val="fr-FR"/>
              </w:rPr>
            </w:pPr>
            <w:r w:rsidRPr="00F14A4A">
              <w:rPr>
                <w:lang w:val="fr-FR"/>
              </w:rPr>
              <w:t>PETI/10/00889</w:t>
            </w:r>
          </w:p>
          <w:p w:rsidR="00647586" w:rsidRPr="00F14A4A" w:rsidRDefault="00647586">
            <w:pPr>
              <w:tabs>
                <w:tab w:val="left" w:pos="-1417"/>
                <w:tab w:val="left" w:pos="-397"/>
                <w:tab w:val="left" w:pos="601"/>
                <w:tab w:val="left" w:pos="839"/>
                <w:tab w:val="left" w:pos="7682"/>
              </w:tabs>
              <w:rPr>
                <w:lang w:val="fr-FR"/>
              </w:rPr>
            </w:pPr>
            <w:r w:rsidRPr="00F14A4A">
              <w:rPr>
                <w:lang w:val="fr-FR"/>
              </w:rPr>
              <w:t>*</w:t>
            </w:r>
            <w:r w:rsidRPr="00F14A4A">
              <w:rPr>
                <w:lang w:val="fr-FR"/>
              </w:rPr>
              <w:tab/>
              <w:t>2024/  (INI)</w:t>
            </w:r>
          </w:p>
          <w:p w:rsidR="00647586" w:rsidRPr="00F14A4A" w:rsidRDefault="00647586">
            <w:pPr>
              <w:tabs>
                <w:tab w:val="left" w:pos="-1417"/>
                <w:tab w:val="left" w:pos="-397"/>
                <w:tab w:val="left" w:pos="601"/>
                <w:tab w:val="left" w:pos="839"/>
                <w:tab w:val="left" w:pos="1830"/>
              </w:tabs>
              <w:rPr>
                <w:lang w:val="fr-FR"/>
              </w:rPr>
            </w:pPr>
            <w:r w:rsidRPr="00F14A4A">
              <w:rPr>
                <w:lang w:val="fr-FR"/>
              </w:rPr>
              <w:t>Rapporteur: Alex Agius Saliba (S&amp;D)</w:t>
            </w:r>
            <w:r w:rsidRPr="00F14A4A">
              <w:rPr>
                <w:lang w:val="fr-FR"/>
              </w:rPr>
              <w:tab/>
            </w:r>
          </w:p>
          <w:p w:rsidR="00647586" w:rsidRPr="00F14A4A" w:rsidRDefault="00647586">
            <w:pPr>
              <w:tabs>
                <w:tab w:val="left" w:pos="-1417"/>
                <w:tab w:val="left" w:pos="-397"/>
                <w:tab w:val="left" w:pos="601"/>
                <w:tab w:val="left" w:pos="839"/>
                <w:tab w:val="left" w:pos="7682"/>
              </w:tabs>
              <w:rPr>
                <w:lang w:val="fr-FR"/>
              </w:rPr>
            </w:pPr>
            <w:r w:rsidRPr="00F14A4A">
              <w:rPr>
                <w:lang w:val="fr-FR"/>
              </w:rPr>
              <w:t>Responsible :</w:t>
            </w:r>
          </w:p>
          <w:p w:rsidR="00647586" w:rsidRPr="00F14A4A" w:rsidRDefault="00647586">
            <w:pPr>
              <w:tabs>
                <w:tab w:val="left" w:pos="-1417"/>
                <w:tab w:val="left" w:pos="-397"/>
                <w:tab w:val="left" w:pos="601"/>
                <w:tab w:val="left" w:pos="839"/>
                <w:tab w:val="left" w:pos="7682"/>
              </w:tabs>
            </w:pPr>
            <w:r w:rsidRPr="00F14A4A">
              <w:rPr>
                <w:lang w:val="fr-FR"/>
              </w:rPr>
              <w:tab/>
            </w:r>
            <w:r w:rsidRPr="00F14A4A">
              <w:t>PETI</w:t>
            </w:r>
          </w:p>
          <w:p w:rsidR="00647586" w:rsidRPr="00F14A4A" w:rsidRDefault="00647586">
            <w:pPr>
              <w:widowControl/>
              <w:tabs>
                <w:tab w:val="left" w:pos="-1417"/>
                <w:tab w:val="left" w:pos="-397"/>
                <w:tab w:val="left" w:pos="601"/>
                <w:tab w:val="left" w:pos="839"/>
                <w:tab w:val="left" w:pos="7682"/>
              </w:tabs>
              <w:ind w:left="720" w:hanging="360"/>
              <w:jc w:val="both"/>
              <w:rPr>
                <w:b/>
              </w:rPr>
            </w:pPr>
            <w:r w:rsidRPr="00F14A4A">
              <w:rPr>
                <w:rFonts w:ascii="Symbol" w:hAnsi="Symbol"/>
                <w:lang w:eastAsia="en-GB"/>
              </w:rPr>
              <w:t></w:t>
            </w:r>
            <w:r w:rsidRPr="00F14A4A">
              <w:rPr>
                <w:rFonts w:ascii="Symbol" w:hAnsi="Symbol"/>
                <w:lang w:eastAsia="en-GB"/>
              </w:rPr>
              <w:tab/>
            </w:r>
            <w:r w:rsidRPr="00F14A4A">
              <w:rPr>
                <w:b/>
              </w:rPr>
              <w:t>Consideration</w:t>
            </w:r>
            <w:r w:rsidRPr="00F14A4A">
              <w:t xml:space="preserve"> </w:t>
            </w:r>
            <w:r w:rsidRPr="00F14A4A">
              <w:rPr>
                <w:b/>
              </w:rPr>
              <w:t xml:space="preserve">of draft report </w:t>
            </w:r>
          </w:p>
          <w:p w:rsidR="00647586" w:rsidRPr="00F14A4A" w:rsidRDefault="00647586">
            <w:pPr>
              <w:tabs>
                <w:tab w:val="left" w:pos="-1417"/>
                <w:tab w:val="left" w:pos="-397"/>
                <w:tab w:val="left" w:pos="601"/>
                <w:tab w:val="left" w:pos="839"/>
                <w:tab w:val="left" w:pos="7682"/>
              </w:tabs>
              <w:ind w:left="720" w:hanging="360"/>
            </w:pPr>
            <w:r w:rsidRPr="00F14A4A">
              <w:rPr>
                <w:rFonts w:ascii="Symbol" w:hAnsi="Symbol"/>
                <w:lang w:eastAsia="en-GB"/>
              </w:rPr>
              <w:t></w:t>
            </w:r>
            <w:r w:rsidRPr="00F14A4A">
              <w:rPr>
                <w:rFonts w:ascii="Symbol" w:hAnsi="Symbol"/>
                <w:lang w:eastAsia="en-GB"/>
              </w:rPr>
              <w:tab/>
            </w:r>
            <w:r w:rsidRPr="00F14A4A">
              <w:rPr>
                <w:b/>
              </w:rPr>
              <w:t>Deadline for Amendments 9 October 2024 at 17:00</w:t>
            </w:r>
          </w:p>
        </w:tc>
        <w:tc>
          <w:tcPr>
            <w:tcW w:w="2410" w:type="dxa"/>
          </w:tcPr>
          <w:p w:rsidR="00647586" w:rsidRPr="00F14A4A" w:rsidRDefault="00647586">
            <w:pPr>
              <w:tabs>
                <w:tab w:val="left" w:pos="-1417"/>
                <w:tab w:val="left" w:pos="-397"/>
                <w:tab w:val="left" w:pos="265"/>
                <w:tab w:val="left" w:pos="7682"/>
              </w:tabs>
            </w:pPr>
            <w:r w:rsidRPr="00F14A4A">
              <w:t xml:space="preserve">   PR </w:t>
            </w:r>
            <w:r w:rsidRPr="00F14A4A">
              <w:softHyphen/>
              <w:t xml:space="preserve"> 763.122</w:t>
            </w:r>
          </w:p>
          <w:p w:rsidR="00647586" w:rsidRPr="00F14A4A" w:rsidRDefault="00647586">
            <w:pPr>
              <w:tabs>
                <w:tab w:val="left" w:pos="-1417"/>
                <w:tab w:val="left" w:pos="-397"/>
                <w:tab w:val="left" w:pos="265"/>
                <w:tab w:val="left" w:pos="7682"/>
              </w:tabs>
            </w:pPr>
            <w:r w:rsidRPr="00F14A4A">
              <w:t xml:space="preserve">   FdR1306421</w:t>
            </w:r>
          </w:p>
          <w:p w:rsidR="00647586" w:rsidRPr="00F14A4A" w:rsidRDefault="00647586">
            <w:pPr>
              <w:tabs>
                <w:tab w:val="left" w:pos="-1417"/>
                <w:tab w:val="left" w:pos="-397"/>
                <w:tab w:val="left" w:pos="265"/>
                <w:tab w:val="left" w:pos="7682"/>
              </w:tabs>
            </w:pPr>
          </w:p>
        </w:tc>
      </w:tr>
    </w:tbl>
    <w:p w:rsidR="00647586" w:rsidRPr="00F14A4A" w:rsidRDefault="00647586" w:rsidP="00647586">
      <w:pPr>
        <w:tabs>
          <w:tab w:val="left" w:pos="-1417"/>
          <w:tab w:val="left" w:pos="-397"/>
          <w:tab w:val="left" w:pos="839"/>
          <w:tab w:val="left" w:pos="7682"/>
        </w:tabs>
      </w:pPr>
      <w:r w:rsidRPr="00F14A4A">
        <w:rPr>
          <w:b/>
          <w:u w:val="single"/>
        </w:rPr>
        <w:t>Speakers</w:t>
      </w:r>
      <w:r w:rsidRPr="00F14A4A">
        <w:rPr>
          <w:b/>
        </w:rPr>
        <w:t xml:space="preserve">: </w:t>
      </w:r>
      <w:r w:rsidRPr="00F14A4A">
        <w:t>Alex Agius Saliba (rapporteur), Peter Agius (shadow rapporteur), Virginie Joron (shadow rapporteur), Kosma Złotowski (shadow rapporteur), Michał Kobosko (on behalf of shadow rapporteur, Jana Toom), Gordan Bosanac (shadow rapporteur), Nikos Pappas (shadow rapporteur), Lukas Sieper (shadow rapporteur), Pascal Lefèvre (EC, SG.C.2).</w:t>
      </w:r>
    </w:p>
    <w:p w:rsidR="00647586" w:rsidRPr="00F14A4A" w:rsidRDefault="00647586" w:rsidP="00647586">
      <w:pPr>
        <w:widowControl/>
        <w:tabs>
          <w:tab w:val="left" w:pos="-1417"/>
          <w:tab w:val="left" w:pos="-397"/>
          <w:tab w:val="left" w:pos="601"/>
          <w:tab w:val="left" w:pos="839"/>
          <w:tab w:val="left" w:pos="7682"/>
        </w:tabs>
        <w:ind w:left="601" w:hanging="601"/>
        <w:jc w:val="both"/>
        <w:rPr>
          <w:b/>
          <w:i/>
        </w:rPr>
      </w:pPr>
    </w:p>
    <w:p w:rsidR="00647586" w:rsidRPr="00F14A4A" w:rsidRDefault="00647586" w:rsidP="00647586">
      <w:pPr>
        <w:widowControl/>
        <w:tabs>
          <w:tab w:val="left" w:pos="-1417"/>
          <w:tab w:val="left" w:pos="-397"/>
          <w:tab w:val="left" w:pos="601"/>
          <w:tab w:val="left" w:pos="839"/>
          <w:tab w:val="left" w:pos="7682"/>
        </w:tabs>
        <w:ind w:left="601" w:hanging="601"/>
        <w:jc w:val="both"/>
        <w:rPr>
          <w:b/>
          <w:i/>
        </w:rPr>
      </w:pPr>
      <w:r w:rsidRPr="00F14A4A">
        <w:rPr>
          <w:b/>
          <w:i/>
        </w:rPr>
        <w:t>In the presence of the European Commission</w:t>
      </w:r>
    </w:p>
    <w:p w:rsidR="00647586" w:rsidRPr="00F14A4A" w:rsidRDefault="00647586" w:rsidP="00647586">
      <w:pPr>
        <w:widowControl/>
        <w:tabs>
          <w:tab w:val="left" w:pos="-1417"/>
          <w:tab w:val="left" w:pos="-397"/>
          <w:tab w:val="left" w:pos="601"/>
          <w:tab w:val="left" w:pos="839"/>
          <w:tab w:val="left" w:pos="7682"/>
        </w:tabs>
        <w:jc w:val="both"/>
        <w:rPr>
          <w:sz w:val="16"/>
          <w:szCs w:val="16"/>
        </w:rPr>
      </w:pPr>
    </w:p>
    <w:p w:rsidR="00647586" w:rsidRPr="00F14A4A" w:rsidRDefault="00647586" w:rsidP="00647586">
      <w:pPr>
        <w:widowControl/>
        <w:tabs>
          <w:tab w:val="left" w:pos="-1417"/>
          <w:tab w:val="left" w:pos="-397"/>
          <w:tab w:val="left" w:pos="0"/>
          <w:tab w:val="left" w:pos="426"/>
          <w:tab w:val="left" w:pos="1134"/>
          <w:tab w:val="left" w:pos="7682"/>
        </w:tabs>
        <w:rPr>
          <w:b/>
        </w:rPr>
      </w:pPr>
      <w:r w:rsidRPr="00F14A4A">
        <w:rPr>
          <w:b/>
        </w:rPr>
        <w:t>A.</w:t>
      </w:r>
      <w:r w:rsidRPr="00F14A4A">
        <w:rPr>
          <w:b/>
        </w:rPr>
        <w:tab/>
        <w:t>Petitions for discussion in committee on the basis of the Commission's written reply or other documents received</w:t>
      </w:r>
    </w:p>
    <w:p w:rsidR="00647586" w:rsidRPr="00F14A4A" w:rsidRDefault="00647586" w:rsidP="00647586">
      <w:pPr>
        <w:widowControl/>
        <w:rPr>
          <w:b/>
        </w:rPr>
      </w:pPr>
    </w:p>
    <w:p w:rsidR="00647586" w:rsidRPr="00F14A4A" w:rsidRDefault="00647586" w:rsidP="00647586">
      <w:pPr>
        <w:tabs>
          <w:tab w:val="left" w:pos="-1417"/>
          <w:tab w:val="left" w:pos="-397"/>
          <w:tab w:val="left" w:pos="839"/>
          <w:tab w:val="left" w:pos="7682"/>
        </w:tabs>
        <w:rPr>
          <w:u w:val="single"/>
        </w:rPr>
      </w:pPr>
      <w:r w:rsidRPr="00F14A4A">
        <w:rPr>
          <w:u w:val="single"/>
        </w:rPr>
        <w:t>Fundamental Rights-</w:t>
      </w:r>
      <w:r w:rsidRPr="00F14A4A">
        <w:t xml:space="preserve"> </w:t>
      </w:r>
      <w:r w:rsidRPr="00F14A4A">
        <w:rPr>
          <w:u w:val="single"/>
        </w:rPr>
        <w:t>data protection</w:t>
      </w:r>
    </w:p>
    <w:p w:rsidR="00647586" w:rsidRPr="00F14A4A" w:rsidRDefault="00647586" w:rsidP="00647586">
      <w:pPr>
        <w:tabs>
          <w:tab w:val="left" w:pos="-1417"/>
          <w:tab w:val="left" w:pos="-397"/>
          <w:tab w:val="left" w:pos="839"/>
          <w:tab w:val="left" w:pos="7682"/>
        </w:tabs>
        <w:rPr>
          <w:u w:val="single"/>
        </w:rPr>
      </w:pPr>
    </w:p>
    <w:tbl>
      <w:tblPr>
        <w:tblW w:w="0" w:type="dxa"/>
        <w:tblLayout w:type="fixed"/>
        <w:tblCellMar>
          <w:left w:w="0" w:type="dxa"/>
          <w:right w:w="0" w:type="dxa"/>
        </w:tblCellMar>
        <w:tblLook w:val="04A0" w:firstRow="1" w:lastRow="0" w:firstColumn="1" w:lastColumn="0" w:noHBand="0" w:noVBand="1"/>
      </w:tblPr>
      <w:tblGrid>
        <w:gridCol w:w="426"/>
        <w:gridCol w:w="6378"/>
        <w:gridCol w:w="2410"/>
      </w:tblGrid>
      <w:tr w:rsidR="00647586" w:rsidRPr="00F14A4A" w:rsidTr="00647586">
        <w:trPr>
          <w:trHeight w:val="825"/>
        </w:trPr>
        <w:tc>
          <w:tcPr>
            <w:tcW w:w="426" w:type="dxa"/>
            <w:hideMark/>
          </w:tcPr>
          <w:p w:rsidR="00647586" w:rsidRPr="00F14A4A" w:rsidRDefault="00647586">
            <w:pPr>
              <w:widowControl/>
              <w:tabs>
                <w:tab w:val="left" w:pos="-1417"/>
                <w:tab w:val="left" w:pos="-397"/>
                <w:tab w:val="left" w:pos="360"/>
                <w:tab w:val="left" w:pos="601"/>
                <w:tab w:val="left" w:pos="839"/>
                <w:tab w:val="left" w:pos="7682"/>
              </w:tabs>
              <w:ind w:left="360" w:hanging="360"/>
              <w:jc w:val="both"/>
            </w:pPr>
            <w:r w:rsidRPr="00F14A4A">
              <w:rPr>
                <w:b/>
                <w:szCs w:val="24"/>
              </w:rPr>
              <w:t>4.</w:t>
            </w:r>
            <w:r w:rsidRPr="00F14A4A">
              <w:rPr>
                <w:b/>
                <w:szCs w:val="24"/>
              </w:rPr>
              <w:tab/>
            </w:r>
          </w:p>
        </w:tc>
        <w:tc>
          <w:tcPr>
            <w:tcW w:w="6378" w:type="dxa"/>
          </w:tcPr>
          <w:p w:rsidR="00647586" w:rsidRPr="00F14A4A" w:rsidRDefault="00647586">
            <w:pPr>
              <w:widowControl/>
              <w:tabs>
                <w:tab w:val="left" w:pos="-1417"/>
                <w:tab w:val="left" w:pos="-397"/>
                <w:tab w:val="left" w:pos="601"/>
                <w:tab w:val="left" w:pos="839"/>
                <w:tab w:val="left" w:pos="7682"/>
              </w:tabs>
              <w:jc w:val="both"/>
            </w:pPr>
            <w:r w:rsidRPr="00F14A4A">
              <w:t xml:space="preserve"> Petition No 0449/2024 by G.F. (Greek) on the alleged violation of the confidentiality of communications in Greece</w:t>
            </w:r>
          </w:p>
          <w:p w:rsidR="00647586" w:rsidRPr="00F14A4A" w:rsidRDefault="00647586">
            <w:pPr>
              <w:widowControl/>
              <w:tabs>
                <w:tab w:val="left" w:pos="-1417"/>
                <w:tab w:val="left" w:pos="-397"/>
                <w:tab w:val="left" w:pos="601"/>
                <w:tab w:val="left" w:pos="839"/>
                <w:tab w:val="left" w:pos="7682"/>
              </w:tabs>
              <w:jc w:val="both"/>
            </w:pPr>
          </w:p>
        </w:tc>
        <w:tc>
          <w:tcPr>
            <w:tcW w:w="2410" w:type="dxa"/>
          </w:tcPr>
          <w:p w:rsidR="00647586" w:rsidRPr="00F14A4A" w:rsidRDefault="00647586">
            <w:pPr>
              <w:widowControl/>
              <w:tabs>
                <w:tab w:val="left" w:pos="-1417"/>
                <w:tab w:val="left" w:pos="-397"/>
                <w:tab w:val="left" w:pos="601"/>
                <w:tab w:val="left" w:pos="839"/>
                <w:tab w:val="left" w:pos="7682"/>
              </w:tabs>
              <w:ind w:left="601" w:hanging="601"/>
              <w:jc w:val="both"/>
            </w:pPr>
            <w:r w:rsidRPr="00F14A4A">
              <w:t xml:space="preserve">   sir0449-24</w:t>
            </w:r>
          </w:p>
          <w:p w:rsidR="00647586" w:rsidRPr="00F14A4A" w:rsidRDefault="00647586">
            <w:pPr>
              <w:widowControl/>
              <w:tabs>
                <w:tab w:val="left" w:pos="-1417"/>
                <w:tab w:val="left" w:pos="-397"/>
                <w:tab w:val="left" w:pos="601"/>
                <w:tab w:val="left" w:pos="839"/>
                <w:tab w:val="left" w:pos="7682"/>
              </w:tabs>
              <w:ind w:left="601" w:hanging="601"/>
              <w:jc w:val="both"/>
            </w:pPr>
          </w:p>
        </w:tc>
      </w:tr>
    </w:tbl>
    <w:p w:rsidR="00647586" w:rsidRPr="00F14A4A" w:rsidRDefault="00647586" w:rsidP="00647586">
      <w:pPr>
        <w:tabs>
          <w:tab w:val="left" w:pos="-1417"/>
          <w:tab w:val="left" w:pos="-397"/>
          <w:tab w:val="left" w:pos="839"/>
          <w:tab w:val="left" w:pos="7682"/>
        </w:tabs>
        <w:rPr>
          <w:szCs w:val="24"/>
        </w:rPr>
      </w:pPr>
      <w:r w:rsidRPr="00F14A4A">
        <w:rPr>
          <w:b/>
          <w:szCs w:val="24"/>
          <w:u w:val="single"/>
        </w:rPr>
        <w:t>Speakers</w:t>
      </w:r>
      <w:r w:rsidRPr="00F14A4A">
        <w:rPr>
          <w:szCs w:val="24"/>
        </w:rPr>
        <w:t xml:space="preserve">: </w:t>
      </w:r>
      <w:r w:rsidRPr="00F14A4A">
        <w:t>G.F. (petitioner), Raluca Stefanuc (EC, CNECT H2), Fredis Beleris, Nils Ušakovs, Pál Szekeres, Michał Kobosko, Ana Miranda Paz, Nikos Pappas, Marcin Sypniewski, Lefteris Nikolaou</w:t>
      </w:r>
      <w:r w:rsidRPr="00F14A4A">
        <w:noBreakHyphen/>
        <w:t>Alavanos, Fidias Panayiotou, Maria Zacharia</w:t>
      </w:r>
    </w:p>
    <w:p w:rsidR="00647586" w:rsidRPr="00F14A4A" w:rsidRDefault="00647586" w:rsidP="00647586">
      <w:pPr>
        <w:tabs>
          <w:tab w:val="left" w:pos="-1417"/>
          <w:tab w:val="left" w:pos="-397"/>
          <w:tab w:val="left" w:pos="839"/>
          <w:tab w:val="left" w:pos="7682"/>
        </w:tabs>
        <w:rPr>
          <w:szCs w:val="24"/>
        </w:rPr>
      </w:pPr>
    </w:p>
    <w:p w:rsidR="00647586" w:rsidRPr="00F14A4A" w:rsidRDefault="00647586" w:rsidP="00647586">
      <w:pPr>
        <w:tabs>
          <w:tab w:val="left" w:pos="-1417"/>
          <w:tab w:val="left" w:pos="-397"/>
          <w:tab w:val="left" w:pos="839"/>
          <w:tab w:val="left" w:pos="7682"/>
        </w:tabs>
        <w:rPr>
          <w:szCs w:val="24"/>
        </w:rPr>
      </w:pPr>
      <w:r w:rsidRPr="00F14A4A">
        <w:rPr>
          <w:b/>
          <w:szCs w:val="24"/>
          <w:u w:val="single"/>
        </w:rPr>
        <w:t>Decision</w:t>
      </w:r>
      <w:r w:rsidRPr="00F14A4A">
        <w:rPr>
          <w:b/>
          <w:szCs w:val="24"/>
        </w:rPr>
        <w:t xml:space="preserve">: </w:t>
      </w:r>
      <w:r w:rsidRPr="00F14A4A">
        <w:rPr>
          <w:szCs w:val="24"/>
        </w:rPr>
        <w:t xml:space="preserve">Keep the petition open and send a letter to the competent national authorities </w:t>
      </w:r>
    </w:p>
    <w:p w:rsidR="00647586" w:rsidRPr="00F14A4A" w:rsidRDefault="00647586" w:rsidP="00647586">
      <w:pPr>
        <w:tabs>
          <w:tab w:val="left" w:pos="-1417"/>
          <w:tab w:val="left" w:pos="-397"/>
          <w:tab w:val="left" w:pos="839"/>
          <w:tab w:val="left" w:pos="7682"/>
        </w:tabs>
        <w:rPr>
          <w:u w:val="single"/>
        </w:rPr>
      </w:pPr>
    </w:p>
    <w:tbl>
      <w:tblPr>
        <w:tblW w:w="0" w:type="dxa"/>
        <w:tblLayout w:type="fixed"/>
        <w:tblCellMar>
          <w:left w:w="0" w:type="dxa"/>
          <w:right w:w="0" w:type="dxa"/>
        </w:tblCellMar>
        <w:tblLook w:val="04A0" w:firstRow="1" w:lastRow="0" w:firstColumn="1" w:lastColumn="0" w:noHBand="0" w:noVBand="1"/>
      </w:tblPr>
      <w:tblGrid>
        <w:gridCol w:w="426"/>
        <w:gridCol w:w="6378"/>
        <w:gridCol w:w="2410"/>
      </w:tblGrid>
      <w:tr w:rsidR="00647586" w:rsidRPr="00F14A4A" w:rsidTr="00647586">
        <w:trPr>
          <w:trHeight w:val="825"/>
        </w:trPr>
        <w:tc>
          <w:tcPr>
            <w:tcW w:w="426" w:type="dxa"/>
            <w:hideMark/>
          </w:tcPr>
          <w:p w:rsidR="00647586" w:rsidRPr="00F14A4A" w:rsidRDefault="00647586">
            <w:pPr>
              <w:widowControl/>
              <w:tabs>
                <w:tab w:val="left" w:pos="-1417"/>
                <w:tab w:val="left" w:pos="-397"/>
                <w:tab w:val="left" w:pos="360"/>
                <w:tab w:val="left" w:pos="601"/>
                <w:tab w:val="left" w:pos="839"/>
                <w:tab w:val="left" w:pos="7682"/>
              </w:tabs>
              <w:ind w:left="360" w:hanging="360"/>
              <w:jc w:val="both"/>
            </w:pPr>
            <w:r w:rsidRPr="00F14A4A">
              <w:rPr>
                <w:b/>
                <w:szCs w:val="24"/>
              </w:rPr>
              <w:t>5.</w:t>
            </w:r>
            <w:r w:rsidRPr="00F14A4A">
              <w:rPr>
                <w:b/>
                <w:szCs w:val="24"/>
              </w:rPr>
              <w:tab/>
            </w:r>
          </w:p>
        </w:tc>
        <w:tc>
          <w:tcPr>
            <w:tcW w:w="6378" w:type="dxa"/>
          </w:tcPr>
          <w:p w:rsidR="00647586" w:rsidRPr="00F14A4A" w:rsidRDefault="00647586">
            <w:pPr>
              <w:widowControl/>
              <w:tabs>
                <w:tab w:val="left" w:pos="-1417"/>
                <w:tab w:val="left" w:pos="-397"/>
                <w:tab w:val="left" w:pos="839"/>
                <w:tab w:val="left" w:pos="7682"/>
              </w:tabs>
              <w:jc w:val="both"/>
            </w:pPr>
            <w:r w:rsidRPr="00F14A4A">
              <w:t>Petition No 0671/2023 by M.P. (Swedish) on an alleged non-application of the GDPR rules in Sweden</w:t>
            </w:r>
          </w:p>
          <w:p w:rsidR="00647586" w:rsidRPr="00F14A4A" w:rsidRDefault="00647586">
            <w:pPr>
              <w:widowControl/>
              <w:tabs>
                <w:tab w:val="left" w:pos="-1417"/>
                <w:tab w:val="left" w:pos="-397"/>
                <w:tab w:val="left" w:pos="601"/>
                <w:tab w:val="left" w:pos="839"/>
                <w:tab w:val="left" w:pos="7682"/>
              </w:tabs>
              <w:jc w:val="both"/>
            </w:pPr>
          </w:p>
        </w:tc>
        <w:tc>
          <w:tcPr>
            <w:tcW w:w="2410" w:type="dxa"/>
            <w:hideMark/>
          </w:tcPr>
          <w:p w:rsidR="00647586" w:rsidRPr="00F14A4A" w:rsidRDefault="00647586">
            <w:pPr>
              <w:widowControl/>
              <w:tabs>
                <w:tab w:val="left" w:pos="-1417"/>
                <w:tab w:val="left" w:pos="-397"/>
                <w:tab w:val="left" w:pos="265"/>
                <w:tab w:val="left" w:pos="7682"/>
              </w:tabs>
              <w:jc w:val="both"/>
            </w:pPr>
            <w:r w:rsidRPr="00F14A4A">
              <w:t xml:space="preserve">   CM – PE 758,939</w:t>
            </w:r>
          </w:p>
          <w:p w:rsidR="00647586" w:rsidRPr="00F14A4A" w:rsidRDefault="00647586">
            <w:pPr>
              <w:widowControl/>
              <w:tabs>
                <w:tab w:val="left" w:pos="-1417"/>
                <w:tab w:val="left" w:pos="-397"/>
                <w:tab w:val="left" w:pos="265"/>
                <w:tab w:val="left" w:pos="7682"/>
              </w:tabs>
              <w:jc w:val="both"/>
            </w:pPr>
            <w:r w:rsidRPr="00F14A4A">
              <w:t xml:space="preserve">   FdR1296298</w:t>
            </w:r>
          </w:p>
          <w:p w:rsidR="00647586" w:rsidRPr="00F14A4A" w:rsidRDefault="00647586">
            <w:pPr>
              <w:widowControl/>
              <w:tabs>
                <w:tab w:val="left" w:pos="-1417"/>
                <w:tab w:val="left" w:pos="-397"/>
                <w:tab w:val="left" w:pos="265"/>
                <w:tab w:val="left" w:pos="7682"/>
              </w:tabs>
              <w:jc w:val="both"/>
              <w:rPr>
                <w:i/>
              </w:rPr>
            </w:pPr>
            <w:r w:rsidRPr="00F14A4A">
              <w:t xml:space="preserve">   </w:t>
            </w:r>
            <w:r w:rsidRPr="00F14A4A">
              <w:rPr>
                <w:i/>
              </w:rPr>
              <w:t>(16/01/2024)</w:t>
            </w:r>
          </w:p>
        </w:tc>
      </w:tr>
      <w:tr w:rsidR="00647586" w:rsidRPr="00F14A4A" w:rsidTr="00647586">
        <w:trPr>
          <w:trHeight w:val="825"/>
        </w:trPr>
        <w:tc>
          <w:tcPr>
            <w:tcW w:w="426" w:type="dxa"/>
          </w:tcPr>
          <w:p w:rsidR="00647586" w:rsidRPr="00F14A4A" w:rsidRDefault="00647586">
            <w:pPr>
              <w:widowControl/>
              <w:tabs>
                <w:tab w:val="left" w:pos="-1417"/>
                <w:tab w:val="left" w:pos="-397"/>
                <w:tab w:val="left" w:pos="601"/>
                <w:tab w:val="left" w:pos="839"/>
                <w:tab w:val="left" w:pos="7682"/>
              </w:tabs>
              <w:ind w:left="426"/>
              <w:jc w:val="both"/>
            </w:pPr>
          </w:p>
        </w:tc>
        <w:tc>
          <w:tcPr>
            <w:tcW w:w="6378" w:type="dxa"/>
          </w:tcPr>
          <w:p w:rsidR="00647586" w:rsidRPr="00F14A4A" w:rsidRDefault="00647586">
            <w:pPr>
              <w:widowControl/>
              <w:tabs>
                <w:tab w:val="left" w:pos="-1417"/>
                <w:tab w:val="left" w:pos="-397"/>
                <w:tab w:val="left" w:pos="601"/>
                <w:tab w:val="left" w:pos="839"/>
                <w:tab w:val="left" w:pos="7682"/>
              </w:tabs>
              <w:jc w:val="both"/>
            </w:pPr>
            <w:r w:rsidRPr="00F14A4A">
              <w:t xml:space="preserve">Petition No 0781/2023 by A.M. (Swedish) on the alleged breach of the General Data Protection Regulation in Sweden </w:t>
            </w:r>
          </w:p>
          <w:p w:rsidR="00647586" w:rsidRPr="00F14A4A" w:rsidRDefault="00647586">
            <w:pPr>
              <w:widowControl/>
              <w:tabs>
                <w:tab w:val="left" w:pos="-1417"/>
                <w:tab w:val="left" w:pos="-397"/>
                <w:tab w:val="left" w:pos="601"/>
                <w:tab w:val="left" w:pos="839"/>
                <w:tab w:val="left" w:pos="7682"/>
              </w:tabs>
              <w:jc w:val="both"/>
              <w:rPr>
                <w:i/>
              </w:rPr>
            </w:pPr>
          </w:p>
        </w:tc>
        <w:tc>
          <w:tcPr>
            <w:tcW w:w="2410" w:type="dxa"/>
          </w:tcPr>
          <w:p w:rsidR="00647586" w:rsidRPr="00F14A4A" w:rsidRDefault="00647586">
            <w:pPr>
              <w:widowControl/>
              <w:tabs>
                <w:tab w:val="left" w:pos="-1417"/>
                <w:tab w:val="left" w:pos="-397"/>
                <w:tab w:val="left" w:pos="601"/>
                <w:tab w:val="left" w:pos="839"/>
                <w:tab w:val="left" w:pos="7682"/>
              </w:tabs>
              <w:jc w:val="both"/>
            </w:pPr>
          </w:p>
        </w:tc>
      </w:tr>
    </w:tbl>
    <w:p w:rsidR="00647586" w:rsidRPr="00F14A4A" w:rsidRDefault="00647586" w:rsidP="00647586">
      <w:pPr>
        <w:tabs>
          <w:tab w:val="left" w:pos="-1417"/>
          <w:tab w:val="left" w:pos="-397"/>
          <w:tab w:val="left" w:pos="839"/>
          <w:tab w:val="left" w:pos="7682"/>
        </w:tabs>
        <w:rPr>
          <w:szCs w:val="24"/>
        </w:rPr>
      </w:pPr>
      <w:r w:rsidRPr="00F14A4A">
        <w:rPr>
          <w:b/>
          <w:szCs w:val="24"/>
          <w:u w:val="single"/>
        </w:rPr>
        <w:t>Speakers</w:t>
      </w:r>
      <w:r w:rsidRPr="00F14A4A">
        <w:rPr>
          <w:szCs w:val="24"/>
        </w:rPr>
        <w:t xml:space="preserve">: </w:t>
      </w:r>
      <w:r w:rsidRPr="00F14A4A">
        <w:t>A.M. (petitioner), Ursula Scheuer (EC JUST), Fredis Beleris, Nils Ušakovs, Pál Szekeres, Michał Kobosko, Gordan Bosanac, Marcin Sypniewski</w:t>
      </w:r>
    </w:p>
    <w:p w:rsidR="00647586" w:rsidRPr="00F14A4A" w:rsidRDefault="00647586" w:rsidP="00647586">
      <w:pPr>
        <w:tabs>
          <w:tab w:val="left" w:pos="-1417"/>
          <w:tab w:val="left" w:pos="-397"/>
          <w:tab w:val="left" w:pos="839"/>
          <w:tab w:val="left" w:pos="7682"/>
        </w:tabs>
        <w:rPr>
          <w:szCs w:val="24"/>
        </w:rPr>
      </w:pPr>
    </w:p>
    <w:p w:rsidR="00647586" w:rsidRPr="00F14A4A" w:rsidRDefault="00647586" w:rsidP="00647586">
      <w:pPr>
        <w:tabs>
          <w:tab w:val="left" w:pos="-1417"/>
          <w:tab w:val="left" w:pos="-397"/>
          <w:tab w:val="left" w:pos="839"/>
          <w:tab w:val="left" w:pos="7682"/>
        </w:tabs>
        <w:rPr>
          <w:u w:val="single"/>
        </w:rPr>
      </w:pPr>
      <w:r w:rsidRPr="00F14A4A">
        <w:rPr>
          <w:b/>
          <w:szCs w:val="24"/>
          <w:u w:val="single"/>
        </w:rPr>
        <w:t>Decision</w:t>
      </w:r>
      <w:r w:rsidRPr="00F14A4A">
        <w:rPr>
          <w:b/>
          <w:szCs w:val="24"/>
        </w:rPr>
        <w:t xml:space="preserve">: </w:t>
      </w:r>
      <w:r w:rsidRPr="00F14A4A">
        <w:rPr>
          <w:szCs w:val="24"/>
        </w:rPr>
        <w:t>Keep the petitions open and ask the Commission for updated written replies</w:t>
      </w:r>
    </w:p>
    <w:p w:rsidR="00647586" w:rsidRPr="00F14A4A" w:rsidRDefault="00647586" w:rsidP="00647586">
      <w:pPr>
        <w:widowControl/>
        <w:rPr>
          <w:b/>
        </w:rPr>
      </w:pPr>
    </w:p>
    <w:p w:rsidR="00647586" w:rsidRPr="00F14A4A" w:rsidRDefault="00647586" w:rsidP="00647586">
      <w:pPr>
        <w:widowControl/>
        <w:tabs>
          <w:tab w:val="left" w:pos="-1417"/>
          <w:tab w:val="left" w:pos="-397"/>
          <w:tab w:val="left" w:pos="426"/>
          <w:tab w:val="left" w:pos="786"/>
          <w:tab w:val="left" w:pos="839"/>
          <w:tab w:val="left" w:pos="7682"/>
        </w:tabs>
        <w:ind w:left="786" w:hanging="786"/>
        <w:jc w:val="both"/>
        <w:rPr>
          <w:b/>
        </w:rPr>
      </w:pPr>
      <w:r w:rsidRPr="00F14A4A">
        <w:rPr>
          <w:b/>
          <w:szCs w:val="24"/>
        </w:rPr>
        <w:t>7.</w:t>
      </w:r>
      <w:r w:rsidRPr="00F14A4A">
        <w:rPr>
          <w:b/>
          <w:szCs w:val="24"/>
        </w:rPr>
        <w:tab/>
      </w:r>
      <w:r w:rsidRPr="00F14A4A">
        <w:rPr>
          <w:b/>
        </w:rPr>
        <w:t>Any other business</w:t>
      </w:r>
    </w:p>
    <w:p w:rsidR="00647586" w:rsidRPr="00F14A4A" w:rsidRDefault="00647586" w:rsidP="00647586">
      <w:pPr>
        <w:widowControl/>
        <w:tabs>
          <w:tab w:val="left" w:pos="-1417"/>
          <w:tab w:val="left" w:pos="-397"/>
          <w:tab w:val="left" w:pos="426"/>
          <w:tab w:val="left" w:pos="839"/>
          <w:tab w:val="left" w:pos="7682"/>
        </w:tabs>
        <w:jc w:val="both"/>
        <w:rPr>
          <w:b/>
        </w:rPr>
      </w:pPr>
    </w:p>
    <w:p w:rsidR="00647586" w:rsidRPr="00F14A4A" w:rsidRDefault="00647586" w:rsidP="00647586">
      <w:pPr>
        <w:widowControl/>
        <w:tabs>
          <w:tab w:val="left" w:pos="-1417"/>
          <w:tab w:val="left" w:pos="-397"/>
          <w:tab w:val="left" w:pos="426"/>
          <w:tab w:val="left" w:pos="839"/>
          <w:tab w:val="left" w:pos="7682"/>
        </w:tabs>
        <w:jc w:val="both"/>
      </w:pPr>
      <w:r w:rsidRPr="00F14A4A">
        <w:t>None.</w:t>
      </w:r>
    </w:p>
    <w:p w:rsidR="00647586" w:rsidRPr="00F14A4A" w:rsidRDefault="00647586" w:rsidP="00647586"/>
    <w:p w:rsidR="00647586" w:rsidRPr="00F14A4A" w:rsidRDefault="00647586" w:rsidP="00647586">
      <w:pPr>
        <w:widowControl/>
        <w:tabs>
          <w:tab w:val="left" w:pos="-1417"/>
          <w:tab w:val="left" w:pos="-397"/>
          <w:tab w:val="left" w:pos="426"/>
          <w:tab w:val="left" w:pos="786"/>
          <w:tab w:val="left" w:pos="839"/>
          <w:tab w:val="left" w:pos="7682"/>
        </w:tabs>
        <w:ind w:left="786" w:hanging="786"/>
        <w:jc w:val="both"/>
        <w:rPr>
          <w:b/>
        </w:rPr>
      </w:pPr>
      <w:r w:rsidRPr="00F14A4A">
        <w:rPr>
          <w:b/>
          <w:szCs w:val="24"/>
        </w:rPr>
        <w:t>8.</w:t>
      </w:r>
      <w:r w:rsidRPr="00F14A4A">
        <w:rPr>
          <w:b/>
          <w:szCs w:val="24"/>
        </w:rPr>
        <w:tab/>
      </w:r>
      <w:r w:rsidRPr="00F14A4A">
        <w:rPr>
          <w:b/>
        </w:rPr>
        <w:t>Date and place of next meeting</w:t>
      </w:r>
    </w:p>
    <w:p w:rsidR="00647586" w:rsidRPr="00F14A4A" w:rsidRDefault="00647586" w:rsidP="00647586">
      <w:pPr>
        <w:widowControl/>
        <w:tabs>
          <w:tab w:val="left" w:pos="-1417"/>
          <w:tab w:val="left" w:pos="-397"/>
          <w:tab w:val="left" w:pos="426"/>
          <w:tab w:val="left" w:pos="839"/>
          <w:tab w:val="left" w:pos="7682"/>
        </w:tabs>
        <w:ind w:left="786"/>
        <w:jc w:val="both"/>
        <w:rPr>
          <w:b/>
        </w:rPr>
      </w:pPr>
    </w:p>
    <w:p w:rsidR="00647586" w:rsidRPr="00F14A4A" w:rsidRDefault="00647586" w:rsidP="00647586">
      <w:pPr>
        <w:widowControl/>
        <w:tabs>
          <w:tab w:val="left" w:pos="-1417"/>
          <w:tab w:val="left" w:pos="-397"/>
          <w:tab w:val="left" w:pos="601"/>
          <w:tab w:val="left" w:pos="839"/>
          <w:tab w:val="left" w:pos="7682"/>
        </w:tabs>
        <w:ind w:left="720" w:hanging="360"/>
        <w:jc w:val="both"/>
      </w:pPr>
      <w:r w:rsidRPr="00F14A4A">
        <w:rPr>
          <w:rFonts w:ascii="Symbol" w:hAnsi="Symbol"/>
          <w:lang w:eastAsia="en-GB"/>
        </w:rPr>
        <w:t></w:t>
      </w:r>
      <w:r w:rsidRPr="00F14A4A">
        <w:rPr>
          <w:rFonts w:ascii="Symbol" w:hAnsi="Symbol"/>
          <w:lang w:eastAsia="en-GB"/>
        </w:rPr>
        <w:tab/>
      </w:r>
      <w:r w:rsidRPr="00F14A4A">
        <w:t>Thursday 14 November 2024, 14.30 – 18.30 (Brussels)</w:t>
      </w:r>
    </w:p>
    <w:p w:rsidR="00647586" w:rsidRPr="00F14A4A" w:rsidRDefault="00647586" w:rsidP="00647586">
      <w:pPr>
        <w:widowControl/>
        <w:tabs>
          <w:tab w:val="left" w:pos="-1417"/>
          <w:tab w:val="left" w:pos="-397"/>
          <w:tab w:val="left" w:pos="601"/>
          <w:tab w:val="left" w:pos="839"/>
          <w:tab w:val="left" w:pos="7682"/>
        </w:tabs>
        <w:spacing w:after="240"/>
        <w:ind w:left="720" w:hanging="360"/>
        <w:jc w:val="both"/>
      </w:pPr>
      <w:r w:rsidRPr="00F14A4A">
        <w:rPr>
          <w:rFonts w:ascii="Symbol" w:hAnsi="Symbol"/>
          <w:lang w:eastAsia="en-GB"/>
        </w:rPr>
        <w:t></w:t>
      </w:r>
      <w:r w:rsidRPr="00F14A4A">
        <w:rPr>
          <w:rFonts w:ascii="Symbol" w:hAnsi="Symbol"/>
          <w:lang w:eastAsia="en-GB"/>
        </w:rPr>
        <w:tab/>
      </w:r>
      <w:r w:rsidRPr="00F14A4A">
        <w:t>Monday 18 November 2024, 15.00 – 18.30 (Brussels)</w:t>
      </w:r>
    </w:p>
    <w:p w:rsidR="00647586" w:rsidRPr="00F14A4A" w:rsidRDefault="00647586" w:rsidP="00647586">
      <w:pPr>
        <w:widowControl/>
        <w:tabs>
          <w:tab w:val="left" w:pos="-1417"/>
          <w:tab w:val="left" w:pos="-397"/>
          <w:tab w:val="left" w:pos="601"/>
          <w:tab w:val="left" w:pos="839"/>
          <w:tab w:val="left" w:pos="7682"/>
        </w:tabs>
        <w:spacing w:after="240"/>
        <w:jc w:val="center"/>
        <w:rPr>
          <w:i/>
        </w:rPr>
      </w:pPr>
      <w:r w:rsidRPr="00F14A4A">
        <w:rPr>
          <w:i/>
        </w:rPr>
        <w:t>The meeting closed at 16:14</w:t>
      </w:r>
    </w:p>
    <w:p w:rsidR="00647586" w:rsidRPr="00F14A4A" w:rsidRDefault="00647586" w:rsidP="00647586">
      <w:pPr>
        <w:spacing w:before="240"/>
        <w:jc w:val="center"/>
      </w:pPr>
      <w:r w:rsidRPr="00F14A4A">
        <w:t>* * *</w:t>
      </w:r>
    </w:p>
    <w:p w:rsidR="00647586" w:rsidRPr="00F14A4A" w:rsidRDefault="00647586" w:rsidP="00647586">
      <w:pPr>
        <w:spacing w:before="240"/>
        <w:jc w:val="center"/>
      </w:pPr>
    </w:p>
    <w:p w:rsidR="00647586" w:rsidRPr="00F14A4A" w:rsidRDefault="00647586" w:rsidP="00647586">
      <w:pPr>
        <w:spacing w:before="240"/>
        <w:jc w:val="center"/>
      </w:pPr>
    </w:p>
    <w:p w:rsidR="00647586" w:rsidRPr="00F14A4A" w:rsidRDefault="00647586" w:rsidP="00647586">
      <w:pPr>
        <w:widowControl/>
        <w:tabs>
          <w:tab w:val="left" w:pos="-1843"/>
          <w:tab w:val="left" w:pos="-1417"/>
          <w:tab w:val="left" w:pos="-397"/>
          <w:tab w:val="left" w:pos="426"/>
          <w:tab w:val="left" w:pos="839"/>
          <w:tab w:val="left" w:pos="7682"/>
        </w:tabs>
        <w:rPr>
          <w:b/>
        </w:rPr>
      </w:pPr>
      <w:r w:rsidRPr="00F14A4A">
        <w:rPr>
          <w:b/>
        </w:rPr>
        <w:t>B.</w:t>
      </w:r>
      <w:r w:rsidRPr="00F14A4A">
        <w:rPr>
          <w:b/>
        </w:rPr>
        <w:tab/>
        <w:t>Petitions which it is proposed to close in the light of the Commission's written reply or other documents received</w:t>
      </w:r>
    </w:p>
    <w:p w:rsidR="00647586" w:rsidRPr="00F14A4A" w:rsidRDefault="00647586" w:rsidP="00647586">
      <w:pPr>
        <w:widowControl/>
        <w:tabs>
          <w:tab w:val="left" w:pos="-1843"/>
          <w:tab w:val="left" w:pos="-1417"/>
          <w:tab w:val="left" w:pos="-397"/>
          <w:tab w:val="left" w:pos="426"/>
          <w:tab w:val="left" w:pos="839"/>
          <w:tab w:val="left" w:pos="7682"/>
        </w:tabs>
        <w:rPr>
          <w:b/>
        </w:rPr>
      </w:pPr>
    </w:p>
    <w:p w:rsidR="00647586" w:rsidRPr="00F14A4A" w:rsidRDefault="00647586" w:rsidP="00647586">
      <w:pPr>
        <w:widowControl/>
        <w:tabs>
          <w:tab w:val="left" w:pos="-1843"/>
          <w:tab w:val="left" w:pos="-1417"/>
          <w:tab w:val="left" w:pos="-397"/>
          <w:tab w:val="left" w:pos="426"/>
          <w:tab w:val="left" w:pos="839"/>
          <w:tab w:val="left" w:pos="7682"/>
        </w:tabs>
      </w:pPr>
      <w:r w:rsidRPr="00F14A4A">
        <w:t>The following petitions will remain closed:</w:t>
      </w:r>
    </w:p>
    <w:p w:rsidR="00647586" w:rsidRPr="00F14A4A" w:rsidRDefault="00647586" w:rsidP="00647586">
      <w:pPr>
        <w:widowControl/>
        <w:tabs>
          <w:tab w:val="left" w:pos="-1843"/>
          <w:tab w:val="left" w:pos="-1417"/>
          <w:tab w:val="left" w:pos="-397"/>
          <w:tab w:val="left" w:pos="426"/>
          <w:tab w:val="left" w:pos="839"/>
          <w:tab w:val="left" w:pos="7682"/>
        </w:tabs>
        <w:rPr>
          <w:b/>
        </w:rPr>
      </w:pPr>
    </w:p>
    <w:p w:rsidR="00647586" w:rsidRPr="00F14A4A" w:rsidRDefault="00647586" w:rsidP="00647586">
      <w:r w:rsidRPr="00F14A4A">
        <w:t>2191/2013, 0098/2015, 0757/2015, 1084/2017, 0878/2018, 0397/2019, 0155/2020, 0331/2022, 0719/2022, 0821/2022, 1121/2022, 0092/2023, 0126/2023, 0156/2023, 0650/2023, 0760/2023, 0762/2023, 0792/2023, 0922/2023, 0972/2023, 1000/2023, 1167/2023, 1212/2023, 1217/2023, 1227/2023, 1260/2023, 1262/2023, 1283/2023, 1321/2023, 1331/2023, 1381/2023, 1384/2023, 1386/2023, 1397/2023, 0012/2024, 0030/2024, 0042/2024, 0075/2024, 0105/2024, 0119/2024, 0121/2024, 0220/2024, 0235/2024, 0370/2024.</w:t>
      </w:r>
    </w:p>
    <w:p w:rsidR="00647586" w:rsidRPr="00F14A4A" w:rsidRDefault="00647586" w:rsidP="00647586">
      <w:pPr>
        <w:widowControl/>
        <w:tabs>
          <w:tab w:val="left" w:pos="-1843"/>
          <w:tab w:val="left" w:pos="-1417"/>
          <w:tab w:val="left" w:pos="-397"/>
          <w:tab w:val="left" w:pos="426"/>
          <w:tab w:val="left" w:pos="839"/>
          <w:tab w:val="left" w:pos="7682"/>
        </w:tabs>
        <w:rPr>
          <w:b/>
        </w:rPr>
      </w:pPr>
    </w:p>
    <w:p w:rsidR="00647586" w:rsidRPr="00F14A4A" w:rsidRDefault="00647586" w:rsidP="00647586">
      <w:pPr>
        <w:widowControl/>
        <w:tabs>
          <w:tab w:val="left" w:pos="-1843"/>
          <w:tab w:val="left" w:pos="-1417"/>
          <w:tab w:val="left" w:pos="-397"/>
          <w:tab w:val="left" w:pos="426"/>
          <w:tab w:val="left" w:pos="839"/>
          <w:tab w:val="left" w:pos="7682"/>
        </w:tabs>
      </w:pPr>
      <w:r w:rsidRPr="00F14A4A">
        <w:t>The following petitions will remain open:</w:t>
      </w:r>
    </w:p>
    <w:p w:rsidR="00647586" w:rsidRPr="00F14A4A" w:rsidRDefault="00647586" w:rsidP="00647586">
      <w:pPr>
        <w:pStyle w:val="PVxIndent"/>
      </w:pPr>
    </w:p>
    <w:p w:rsidR="00647586" w:rsidRPr="00F14A4A" w:rsidRDefault="00647586" w:rsidP="00647586">
      <w:r w:rsidRPr="00F14A4A">
        <w:t xml:space="preserve">1567/2009, 1956/2012, 0032/2014, 1107/2011, 0917/2013, 0001/2016, 0620/2018, 0721/2014, 0336/2012, 1141/2014, 0694/2015, 0355/2019, 1085/2017, 1134/2019, 1321/2021, 0855/2022, 0932/2022, 0742/2023, 1025/2023, 1238/2023, 1401/2023, 1431/2023, 0131/2024. </w:t>
      </w:r>
    </w:p>
    <w:p w:rsidR="00647586" w:rsidRPr="00F14A4A" w:rsidRDefault="00647586" w:rsidP="00647586">
      <w:pPr>
        <w:pStyle w:val="PVxIndent"/>
        <w:ind w:left="0"/>
      </w:pPr>
    </w:p>
    <w:p w:rsidR="00647586" w:rsidRPr="00F14A4A" w:rsidRDefault="00647586" w:rsidP="00647586">
      <w:pPr>
        <w:ind w:right="1133"/>
        <w:jc w:val="both"/>
      </w:pPr>
      <w:r w:rsidRPr="00F14A4A">
        <w:t>Coordinators at their meeting held on 4 September took note of the procedure related to the B items, together with the B items for which petitioners failed to provide additional information within two months, so the following petitions were closed in accordance with PETI Guidelines:</w:t>
      </w:r>
    </w:p>
    <w:p w:rsidR="00647586" w:rsidRPr="00F14A4A" w:rsidRDefault="00647586" w:rsidP="00647586">
      <w:pPr>
        <w:ind w:right="991"/>
      </w:pPr>
    </w:p>
    <w:p w:rsidR="00647586" w:rsidRPr="00F14A4A" w:rsidRDefault="00647586" w:rsidP="00647586">
      <w:pPr>
        <w:ind w:right="991"/>
      </w:pPr>
      <w:r w:rsidRPr="00F14A4A">
        <w:t>0902/2018, 0080/2019, 1205/2011, 1209/2011, 1540/2014, 1541/2014, 1542/2014, 1543/2014, 1544/2014, 1644/2014, 1662/2014, 1665/2014, 1666/2014, 1667/2014, 1668/2014, 1829/2014, 1830/2014, 0144/2016, 0388/2022, 0391/2022, 0408/2022, 0792/2019, 0814/2019, 0989/2020, 0342/2023, 0694/2023, 0750/2023.</w:t>
      </w:r>
    </w:p>
    <w:p w:rsidR="00647586" w:rsidRPr="00F14A4A" w:rsidRDefault="00647586" w:rsidP="00647586">
      <w:pPr>
        <w:ind w:right="991"/>
      </w:pPr>
    </w:p>
    <w:p w:rsidR="00647586" w:rsidRPr="00F14A4A" w:rsidRDefault="00647586" w:rsidP="00647586">
      <w:pPr>
        <w:rPr>
          <w:b/>
          <w:szCs w:val="24"/>
        </w:rPr>
      </w:pPr>
      <w:r w:rsidRPr="00F14A4A">
        <w:rPr>
          <w:b/>
          <w:szCs w:val="24"/>
        </w:rPr>
        <w:t>List of petitions declared admissible since the last meeting of the Committee on Petitions on 4 September 2024 until 30 September 2024</w:t>
      </w:r>
    </w:p>
    <w:p w:rsidR="00647586" w:rsidRPr="00F14A4A" w:rsidRDefault="00647586" w:rsidP="00647586">
      <w:pPr>
        <w:ind w:right="991"/>
      </w:pPr>
    </w:p>
    <w:p w:rsidR="00647586" w:rsidRPr="00F14A4A" w:rsidRDefault="00647586" w:rsidP="00647586">
      <w:pPr>
        <w:ind w:right="991"/>
      </w:pPr>
      <w:r w:rsidRPr="00F14A4A">
        <w:t>0500/2024, 0506/2024, 0507/2024, 0511/2024, 0513/2024, 0514/2024, 0515/2024, 0516/2024, 0519/2024, 0521/2024, 0522/2024, 0523/2024, 0526/2024, 0527/2024, 0528/2024, 0529/2024, 0530/2024, 0532/2024, 0534/2024, 0541/2024, 0544/2024, 0545/2024, 0546/2024, 0554/2024, 0560/2024, 0565/2024, 0566/2024, 0567/2024, 0568/2024, 0569/2024, 0570/2024, 0571/2024, 0572/2024, 0573/2024, 0574/2024.</w:t>
      </w:r>
    </w:p>
    <w:p w:rsidR="00647586" w:rsidRPr="00F14A4A" w:rsidRDefault="00647586" w:rsidP="00647586">
      <w:pPr>
        <w:spacing w:before="240"/>
        <w:jc w:val="center"/>
      </w:pPr>
      <w:r w:rsidRPr="00F14A4A">
        <w:t>* * *</w:t>
      </w:r>
    </w:p>
    <w:p w:rsidR="00647586" w:rsidRPr="00F14A4A" w:rsidRDefault="00647586" w:rsidP="00647586">
      <w:pPr>
        <w:ind w:right="991"/>
      </w:pPr>
    </w:p>
    <w:p w:rsidR="00647586" w:rsidRPr="00F14A4A" w:rsidRDefault="00647586" w:rsidP="00647586">
      <w:pPr>
        <w:widowControl/>
        <w:spacing w:after="200"/>
        <w:ind w:left="284" w:hanging="284"/>
        <w:jc w:val="both"/>
        <w:rPr>
          <w:rFonts w:eastAsia="Calibri"/>
          <w:b/>
          <w:szCs w:val="24"/>
        </w:rPr>
      </w:pPr>
      <w:r w:rsidRPr="00F14A4A">
        <w:rPr>
          <w:rFonts w:eastAsia="Calibri"/>
          <w:b/>
          <w:szCs w:val="24"/>
        </w:rPr>
        <w:t xml:space="preserve">List 3 of petitions considered potentially non-compliant with the provisions of Art. 227 TFEU. </w:t>
      </w:r>
    </w:p>
    <w:p w:rsidR="00647586" w:rsidRPr="00F14A4A" w:rsidRDefault="00647586" w:rsidP="00647586">
      <w:pPr>
        <w:pStyle w:val="ListParagraph"/>
        <w:widowControl/>
        <w:spacing w:after="200"/>
        <w:ind w:left="0"/>
        <w:jc w:val="both"/>
        <w:rPr>
          <w:rFonts w:eastAsia="Calibri"/>
          <w:b/>
          <w:szCs w:val="24"/>
        </w:rPr>
      </w:pPr>
      <w:r w:rsidRPr="00F14A4A">
        <w:rPr>
          <w:rFonts w:eastAsia="Calibri"/>
          <w:b/>
          <w:szCs w:val="24"/>
        </w:rPr>
        <w:t>I. List 3 concerning petitions 0497/2024 to 0788/2024 of 23 July 2024.</w:t>
      </w:r>
    </w:p>
    <w:p w:rsidR="00647586" w:rsidRPr="00F14A4A" w:rsidRDefault="00647586" w:rsidP="00647586">
      <w:pPr>
        <w:widowControl/>
        <w:spacing w:after="200"/>
        <w:ind w:left="284"/>
        <w:jc w:val="both"/>
        <w:rPr>
          <w:rFonts w:eastAsia="Calibri"/>
          <w:i/>
          <w:szCs w:val="24"/>
        </w:rPr>
      </w:pPr>
      <w:r w:rsidRPr="00F14A4A">
        <w:rPr>
          <w:rFonts w:eastAsia="Calibri"/>
          <w:i/>
          <w:szCs w:val="24"/>
        </w:rPr>
        <w:t>1.</w:t>
      </w:r>
      <w:r w:rsidRPr="00F14A4A">
        <w:rPr>
          <w:rFonts w:eastAsia="Calibri"/>
          <w:i/>
          <w:szCs w:val="24"/>
        </w:rPr>
        <w:tab/>
        <w:t>Matters seemingly not coming within the Union’s fields of activity</w:t>
      </w:r>
    </w:p>
    <w:p w:rsidR="00647586" w:rsidRPr="00F14A4A" w:rsidRDefault="00647586" w:rsidP="00647586">
      <w:pPr>
        <w:rPr>
          <w:rFonts w:eastAsia="Calibri"/>
          <w:szCs w:val="24"/>
        </w:rPr>
      </w:pPr>
      <w:r w:rsidRPr="00F14A4A">
        <w:rPr>
          <w:rFonts w:eastAsia="Calibri"/>
          <w:szCs w:val="24"/>
        </w:rPr>
        <w:t>0498/2024, 0504/2024, 0505/2024, 0510/2024, 0512/2024, 0517/2024, 0518/2024, 0520/2024, 0524/2024, 0525/2024, 0533/2024, 0547/2024, 0548/2024, 0549/2024, 0550/2024, 0551/2024, 0552/2024, 0553/2024, 0555/2024, 0556/2024, 0558/2024, 0559/2024, 0564/2024, 0577/2024, 0578/2024, 0580/2024, 0582/2024, 0583/2024, 0593/2024, 0603/2024, 0605/2024, 0611/2024, 0612/2024, 0615/2024, 0617/2024, 0619/2024, 0624/2024, 0625/2024, 0626/2024, 0627/2024, 0628/2024, 0631/2024, 0634/2024, 0637/2024, 0638/2024, 0640/2024, 0647/2024, 0648/2024, 0649/2024, 0650/2024, 0652/2024, 0656/2024, 0657/2024, 0658/2024, 0662/2024, 0672/2024, 0674/2024, 0675/2024, 0676/2024, 0688/2024, 0690/2024, 0692/2024, 0693/2024, 0703/2024, 0704/2024, 0705/2024, 0706/2024, 0707/2024, 0714/2024, 0715/2024, 0717/2024, 0718/2024, 0722/2024, 0724/2024, 0725/2024, 0726/2024, 0730/2024, 0736/2024, 0737/2024, 0740/2024, 0748/2024, 0750/2024, 0761/2024, 0762/2024, 0763/2024, 0764/2024, 0771/2024, 0773/2024, 0778/2024, ,</w:t>
      </w:r>
    </w:p>
    <w:p w:rsidR="00647586" w:rsidRPr="00F14A4A" w:rsidRDefault="00647586" w:rsidP="00647586">
      <w:pPr>
        <w:spacing w:before="8" w:line="180" w:lineRule="exact"/>
        <w:rPr>
          <w:sz w:val="19"/>
          <w:szCs w:val="19"/>
        </w:rPr>
      </w:pPr>
    </w:p>
    <w:p w:rsidR="00647586" w:rsidRPr="00F14A4A" w:rsidRDefault="00647586" w:rsidP="00647586">
      <w:pPr>
        <w:widowControl/>
        <w:spacing w:after="200"/>
        <w:ind w:left="284"/>
        <w:jc w:val="both"/>
        <w:rPr>
          <w:rFonts w:eastAsia="Calibri"/>
          <w:i/>
          <w:szCs w:val="24"/>
        </w:rPr>
      </w:pPr>
      <w:r w:rsidRPr="00F14A4A">
        <w:rPr>
          <w:rFonts w:eastAsia="Calibri"/>
          <w:i/>
          <w:szCs w:val="24"/>
        </w:rPr>
        <w:t>2.</w:t>
      </w:r>
      <w:r w:rsidRPr="00F14A4A">
        <w:rPr>
          <w:rFonts w:eastAsia="Calibri"/>
          <w:i/>
          <w:szCs w:val="24"/>
        </w:rPr>
        <w:tab/>
        <w:t>Lack of substantial elements enabling the identification of the Union’s fields of activity</w:t>
      </w:r>
    </w:p>
    <w:p w:rsidR="00647586" w:rsidRPr="00F14A4A" w:rsidRDefault="00647586" w:rsidP="00647586">
      <w:pPr>
        <w:tabs>
          <w:tab w:val="left" w:pos="851"/>
        </w:tabs>
        <w:spacing w:before="77" w:after="240" w:line="252" w:lineRule="auto"/>
        <w:ind w:right="187"/>
        <w:rPr>
          <w:rFonts w:eastAsia="Calibri"/>
          <w:szCs w:val="24"/>
        </w:rPr>
      </w:pPr>
      <w:r w:rsidRPr="00F14A4A">
        <w:rPr>
          <w:rFonts w:eastAsia="Calibri"/>
          <w:szCs w:val="24"/>
        </w:rPr>
        <w:t>0563/2024, 0585/2024, 0596/2024, 0597/2024, 0598/2024, 0599/2024, 0604/2024, 0616/2024, 0629/2024, 0659/2024, 0774/2024</w:t>
      </w:r>
    </w:p>
    <w:p w:rsidR="00647586" w:rsidRPr="00F14A4A" w:rsidRDefault="00647586" w:rsidP="00647586">
      <w:pPr>
        <w:widowControl/>
        <w:spacing w:after="200"/>
        <w:ind w:left="284"/>
        <w:jc w:val="both"/>
        <w:rPr>
          <w:rFonts w:eastAsia="Calibri"/>
          <w:i/>
          <w:szCs w:val="24"/>
        </w:rPr>
      </w:pPr>
      <w:r w:rsidRPr="00F14A4A">
        <w:rPr>
          <w:rFonts w:eastAsia="Calibri"/>
          <w:i/>
          <w:szCs w:val="24"/>
        </w:rPr>
        <w:t>3.</w:t>
      </w:r>
      <w:r w:rsidRPr="00F14A4A">
        <w:rPr>
          <w:rFonts w:eastAsia="Calibri"/>
          <w:i/>
          <w:szCs w:val="24"/>
        </w:rPr>
        <w:tab/>
        <w:t>Incoherent reasoning with an unclear link to the Union’s fields of activity</w:t>
      </w:r>
    </w:p>
    <w:p w:rsidR="00647586" w:rsidRPr="00F14A4A" w:rsidRDefault="00647586" w:rsidP="00647586">
      <w:pPr>
        <w:tabs>
          <w:tab w:val="left" w:pos="851"/>
        </w:tabs>
        <w:spacing w:before="77" w:after="240" w:line="252" w:lineRule="auto"/>
        <w:ind w:right="187"/>
        <w:rPr>
          <w:rFonts w:eastAsia="Calibri"/>
          <w:szCs w:val="24"/>
        </w:rPr>
      </w:pPr>
      <w:r w:rsidRPr="00F14A4A">
        <w:rPr>
          <w:rFonts w:eastAsia="Calibri"/>
          <w:szCs w:val="24"/>
        </w:rPr>
        <w:t>0499/2024, 0502/2024, 0535/2024, 0536/2024, 0537/2024, 0543/2024, 0562/2024, 0576/2024, 0591/2024, 0600/2024, 0606/2024, 0614/2024, 0620/2024, 0621/2024, 0635/2024, 0641/2024, 0643/2024, 0645/2024, 0646/2024, 0660/2024, 0661/2024, 0664/2024, 0666/2024, 0667/2024, 0719/2024, 0731/2024, 0735/2024, 0746/2024, 0751/2024, 0775/2024, 0781/2024, 0782/2024, 0783/2024, 0784/2024, 0785/2024, 0786/2024,</w:t>
      </w:r>
    </w:p>
    <w:p w:rsidR="00647586" w:rsidRPr="00F14A4A" w:rsidRDefault="00647586" w:rsidP="00647586">
      <w:pPr>
        <w:rPr>
          <w:rFonts w:eastAsia="Arial"/>
          <w:color w:val="333333"/>
          <w:szCs w:val="24"/>
        </w:rPr>
      </w:pPr>
    </w:p>
    <w:p w:rsidR="00647586" w:rsidRPr="00F14A4A" w:rsidRDefault="00647586" w:rsidP="00647586">
      <w:pPr>
        <w:pStyle w:val="ListParagraph"/>
        <w:widowControl/>
        <w:spacing w:after="200"/>
        <w:ind w:left="0"/>
        <w:jc w:val="both"/>
        <w:rPr>
          <w:rFonts w:eastAsia="Calibri"/>
          <w:b/>
          <w:szCs w:val="24"/>
        </w:rPr>
      </w:pPr>
      <w:r w:rsidRPr="00F14A4A">
        <w:rPr>
          <w:rFonts w:eastAsia="Calibri"/>
          <w:b/>
          <w:szCs w:val="24"/>
        </w:rPr>
        <w:t>II. List 3 concerning petitions 0789/2024 to 1037/2024 of 17 September 2024.</w:t>
      </w:r>
    </w:p>
    <w:p w:rsidR="00647586" w:rsidRPr="00F14A4A" w:rsidRDefault="00647586" w:rsidP="00647586">
      <w:pPr>
        <w:widowControl/>
        <w:spacing w:after="200"/>
        <w:ind w:left="284"/>
        <w:jc w:val="both"/>
        <w:rPr>
          <w:rFonts w:eastAsia="Calibri"/>
          <w:i/>
          <w:szCs w:val="24"/>
        </w:rPr>
      </w:pPr>
      <w:r w:rsidRPr="00F14A4A">
        <w:rPr>
          <w:rFonts w:eastAsia="Calibri"/>
          <w:i/>
          <w:szCs w:val="24"/>
        </w:rPr>
        <w:t>1.</w:t>
      </w:r>
      <w:r w:rsidRPr="00F14A4A">
        <w:rPr>
          <w:rFonts w:eastAsia="Calibri"/>
          <w:i/>
          <w:szCs w:val="24"/>
        </w:rPr>
        <w:tab/>
        <w:t>Matters seemingly not coming within the Union’s fields of activity</w:t>
      </w:r>
    </w:p>
    <w:p w:rsidR="00647586" w:rsidRPr="00F14A4A" w:rsidRDefault="00647586" w:rsidP="00647586">
      <w:pPr>
        <w:tabs>
          <w:tab w:val="left" w:pos="851"/>
        </w:tabs>
        <w:spacing w:before="77" w:after="240" w:line="252" w:lineRule="auto"/>
        <w:ind w:right="187"/>
        <w:rPr>
          <w:rFonts w:eastAsia="Calibri"/>
          <w:szCs w:val="24"/>
        </w:rPr>
      </w:pPr>
      <w:r w:rsidRPr="00F14A4A">
        <w:rPr>
          <w:rFonts w:eastAsia="Calibri"/>
          <w:szCs w:val="24"/>
        </w:rPr>
        <w:t>0794/2024, 0805/2024, 0811/2024, 0812/2024, 0816/2024, 0818/2024, 0823/2024, 0831/2024, 0839/2024, 0843/2024, 0844/2024, 0846/2024, 0848/2024, 0850/2024, 0852/2024, 0855/2024, 0857/2024, 0858/2024, 0859/2024, 0863/2024, 0871/2024, 0880/2024, 0881/2024, 0889/2024, 0894/2024, 0897/2024, 0910/2024, 0914/2024, 0918/2024, 0920/2024, 0921/2024, 0927/2024, 0930/2024, 0938/2024, 0959/2024, 0960/2024, 0962/2024, 0963/2024, 0965/2024, 0978/2024, 0979/2024, 0981/2024, 0985/2024, 0993/2024, 1003/2024, 1010/2024, 1012/2024, 1013/2024, 1014/2024, 1020/2024, 1025/2024, 1027/2024, 1032/2024, 1034/2024, 1035/2024</w:t>
      </w:r>
    </w:p>
    <w:p w:rsidR="00647586" w:rsidRPr="00F14A4A" w:rsidRDefault="00647586" w:rsidP="00647586">
      <w:pPr>
        <w:spacing w:before="8" w:line="180" w:lineRule="exact"/>
        <w:rPr>
          <w:sz w:val="19"/>
          <w:szCs w:val="19"/>
        </w:rPr>
      </w:pPr>
    </w:p>
    <w:p w:rsidR="00647586" w:rsidRPr="00F14A4A" w:rsidRDefault="00647586" w:rsidP="00647586">
      <w:pPr>
        <w:widowControl/>
        <w:spacing w:after="200"/>
        <w:ind w:left="284"/>
        <w:jc w:val="both"/>
        <w:rPr>
          <w:rFonts w:eastAsia="Calibri"/>
          <w:i/>
          <w:szCs w:val="24"/>
        </w:rPr>
      </w:pPr>
      <w:r w:rsidRPr="00F14A4A">
        <w:rPr>
          <w:rFonts w:eastAsia="Calibri"/>
          <w:i/>
          <w:szCs w:val="24"/>
        </w:rPr>
        <w:t>2.</w:t>
      </w:r>
      <w:r w:rsidRPr="00F14A4A">
        <w:rPr>
          <w:rFonts w:eastAsia="Calibri"/>
          <w:i/>
          <w:szCs w:val="24"/>
        </w:rPr>
        <w:tab/>
        <w:t>Lack of substantial elements enabling the identification of the Union’s fields of activity</w:t>
      </w:r>
    </w:p>
    <w:p w:rsidR="00647586" w:rsidRPr="00F14A4A" w:rsidRDefault="00647586" w:rsidP="00647586">
      <w:pPr>
        <w:tabs>
          <w:tab w:val="left" w:pos="851"/>
        </w:tabs>
        <w:spacing w:before="77" w:after="240" w:line="252" w:lineRule="auto"/>
        <w:ind w:right="187"/>
        <w:rPr>
          <w:rFonts w:eastAsia="Calibri"/>
          <w:szCs w:val="24"/>
        </w:rPr>
      </w:pPr>
      <w:r w:rsidRPr="00F14A4A">
        <w:rPr>
          <w:rFonts w:eastAsia="Calibri"/>
          <w:szCs w:val="24"/>
        </w:rPr>
        <w:t>0809/2024, 0887/2024, 0911/2024, 0964/2024, 0967/2024, 1002/2024</w:t>
      </w:r>
    </w:p>
    <w:p w:rsidR="00647586" w:rsidRPr="00F14A4A" w:rsidRDefault="00647586" w:rsidP="00647586">
      <w:pPr>
        <w:spacing w:before="34" w:line="240" w:lineRule="exact"/>
        <w:ind w:left="1134" w:hanging="425"/>
        <w:rPr>
          <w:rFonts w:eastAsia="Calibri"/>
          <w:i/>
          <w:szCs w:val="24"/>
        </w:rPr>
      </w:pPr>
    </w:p>
    <w:p w:rsidR="00647586" w:rsidRPr="00F14A4A" w:rsidRDefault="00647586" w:rsidP="00647586">
      <w:pPr>
        <w:widowControl/>
        <w:spacing w:after="200"/>
        <w:ind w:left="284"/>
        <w:jc w:val="both"/>
        <w:rPr>
          <w:rFonts w:eastAsia="Calibri"/>
          <w:i/>
          <w:szCs w:val="24"/>
        </w:rPr>
      </w:pPr>
      <w:r w:rsidRPr="00F14A4A">
        <w:rPr>
          <w:rFonts w:eastAsia="Calibri"/>
          <w:i/>
          <w:szCs w:val="24"/>
        </w:rPr>
        <w:t>3.</w:t>
      </w:r>
      <w:r w:rsidRPr="00F14A4A">
        <w:rPr>
          <w:rFonts w:eastAsia="Calibri"/>
          <w:i/>
          <w:szCs w:val="24"/>
        </w:rPr>
        <w:tab/>
        <w:t>Incoherent reasoning with an unclear link to the Union’s fields of activity</w:t>
      </w:r>
    </w:p>
    <w:p w:rsidR="00647586" w:rsidRPr="00F14A4A" w:rsidRDefault="00647586" w:rsidP="00647586">
      <w:pPr>
        <w:tabs>
          <w:tab w:val="left" w:pos="851"/>
        </w:tabs>
        <w:spacing w:before="77" w:after="240" w:line="252" w:lineRule="auto"/>
        <w:ind w:right="187"/>
        <w:rPr>
          <w:rFonts w:eastAsia="Calibri"/>
          <w:szCs w:val="24"/>
        </w:rPr>
      </w:pPr>
      <w:r w:rsidRPr="00F14A4A">
        <w:rPr>
          <w:rFonts w:eastAsia="Calibri"/>
          <w:szCs w:val="24"/>
        </w:rPr>
        <w:t>0795/2024, 0804/2024, 0820/2024, 0821/2024 , 0822/2024 , 0825/2024, 0826/2024, 0827/2024, 0828/2024, 0829/2024, 0830/2024, 0834/2024, 0849/2024, 0862/2024, 0867/2024, 0868/2024, 0869/2024, 0870/2024, 0872/2024, 0873/2024, 0875/2024, 0876/2024, 0877/2024, 0878/2024, 0879/2024, 0882/2024, 0883/2024, 0884/2024, 0885/2024, 0886/2024, 0890/2024, 0892/2024, 0893/2024, 0896/2024, 0901/2024, 0902/2024, 0903/2024, 0904/2024, 0905/2024, 0906/2024, 0916/2024, 0917/2024, 0923/2024, 0924/2024, 0925/2024, 0926/2024, 0939/2024, 0940/2024, 0973/2024, 0977/2024, 0984/2024, 0987/2024, 0989/2024, 0994/2024, 0996/2024, 1007/2024, 1009/2024, 1028/2024, 1033/2024</w:t>
      </w:r>
    </w:p>
    <w:p w:rsidR="00647586" w:rsidRPr="00F14A4A" w:rsidRDefault="00647586" w:rsidP="00647586">
      <w:pPr>
        <w:spacing w:before="34" w:line="240" w:lineRule="exact"/>
        <w:ind w:left="851" w:hanging="425"/>
        <w:rPr>
          <w:rFonts w:eastAsia="Calibri"/>
          <w:i/>
          <w:szCs w:val="24"/>
        </w:rPr>
      </w:pPr>
    </w:p>
    <w:p w:rsidR="00647586" w:rsidRPr="00F14A4A" w:rsidRDefault="00647586" w:rsidP="00647586">
      <w:pPr>
        <w:widowControl/>
        <w:spacing w:after="240"/>
        <w:rPr>
          <w:rFonts w:eastAsia="Calibri"/>
          <w:szCs w:val="24"/>
        </w:rPr>
      </w:pPr>
      <w:r w:rsidRPr="00F14A4A">
        <w:rPr>
          <w:rFonts w:eastAsia="Calibri"/>
          <w:szCs w:val="24"/>
        </w:rPr>
        <w:t>Petition 1004/2024 was taken out of List 3.</w:t>
      </w:r>
    </w:p>
    <w:p w:rsidR="00647586" w:rsidRPr="00F14A4A" w:rsidRDefault="00647586" w:rsidP="00647586">
      <w:pPr>
        <w:ind w:right="991"/>
      </w:pPr>
    </w:p>
    <w:p w:rsidR="00647586" w:rsidRPr="00F14A4A" w:rsidRDefault="00647586" w:rsidP="00647586">
      <w:pPr>
        <w:ind w:right="991"/>
      </w:pPr>
    </w:p>
    <w:p w:rsidR="00647586" w:rsidRPr="00F14A4A" w:rsidRDefault="00647586" w:rsidP="00647586">
      <w:pPr>
        <w:widowControl/>
        <w:sectPr w:rsidR="00647586" w:rsidRPr="00F14A4A" w:rsidSect="00647586">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pgMar w:top="1134" w:right="1418" w:bottom="1418" w:left="1418" w:header="1134" w:footer="567" w:gutter="0"/>
          <w:cols w:space="720"/>
          <w:titlePg/>
        </w:sectPr>
      </w:pPr>
    </w:p>
    <w:p w:rsidR="00647586" w:rsidRPr="00F14A4A" w:rsidRDefault="00647586" w:rsidP="00647586">
      <w:pPr>
        <w:pStyle w:val="Normal12a"/>
      </w:pPr>
    </w:p>
    <w:p w:rsidR="00647586" w:rsidRPr="00F14A4A" w:rsidRDefault="00647586" w:rsidP="00647586">
      <w:pPr>
        <w:pStyle w:val="Normal12a"/>
      </w:pPr>
    </w:p>
    <w:p w:rsidR="00647586" w:rsidRPr="00F14A4A" w:rsidRDefault="00647586" w:rsidP="00647586"/>
    <w:p w:rsidR="00647586" w:rsidRPr="00F14A4A" w:rsidRDefault="00647586" w:rsidP="00647586">
      <w:pPr>
        <w:widowControl/>
        <w:sectPr w:rsidR="00647586" w:rsidRPr="00F14A4A">
          <w:footnotePr>
            <w:numRestart w:val="eachSect"/>
          </w:footnotePr>
          <w:pgSz w:w="11907" w:h="16840"/>
          <w:pgMar w:top="1134" w:right="1418" w:bottom="1418" w:left="1418" w:header="567" w:footer="567" w:gutter="0"/>
          <w:cols w:space="720"/>
        </w:sectPr>
      </w:pPr>
    </w:p>
    <w:p w:rsidR="00647586" w:rsidRPr="00F14A4A" w:rsidRDefault="00647586" w:rsidP="00647586">
      <w:pPr>
        <w:pStyle w:val="AttendancePVTitle"/>
      </w:pPr>
      <w:r w:rsidRPr="00F14A4A">
        <w:t>ПРИСЪСТВЕН ЛИСТ/LISTA DE ASISTENCIA/PREZENČNÍ LISTINA/DELTAGERLISTE/ ANWESENHEITSLISTE/KOHALOLIJATE NIMEKIRI/ΚΑΤΑΣΤΑΣΗ ΠΑΡΟΝΤΩΝ/RECORD OF ATTENDANCE/ LISTE DE PRÉSENCE/POPIS NAZOČNIH/ELENCO DI PRESENZA/APMEKLĒJUMU REĢISTRS/DALYVIŲ SĄRAŠAS/ JELENLÉTI ÍV/REĠISTRU TA' ATTENDENZA/PRESENTIELIJST/LISTA OBECNOŚCI/LISTA DE PRESENÇAS/ LISTĂ DE PREZENŢĂ/PREZENČNÁ LISTINA/SEZNAM NAVZOČIH/LÄSNÄOLOLISTA/NÄRVAROLISTA</w:t>
      </w:r>
    </w:p>
    <w:tbl>
      <w:tblPr>
        <w:tblW w:w="0" w:type="auto"/>
        <w:tblInd w:w="153" w:type="dxa"/>
        <w:tblBorders>
          <w:top w:val="double" w:sz="2" w:space="0" w:color="000000"/>
          <w:left w:val="double" w:sz="2" w:space="0" w:color="000000"/>
          <w:bottom w:val="double" w:sz="2" w:space="0" w:color="000000"/>
          <w:right w:val="double" w:sz="2" w:space="0" w:color="000000"/>
          <w:insideH w:val="single" w:sz="2" w:space="0" w:color="auto"/>
          <w:insideV w:val="single" w:sz="4" w:space="0" w:color="auto"/>
        </w:tblBorders>
        <w:tblLayout w:type="fixed"/>
        <w:tblCellMar>
          <w:left w:w="153" w:type="dxa"/>
          <w:right w:w="153" w:type="dxa"/>
        </w:tblCellMar>
        <w:tblLook w:val="04A0" w:firstRow="1" w:lastRow="0" w:firstColumn="1" w:lastColumn="0" w:noHBand="0" w:noVBand="1"/>
      </w:tblPr>
      <w:tblGrid>
        <w:gridCol w:w="9072"/>
      </w:tblGrid>
      <w:tr w:rsidR="00647586" w:rsidRPr="00F14A4A" w:rsidTr="00647586">
        <w:trPr>
          <w:cantSplit/>
        </w:trPr>
        <w:tc>
          <w:tcPr>
            <w:tcW w:w="9072" w:type="dxa"/>
            <w:tcBorders>
              <w:top w:val="double" w:sz="2" w:space="0" w:color="000000"/>
              <w:left w:val="double" w:sz="2" w:space="0" w:color="000000"/>
              <w:bottom w:val="single" w:sz="2" w:space="0" w:color="auto"/>
              <w:right w:val="double" w:sz="2" w:space="0" w:color="000000"/>
            </w:tcBorders>
            <w:shd w:val="pct10" w:color="000000" w:fill="FFFFFF"/>
            <w:hideMark/>
          </w:tcPr>
          <w:p w:rsidR="00647586" w:rsidRPr="00F14A4A" w:rsidRDefault="00647586">
            <w:pPr>
              <w:pStyle w:val="AttendancePVTable"/>
            </w:pPr>
            <w:r w:rsidRPr="00F14A4A">
              <w:t>Бюро/Mesa/Předsednictvo/Formandskabet/Vorstand/Juhatus/Προεδρείο/Bureau/Predsjedništvo/Ufficio di presidenza/Prezidijs/ Biuras/Elnökség/Prezydium/Birou/Predsedníctvo/Predsedstvo/Puheenjohtajisto/Presidiet (*)</w:t>
            </w:r>
          </w:p>
        </w:tc>
      </w:tr>
      <w:tr w:rsidR="00647586" w:rsidRPr="00F14A4A" w:rsidTr="00647586">
        <w:trPr>
          <w:cantSplit/>
          <w:trHeight w:val="720"/>
        </w:trPr>
        <w:tc>
          <w:tcPr>
            <w:tcW w:w="9072" w:type="dxa"/>
            <w:tcBorders>
              <w:top w:val="single" w:sz="2" w:space="0" w:color="auto"/>
              <w:left w:val="double" w:sz="2" w:space="0" w:color="000000"/>
              <w:bottom w:val="single" w:sz="2" w:space="0" w:color="auto"/>
              <w:right w:val="double" w:sz="2" w:space="0" w:color="000000"/>
            </w:tcBorders>
            <w:shd w:val="clear" w:color="auto" w:fill="FFFFFF"/>
            <w:hideMark/>
          </w:tcPr>
          <w:p w:rsidR="00647586" w:rsidRPr="00F14A4A" w:rsidRDefault="00647586">
            <w:pPr>
              <w:pStyle w:val="AttendancePVTable"/>
            </w:pPr>
            <w:r w:rsidRPr="00F14A4A">
              <w:t>Bogdan Rzońca</w:t>
            </w:r>
          </w:p>
        </w:tc>
      </w:tr>
      <w:tr w:rsidR="00647586" w:rsidRPr="00F14A4A" w:rsidTr="00647586">
        <w:trPr>
          <w:cantSplit/>
        </w:trPr>
        <w:tc>
          <w:tcPr>
            <w:tcW w:w="9072" w:type="dxa"/>
            <w:tcBorders>
              <w:top w:val="single" w:sz="2" w:space="0" w:color="auto"/>
              <w:left w:val="double" w:sz="2" w:space="0" w:color="000000"/>
              <w:bottom w:val="single" w:sz="2" w:space="0" w:color="auto"/>
              <w:right w:val="double" w:sz="2" w:space="0" w:color="000000"/>
            </w:tcBorders>
            <w:shd w:val="pct10" w:color="000000" w:fill="FFFFFF"/>
            <w:hideMark/>
          </w:tcPr>
          <w:p w:rsidR="00647586" w:rsidRPr="00F14A4A" w:rsidRDefault="00647586">
            <w:pPr>
              <w:pStyle w:val="AttendancePVTable"/>
            </w:pPr>
            <w:r w:rsidRPr="00F14A4A">
              <w:t>Членове/Diputados/Poslanci/Medlemmer/Mitglieder/Parlamendiliikmed/Βουλευτές/Members/Députés/Zastupnici/Deputati/Deputāti/ Nariai/Képviselõk/Membri/Leden/Posłowie/Deputados/Deputaţi/Jäsenet/Ledamöter</w:t>
            </w:r>
          </w:p>
        </w:tc>
      </w:tr>
      <w:tr w:rsidR="00647586" w:rsidRPr="00F14A4A" w:rsidTr="00647586">
        <w:trPr>
          <w:cantSplit/>
          <w:trHeight w:val="1200"/>
        </w:trPr>
        <w:tc>
          <w:tcPr>
            <w:tcW w:w="9072" w:type="dxa"/>
            <w:tcBorders>
              <w:top w:val="single" w:sz="2" w:space="0" w:color="auto"/>
              <w:left w:val="double" w:sz="2" w:space="0" w:color="000000"/>
              <w:bottom w:val="single" w:sz="2" w:space="0" w:color="auto"/>
              <w:right w:val="double" w:sz="2" w:space="0" w:color="000000"/>
            </w:tcBorders>
            <w:shd w:val="clear" w:color="auto" w:fill="FFFFFF"/>
            <w:hideMark/>
          </w:tcPr>
          <w:p w:rsidR="00647586" w:rsidRPr="00F14A4A" w:rsidRDefault="00647586">
            <w:pPr>
              <w:pStyle w:val="AttendancePVTable"/>
            </w:pPr>
            <w:r w:rsidRPr="00F14A4A">
              <w:t>Peter Agius, Fredis Beleris, Alma Ezcurra Almansa, Michał Kobosko, Sebastian Kruis, Alexandra Mehnert, Ana Miranda Paz, Lefteris Nikolaou</w:t>
            </w:r>
            <w:r w:rsidRPr="00F14A4A">
              <w:noBreakHyphen/>
              <w:t>Alavanos, Cynthia Ní Mhurchú, Valentina Palmisano, Bogdan Rzońca, Marcin Sypniewski, Pál Szekeres, Nils Ušakovs, Maria Zacharia</w:t>
            </w:r>
          </w:p>
        </w:tc>
      </w:tr>
      <w:tr w:rsidR="00647586" w:rsidRPr="00F14A4A" w:rsidTr="00647586">
        <w:trPr>
          <w:cantSplit/>
        </w:trPr>
        <w:tc>
          <w:tcPr>
            <w:tcW w:w="9072" w:type="dxa"/>
            <w:tcBorders>
              <w:top w:val="single" w:sz="2" w:space="0" w:color="auto"/>
              <w:left w:val="double" w:sz="2" w:space="0" w:color="000000"/>
              <w:bottom w:val="single" w:sz="2" w:space="0" w:color="auto"/>
              <w:right w:val="double" w:sz="2" w:space="0" w:color="000000"/>
            </w:tcBorders>
            <w:shd w:val="pct10" w:color="000000" w:fill="FFFFFF"/>
            <w:hideMark/>
          </w:tcPr>
          <w:p w:rsidR="00647586" w:rsidRPr="00F14A4A" w:rsidRDefault="00647586">
            <w:pPr>
              <w:pStyle w:val="AttendancePVTable"/>
            </w:pPr>
            <w:r w:rsidRPr="00F14A4A">
              <w:t>Заместници/Suplentes/Náhradníci/Stedfortrædere/Stellvertreter/Asendusliikmed/Αναπληρωτές/Substitutes/Suppléants/Zamjenici/ Supplenti/Aizstājēji/Pavaduojantysnariai/Póttagok/Sostituti/Plaatsvervangers/Zastępcy/Membros suplentes/Supleanţi/Náhradníci/ Namestniki/Varajäsenet/Suppleanter</w:t>
            </w:r>
          </w:p>
        </w:tc>
      </w:tr>
      <w:tr w:rsidR="00647586" w:rsidRPr="00F14A4A" w:rsidTr="00647586">
        <w:trPr>
          <w:cantSplit/>
          <w:trHeight w:val="1200"/>
        </w:trPr>
        <w:tc>
          <w:tcPr>
            <w:tcW w:w="9072" w:type="dxa"/>
            <w:tcBorders>
              <w:top w:val="single" w:sz="2" w:space="0" w:color="auto"/>
              <w:left w:val="double" w:sz="2" w:space="0" w:color="000000"/>
              <w:bottom w:val="double" w:sz="2" w:space="0" w:color="000000"/>
              <w:right w:val="double" w:sz="2" w:space="0" w:color="000000"/>
            </w:tcBorders>
            <w:shd w:val="clear" w:color="auto" w:fill="FFFFFF"/>
            <w:hideMark/>
          </w:tcPr>
          <w:p w:rsidR="00647586" w:rsidRPr="00F14A4A" w:rsidRDefault="00647586">
            <w:pPr>
              <w:pStyle w:val="AttendancePVTable"/>
            </w:pPr>
            <w:r w:rsidRPr="00F14A4A">
              <w:t>Alex Agius Saliba, Gordan Bosanac, Dóra Dávid, Virginie Joron, Fidias Panayiotou, Nikos Pappas, Kosma Złotowski</w:t>
            </w:r>
          </w:p>
        </w:tc>
      </w:tr>
    </w:tbl>
    <w:p w:rsidR="00647586" w:rsidRPr="00F14A4A" w:rsidRDefault="00647586" w:rsidP="00647586">
      <w:pPr>
        <w:pStyle w:val="AttendancePV"/>
      </w:pPr>
    </w:p>
    <w:p w:rsidR="00647586" w:rsidRPr="00F14A4A" w:rsidRDefault="00647586" w:rsidP="00647586">
      <w:pPr>
        <w:pStyle w:val="AttendancePV"/>
      </w:pPr>
    </w:p>
    <w:p w:rsidR="00647586" w:rsidRPr="00F14A4A" w:rsidRDefault="00647586" w:rsidP="00647586">
      <w:pPr>
        <w:pStyle w:val="AttendancePV"/>
      </w:pPr>
    </w:p>
    <w:tbl>
      <w:tblPr>
        <w:tblW w:w="0" w:type="auto"/>
        <w:tblInd w:w="153"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53" w:type="dxa"/>
          <w:right w:w="153" w:type="dxa"/>
        </w:tblCellMar>
        <w:tblLook w:val="04A0" w:firstRow="1" w:lastRow="0" w:firstColumn="1" w:lastColumn="0" w:noHBand="0" w:noVBand="1"/>
      </w:tblPr>
      <w:tblGrid>
        <w:gridCol w:w="7513"/>
        <w:gridCol w:w="1559"/>
      </w:tblGrid>
      <w:tr w:rsidR="00647586" w:rsidRPr="00F14A4A" w:rsidTr="00647586">
        <w:trPr>
          <w:cantSplit/>
        </w:trPr>
        <w:tc>
          <w:tcPr>
            <w:tcW w:w="9072" w:type="dxa"/>
            <w:gridSpan w:val="2"/>
            <w:tcBorders>
              <w:top w:val="double" w:sz="2" w:space="0" w:color="000000"/>
              <w:left w:val="double" w:sz="2" w:space="0" w:color="000000"/>
              <w:bottom w:val="single" w:sz="2" w:space="0" w:color="000000"/>
              <w:right w:val="double" w:sz="2" w:space="0" w:color="000000"/>
            </w:tcBorders>
            <w:shd w:val="pct10" w:color="000000" w:fill="FFFFFF"/>
            <w:hideMark/>
          </w:tcPr>
          <w:p w:rsidR="00647586" w:rsidRPr="00F14A4A" w:rsidRDefault="00647586">
            <w:pPr>
              <w:pStyle w:val="AttendancePVTable"/>
            </w:pPr>
            <w:r w:rsidRPr="00F14A4A">
              <w:t>216 (7)</w:t>
            </w:r>
          </w:p>
        </w:tc>
      </w:tr>
      <w:tr w:rsidR="00647586" w:rsidRPr="00F14A4A" w:rsidTr="00647586">
        <w:trPr>
          <w:cantSplit/>
          <w:trHeight w:val="720"/>
        </w:trPr>
        <w:tc>
          <w:tcPr>
            <w:tcW w:w="9072" w:type="dxa"/>
            <w:gridSpan w:val="2"/>
            <w:tcBorders>
              <w:top w:val="single" w:sz="2" w:space="0" w:color="000000"/>
              <w:left w:val="double" w:sz="2" w:space="0" w:color="000000"/>
              <w:bottom w:val="single" w:sz="2" w:space="0" w:color="000000"/>
              <w:right w:val="double" w:sz="2" w:space="0" w:color="000000"/>
            </w:tcBorders>
          </w:tcPr>
          <w:p w:rsidR="00647586" w:rsidRPr="00F14A4A" w:rsidRDefault="00647586">
            <w:pPr>
              <w:pStyle w:val="AttendancePVTable"/>
            </w:pPr>
          </w:p>
        </w:tc>
      </w:tr>
      <w:tr w:rsidR="00647586" w:rsidRPr="00F14A4A" w:rsidTr="00647586">
        <w:trPr>
          <w:cantSplit/>
        </w:trPr>
        <w:tc>
          <w:tcPr>
            <w:tcW w:w="9072" w:type="dxa"/>
            <w:gridSpan w:val="2"/>
            <w:tcBorders>
              <w:top w:val="single" w:sz="2" w:space="0" w:color="000000"/>
              <w:left w:val="double" w:sz="2" w:space="0" w:color="000000"/>
              <w:bottom w:val="single" w:sz="2" w:space="0" w:color="000000"/>
              <w:right w:val="double" w:sz="2" w:space="0" w:color="000000"/>
            </w:tcBorders>
            <w:shd w:val="pct10" w:color="000000" w:fill="FFFFFF"/>
            <w:hideMark/>
          </w:tcPr>
          <w:p w:rsidR="00647586" w:rsidRPr="00F14A4A" w:rsidRDefault="00647586">
            <w:pPr>
              <w:pStyle w:val="AttendancePVTable"/>
            </w:pPr>
            <w:r w:rsidRPr="00F14A4A">
              <w:t>222 (3)</w:t>
            </w:r>
          </w:p>
        </w:tc>
      </w:tr>
      <w:tr w:rsidR="00647586" w:rsidRPr="00F14A4A" w:rsidTr="00647586">
        <w:trPr>
          <w:cantSplit/>
          <w:trHeight w:val="720"/>
        </w:trPr>
        <w:tc>
          <w:tcPr>
            <w:tcW w:w="9072" w:type="dxa"/>
            <w:gridSpan w:val="2"/>
            <w:tcBorders>
              <w:top w:val="single" w:sz="2" w:space="0" w:color="000000"/>
              <w:left w:val="double" w:sz="2" w:space="0" w:color="000000"/>
              <w:bottom w:val="single" w:sz="2" w:space="0" w:color="000000"/>
              <w:right w:val="double" w:sz="2" w:space="0" w:color="000000"/>
            </w:tcBorders>
            <w:hideMark/>
          </w:tcPr>
          <w:p w:rsidR="00647586" w:rsidRPr="00F14A4A" w:rsidRDefault="00647586">
            <w:pPr>
              <w:pStyle w:val="AttendancePVTable"/>
            </w:pPr>
            <w:r w:rsidRPr="00F14A4A">
              <w:t>Lukas Sieper</w:t>
            </w:r>
          </w:p>
        </w:tc>
      </w:tr>
      <w:tr w:rsidR="00647586" w:rsidRPr="00F14A4A" w:rsidTr="00647586">
        <w:trPr>
          <w:cantSplit/>
        </w:trPr>
        <w:tc>
          <w:tcPr>
            <w:tcW w:w="9072" w:type="dxa"/>
            <w:gridSpan w:val="2"/>
            <w:tcBorders>
              <w:top w:val="single" w:sz="2" w:space="0" w:color="000000"/>
              <w:left w:val="double" w:sz="2" w:space="0" w:color="000000"/>
              <w:bottom w:val="single" w:sz="2" w:space="0" w:color="000000"/>
              <w:right w:val="double" w:sz="2" w:space="0" w:color="000000"/>
            </w:tcBorders>
            <w:shd w:val="pct10" w:color="000000" w:fill="FFFFFF"/>
            <w:hideMark/>
          </w:tcPr>
          <w:p w:rsidR="00647586" w:rsidRPr="00F14A4A" w:rsidRDefault="00647586">
            <w:pPr>
              <w:pStyle w:val="AttendancePVTable"/>
            </w:pPr>
            <w:r w:rsidRPr="00F14A4A">
              <w:t>57 (8) (Точка от дневния ред/Punto del orden del día/Bod pořadu jednání (OJ)/Punkt på dagsordenen/Tagesordnungspunkt/ Päevakorra punkt/Σημείο της ημερήσιας διάταξης/Agenda item/Point OJ/Točka dnevnog reda/Punto all'ordine del giorno/Darba kārtības punkts/Darbotvarkės punktas/Napirendi pont/Punt Aġenda/Agendapunt/Punkt porządku dziennego/Ponto OD/Punct de pe ordinea de zi/Bod programu schôdze/Točka UL/Esityslistan kohta/Punkt på föredragningslistan)</w:t>
            </w:r>
          </w:p>
        </w:tc>
      </w:tr>
      <w:tr w:rsidR="00647586" w:rsidRPr="00F14A4A" w:rsidTr="00647586">
        <w:trPr>
          <w:trHeight w:val="720"/>
        </w:trPr>
        <w:tc>
          <w:tcPr>
            <w:tcW w:w="7513" w:type="dxa"/>
            <w:tcBorders>
              <w:top w:val="single" w:sz="2" w:space="0" w:color="000000"/>
              <w:left w:val="double" w:sz="2" w:space="0" w:color="000000"/>
              <w:bottom w:val="double" w:sz="2" w:space="0" w:color="000000"/>
              <w:right w:val="single" w:sz="2" w:space="0" w:color="000000"/>
            </w:tcBorders>
          </w:tcPr>
          <w:p w:rsidR="00647586" w:rsidRPr="00F14A4A" w:rsidRDefault="00647586">
            <w:pPr>
              <w:pStyle w:val="AttendancePVTable"/>
            </w:pPr>
          </w:p>
        </w:tc>
        <w:tc>
          <w:tcPr>
            <w:tcW w:w="1559" w:type="dxa"/>
            <w:tcBorders>
              <w:top w:val="single" w:sz="2" w:space="0" w:color="000000"/>
              <w:left w:val="single" w:sz="2" w:space="0" w:color="000000"/>
              <w:bottom w:val="double" w:sz="2" w:space="0" w:color="000000"/>
              <w:right w:val="double" w:sz="2" w:space="0" w:color="000000"/>
            </w:tcBorders>
          </w:tcPr>
          <w:p w:rsidR="00647586" w:rsidRPr="00F14A4A" w:rsidRDefault="00647586">
            <w:pPr>
              <w:pStyle w:val="AttendancePVTable"/>
            </w:pPr>
          </w:p>
        </w:tc>
      </w:tr>
    </w:tbl>
    <w:p w:rsidR="00647586" w:rsidRPr="00F14A4A" w:rsidRDefault="00647586" w:rsidP="00647586">
      <w:pPr>
        <w:pStyle w:val="AttendancePV"/>
      </w:pPr>
    </w:p>
    <w:p w:rsidR="00647586" w:rsidRPr="00F14A4A" w:rsidRDefault="00647586" w:rsidP="00647586">
      <w:pPr>
        <w:pStyle w:val="AttendancePV"/>
      </w:pPr>
    </w:p>
    <w:p w:rsidR="00647586" w:rsidRPr="00F14A4A" w:rsidRDefault="00647586" w:rsidP="00647586">
      <w:pPr>
        <w:pStyle w:val="AttendancePV"/>
      </w:pPr>
    </w:p>
    <w:p w:rsidR="00647586" w:rsidRPr="00F14A4A" w:rsidRDefault="00647586" w:rsidP="00647586">
      <w:pPr>
        <w:pStyle w:val="AttendancePV"/>
      </w:pPr>
    </w:p>
    <w:p w:rsidR="00647586" w:rsidRPr="00F14A4A" w:rsidRDefault="00647586" w:rsidP="00647586">
      <w:pPr>
        <w:pStyle w:val="AttendancePV"/>
      </w:pPr>
      <w:r w:rsidRPr="00F14A4A">
        <w:br w:type="page"/>
      </w:r>
    </w:p>
    <w:p w:rsidR="00647586" w:rsidRPr="00F14A4A" w:rsidRDefault="00647586" w:rsidP="00647586">
      <w:pPr>
        <w:pStyle w:val="AttendancePV"/>
      </w:pPr>
    </w:p>
    <w:p w:rsidR="00647586" w:rsidRPr="00F14A4A" w:rsidRDefault="00647586" w:rsidP="00647586">
      <w:pPr>
        <w:pStyle w:val="AttendancePV"/>
      </w:pPr>
    </w:p>
    <w:p w:rsidR="00647586" w:rsidRPr="00F14A4A" w:rsidRDefault="00647586" w:rsidP="00647586">
      <w:pPr>
        <w:pStyle w:val="AttendancePV"/>
      </w:pPr>
    </w:p>
    <w:tbl>
      <w:tblPr>
        <w:tblW w:w="0" w:type="auto"/>
        <w:tblInd w:w="177" w:type="dxa"/>
        <w:tblBorders>
          <w:top w:val="double" w:sz="2" w:space="0" w:color="000000"/>
          <w:left w:val="double" w:sz="2" w:space="0" w:color="000000"/>
          <w:bottom w:val="double" w:sz="2" w:space="0" w:color="000000"/>
          <w:right w:val="double" w:sz="2" w:space="0" w:color="000000"/>
          <w:insideH w:val="single" w:sz="2" w:space="0" w:color="000000"/>
          <w:insideV w:val="single" w:sz="4" w:space="0" w:color="000000"/>
        </w:tblBorders>
        <w:tblLayout w:type="fixed"/>
        <w:tblCellMar>
          <w:left w:w="177" w:type="dxa"/>
          <w:right w:w="177" w:type="dxa"/>
        </w:tblCellMar>
        <w:tblLook w:val="04A0" w:firstRow="1" w:lastRow="0" w:firstColumn="1" w:lastColumn="0" w:noHBand="0" w:noVBand="1"/>
      </w:tblPr>
      <w:tblGrid>
        <w:gridCol w:w="9072"/>
      </w:tblGrid>
      <w:tr w:rsidR="00647586" w:rsidRPr="00F14A4A" w:rsidTr="00647586">
        <w:tc>
          <w:tcPr>
            <w:tcW w:w="9072" w:type="dxa"/>
            <w:tcBorders>
              <w:top w:val="double" w:sz="2" w:space="0" w:color="000000"/>
              <w:left w:val="double" w:sz="2" w:space="0" w:color="000000"/>
              <w:bottom w:val="single" w:sz="2" w:space="0" w:color="000000"/>
              <w:right w:val="double" w:sz="2" w:space="0" w:color="000000"/>
            </w:tcBorders>
            <w:shd w:val="pct10" w:color="000000" w:fill="FFFFFF"/>
            <w:hideMark/>
          </w:tcPr>
          <w:p w:rsidR="00647586" w:rsidRPr="00F14A4A" w:rsidRDefault="00647586">
            <w:pPr>
              <w:pStyle w:val="AttendancePVTable"/>
            </w:pPr>
            <w:r w:rsidRPr="00F14A4A">
              <w:t>По покана на председателя/Por invitación del presidente/Na pozvání předsedy/Efter indbydelse fra formanden/Auf Einladung des Vorsitzenden/Esimehe kutsel/Με πρόσκληση του Προέδρου/At the invitation of the Chair/Sur l’invitation du président/ Na poziv predsjednika/Su invito del presidente/Pēc priekšsēdētāja uzaicinājuma/Pirmininkui pakvietus/Az elnök meghívására/ Fuq stedina taċ</w:t>
            </w:r>
            <w:r w:rsidRPr="00F14A4A">
              <w:noBreakHyphen/>
              <w:t>'Chairman'/Op uitnodiging van de voorzitter/Na zaproszenie Przewodniczącego/A convite do Presidente/La invitaţia preşedintelui/ Na pozvanie predsedu/Na povabilo predsednika/Puheenjohtajan kutsusta/På ordförandens inbjudan</w:t>
            </w:r>
          </w:p>
        </w:tc>
      </w:tr>
      <w:tr w:rsidR="00647586" w:rsidRPr="00F14A4A" w:rsidTr="00647586">
        <w:trPr>
          <w:trHeight w:val="720"/>
        </w:trPr>
        <w:tc>
          <w:tcPr>
            <w:tcW w:w="9072" w:type="dxa"/>
            <w:tcBorders>
              <w:top w:val="single" w:sz="2" w:space="0" w:color="000000"/>
              <w:left w:val="double" w:sz="2" w:space="0" w:color="000000"/>
              <w:bottom w:val="double" w:sz="2" w:space="0" w:color="000000"/>
              <w:right w:val="double" w:sz="2" w:space="0" w:color="000000"/>
            </w:tcBorders>
          </w:tcPr>
          <w:p w:rsidR="00647586" w:rsidRPr="00F14A4A" w:rsidRDefault="00647586">
            <w:pPr>
              <w:pStyle w:val="AttendancePVTable"/>
            </w:pPr>
            <w:r w:rsidRPr="00F14A4A">
              <w:t>G.F. (petitioner), A.M. (petitioner)</w:t>
            </w:r>
          </w:p>
          <w:p w:rsidR="00647586" w:rsidRPr="00F14A4A" w:rsidRDefault="00647586">
            <w:pPr>
              <w:pStyle w:val="AttendancePVTable"/>
            </w:pPr>
          </w:p>
        </w:tc>
      </w:tr>
    </w:tbl>
    <w:p w:rsidR="00647586" w:rsidRPr="00F14A4A" w:rsidRDefault="00647586" w:rsidP="00647586">
      <w:pPr>
        <w:pStyle w:val="AttendancePV"/>
      </w:pPr>
    </w:p>
    <w:p w:rsidR="00647586" w:rsidRPr="00F14A4A" w:rsidRDefault="00647586" w:rsidP="00647586">
      <w:pPr>
        <w:pStyle w:val="AttendancePV"/>
      </w:pPr>
    </w:p>
    <w:p w:rsidR="00647586" w:rsidRPr="00F14A4A" w:rsidRDefault="00647586" w:rsidP="00647586">
      <w:pPr>
        <w:pStyle w:val="AttendancePV"/>
      </w:pPr>
    </w:p>
    <w:tbl>
      <w:tblPr>
        <w:tblW w:w="0" w:type="auto"/>
        <w:tblInd w:w="177"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77" w:type="dxa"/>
          <w:right w:w="177" w:type="dxa"/>
        </w:tblCellMar>
        <w:tblLook w:val="04A0" w:firstRow="1" w:lastRow="0" w:firstColumn="1" w:lastColumn="0" w:noHBand="0" w:noVBand="1"/>
      </w:tblPr>
      <w:tblGrid>
        <w:gridCol w:w="1701"/>
        <w:gridCol w:w="7371"/>
      </w:tblGrid>
      <w:tr w:rsidR="00647586" w:rsidRPr="00F14A4A" w:rsidTr="00647586">
        <w:tc>
          <w:tcPr>
            <w:tcW w:w="9072" w:type="dxa"/>
            <w:gridSpan w:val="2"/>
            <w:tcBorders>
              <w:top w:val="double" w:sz="2" w:space="0" w:color="000000"/>
              <w:left w:val="double" w:sz="2" w:space="0" w:color="000000"/>
              <w:bottom w:val="single" w:sz="2" w:space="0" w:color="000000"/>
              <w:right w:val="double" w:sz="2" w:space="0" w:color="000000"/>
            </w:tcBorders>
            <w:shd w:val="pct10" w:color="000000" w:fill="FFFFFF"/>
            <w:hideMark/>
          </w:tcPr>
          <w:p w:rsidR="00647586" w:rsidRPr="00F14A4A" w:rsidRDefault="00647586">
            <w:pPr>
              <w:pStyle w:val="AttendancePVTable"/>
            </w:pPr>
            <w:r w:rsidRPr="00F14A4A">
              <w:t>Съвет/Consejo/Rada/Rådet/Rat/Nõukogu/Συμβούλιο/Council/Conseil/Vijeće/Consiglio/Padome/Taryba/Tanács/Kunsill/Raad/ Conselho/Consiliu/Svet/Neuvosto/Rådet (*)</w:t>
            </w:r>
          </w:p>
        </w:tc>
      </w:tr>
      <w:tr w:rsidR="00647586" w:rsidRPr="00F14A4A" w:rsidTr="00647586">
        <w:trPr>
          <w:trHeight w:val="720"/>
        </w:trPr>
        <w:tc>
          <w:tcPr>
            <w:tcW w:w="9072" w:type="dxa"/>
            <w:gridSpan w:val="2"/>
            <w:tcBorders>
              <w:top w:val="single" w:sz="2" w:space="0" w:color="000000"/>
              <w:left w:val="double" w:sz="2" w:space="0" w:color="000000"/>
              <w:bottom w:val="single" w:sz="2" w:space="0" w:color="000000"/>
              <w:right w:val="double" w:sz="2" w:space="0" w:color="000000"/>
            </w:tcBorders>
          </w:tcPr>
          <w:p w:rsidR="00647586" w:rsidRPr="00F14A4A" w:rsidRDefault="00647586">
            <w:pPr>
              <w:pStyle w:val="AttendancePVTable"/>
            </w:pPr>
          </w:p>
        </w:tc>
      </w:tr>
      <w:tr w:rsidR="00647586" w:rsidRPr="00F14A4A" w:rsidTr="00647586">
        <w:tc>
          <w:tcPr>
            <w:tcW w:w="9072" w:type="dxa"/>
            <w:gridSpan w:val="2"/>
            <w:tcBorders>
              <w:top w:val="single" w:sz="2" w:space="0" w:color="000000"/>
              <w:left w:val="double" w:sz="2" w:space="0" w:color="000000"/>
              <w:bottom w:val="single" w:sz="2" w:space="0" w:color="000000"/>
              <w:right w:val="double" w:sz="2" w:space="0" w:color="000000"/>
            </w:tcBorders>
            <w:shd w:val="pct10" w:color="000000" w:fill="FFFFFF"/>
            <w:hideMark/>
          </w:tcPr>
          <w:p w:rsidR="00647586" w:rsidRPr="00F14A4A" w:rsidRDefault="00647586">
            <w:pPr>
              <w:pStyle w:val="AttendancePVTable"/>
            </w:pPr>
            <w:r w:rsidRPr="00F14A4A">
              <w:t>Комисия/Comisión/Komise/Kommissionen/Kommission/Komisjon/Επιτροπή/Commission/Komisija/Commissione/Bizottság/ Kummissjoni/Commissie/Komisja/Comissão/Comisie/Komisia/Komissio/Kommissionen (*)</w:t>
            </w:r>
          </w:p>
        </w:tc>
      </w:tr>
      <w:tr w:rsidR="00647586" w:rsidRPr="00F14A4A" w:rsidTr="00647586">
        <w:trPr>
          <w:trHeight w:val="720"/>
        </w:trPr>
        <w:tc>
          <w:tcPr>
            <w:tcW w:w="9072" w:type="dxa"/>
            <w:gridSpan w:val="2"/>
            <w:tcBorders>
              <w:top w:val="single" w:sz="2" w:space="0" w:color="000000"/>
              <w:left w:val="double" w:sz="2" w:space="0" w:color="000000"/>
              <w:bottom w:val="single" w:sz="2" w:space="0" w:color="000000"/>
              <w:right w:val="double" w:sz="2" w:space="0" w:color="000000"/>
            </w:tcBorders>
            <w:hideMark/>
          </w:tcPr>
          <w:p w:rsidR="00647586" w:rsidRPr="00F14A4A" w:rsidRDefault="00647586">
            <w:pPr>
              <w:pStyle w:val="AttendancePVTable"/>
            </w:pPr>
            <w:r w:rsidRPr="00F14A4A">
              <w:t>Pascal Lefèvre (EC, SG.C.2), Raluca Stefanuc (EC, CNECT H2), Ursula Scheuer (EC JUST), Asta Binkeviciute (EC, SG.F.1), Olivier Micol (EC, JUST.C.3), Agata Pavia (EC, CNECT.H.2)</w:t>
            </w:r>
          </w:p>
        </w:tc>
      </w:tr>
      <w:tr w:rsidR="00647586" w:rsidRPr="00F14A4A" w:rsidTr="00647586">
        <w:tc>
          <w:tcPr>
            <w:tcW w:w="9072" w:type="dxa"/>
            <w:gridSpan w:val="2"/>
            <w:tcBorders>
              <w:top w:val="single" w:sz="2" w:space="0" w:color="000000"/>
              <w:left w:val="double" w:sz="2" w:space="0" w:color="000000"/>
              <w:bottom w:val="single" w:sz="2" w:space="0" w:color="000000"/>
              <w:right w:val="double" w:sz="2" w:space="0" w:color="000000"/>
            </w:tcBorders>
            <w:shd w:val="pct10" w:color="000000" w:fill="FFFFFF"/>
            <w:hideMark/>
          </w:tcPr>
          <w:p w:rsidR="00647586" w:rsidRPr="00F14A4A" w:rsidRDefault="00647586">
            <w:pPr>
              <w:pStyle w:val="AttendancePVTable"/>
            </w:pPr>
            <w:r w:rsidRPr="00F14A4A">
              <w:t>Други институции и органи/Otras instituciones y organismos/Ostatní orgány a instituce/Andre institutioner og organer/Andere Organe und Einrichtungen/Muud institutsioonid ja organid/Λοιπά θεσμικά όργανα και οργανισμοί/Other institutions and bodies/Autres institutions et organes/Druge institucije i tijela/Altre istituzioni e altri organi/Citas iestādes un struktūras/Kitos institucijos ir įstaigos/ Más intézmények és szervek/Istituzzjonijiet u korpi oħra/Andere instellingen en organen/Inne instytucje i organy/Outras instituições e outros órgãos/Alte instituții și organe/Iné inštitúcie a orgány/Muut toimielimet ja elimet/Andra institutioner och organ</w:t>
            </w:r>
          </w:p>
        </w:tc>
      </w:tr>
      <w:tr w:rsidR="00647586" w:rsidRPr="00F14A4A" w:rsidTr="00647586">
        <w:trPr>
          <w:cantSplit/>
          <w:trHeight w:val="720"/>
        </w:trPr>
        <w:tc>
          <w:tcPr>
            <w:tcW w:w="1701" w:type="dxa"/>
            <w:tcBorders>
              <w:top w:val="single" w:sz="2" w:space="0" w:color="000000"/>
              <w:left w:val="double" w:sz="2" w:space="0" w:color="000000"/>
              <w:bottom w:val="double" w:sz="2" w:space="0" w:color="000000"/>
              <w:right w:val="single" w:sz="2" w:space="0" w:color="000000"/>
            </w:tcBorders>
          </w:tcPr>
          <w:p w:rsidR="00647586" w:rsidRPr="00F14A4A" w:rsidRDefault="00647586">
            <w:pPr>
              <w:pStyle w:val="AttendancePVTable"/>
            </w:pPr>
          </w:p>
        </w:tc>
        <w:tc>
          <w:tcPr>
            <w:tcW w:w="7371" w:type="dxa"/>
            <w:tcBorders>
              <w:top w:val="single" w:sz="2" w:space="0" w:color="000000"/>
              <w:left w:val="single" w:sz="2" w:space="0" w:color="000000"/>
              <w:bottom w:val="double" w:sz="2" w:space="0" w:color="000000"/>
              <w:right w:val="double" w:sz="2" w:space="0" w:color="000000"/>
            </w:tcBorders>
          </w:tcPr>
          <w:p w:rsidR="00647586" w:rsidRPr="00F14A4A" w:rsidRDefault="00647586">
            <w:pPr>
              <w:pStyle w:val="AttendancePVTable"/>
            </w:pPr>
          </w:p>
        </w:tc>
      </w:tr>
    </w:tbl>
    <w:p w:rsidR="00647586" w:rsidRPr="00F14A4A" w:rsidRDefault="00647586" w:rsidP="00647586">
      <w:pPr>
        <w:pStyle w:val="AttendancePV"/>
      </w:pPr>
    </w:p>
    <w:p w:rsidR="00647586" w:rsidRPr="00F14A4A" w:rsidRDefault="00647586" w:rsidP="00647586">
      <w:pPr>
        <w:pStyle w:val="AttendancePV"/>
      </w:pPr>
    </w:p>
    <w:p w:rsidR="00647586" w:rsidRPr="00F14A4A" w:rsidRDefault="00647586" w:rsidP="00647586">
      <w:pPr>
        <w:pStyle w:val="AttendancePV"/>
      </w:pPr>
      <w:r w:rsidRPr="00F14A4A">
        <w:br w:type="page"/>
      </w:r>
    </w:p>
    <w:tbl>
      <w:tblPr>
        <w:tblW w:w="0" w:type="dxa"/>
        <w:tblInd w:w="145"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45" w:type="dxa"/>
          <w:right w:w="145" w:type="dxa"/>
        </w:tblCellMar>
        <w:tblLook w:val="04A0" w:firstRow="1" w:lastRow="0" w:firstColumn="1" w:lastColumn="0" w:noHBand="0" w:noVBand="1"/>
      </w:tblPr>
      <w:tblGrid>
        <w:gridCol w:w="1701"/>
        <w:gridCol w:w="7371"/>
      </w:tblGrid>
      <w:tr w:rsidR="00647586" w:rsidRPr="00F14A4A" w:rsidTr="00647586">
        <w:trPr>
          <w:cantSplit/>
        </w:trPr>
        <w:tc>
          <w:tcPr>
            <w:tcW w:w="9072" w:type="dxa"/>
            <w:gridSpan w:val="2"/>
            <w:tcBorders>
              <w:top w:val="double" w:sz="2" w:space="0" w:color="000000"/>
              <w:left w:val="double" w:sz="2" w:space="0" w:color="000000"/>
              <w:bottom w:val="single" w:sz="2" w:space="0" w:color="000000"/>
              <w:right w:val="double" w:sz="2" w:space="0" w:color="000000"/>
            </w:tcBorders>
            <w:shd w:val="pct10" w:color="000000" w:fill="FFFFFF"/>
            <w:hideMark/>
          </w:tcPr>
          <w:p w:rsidR="00647586" w:rsidRPr="00F14A4A" w:rsidRDefault="00647586">
            <w:pPr>
              <w:pStyle w:val="AttendancePVTable"/>
            </w:pPr>
            <w:r w:rsidRPr="00F14A4A">
              <w:t>Секретариат на политическите групи/Secretaría de los Grupos políticos/Sekretariát politických skupin/Gruppernes sekretariat/ Sekretariat der Fraktionen/Fraktsioonide sekretariaat/Γραμματεία των Πολιτικών Ομάδων/Secretariats of political groups/Secrétariat des groupes politiques/Tajništva klubova zastupnika/Segreteria gruppi politici/Politisko grupu sekretariāts/Frakcijų sekretoriai/ Képviselőcsoportok titkársága/Segretarjat gruppi politiċi/Fractiesecretariaten/Sekretariat Grup Politycznych/Secretariado dos grupos políticos/Secretariate grupuri politice/Sekretariát politických skupín/Sekretariat političnih skupin/Poliittisten ryhmien sihteeristöt/ De politiska gruppernas sekretariat</w:t>
            </w:r>
          </w:p>
        </w:tc>
      </w:tr>
      <w:tr w:rsidR="00647586" w:rsidRPr="00F14A4A" w:rsidTr="00647586">
        <w:trPr>
          <w:cantSplit/>
        </w:trPr>
        <w:tc>
          <w:tcPr>
            <w:tcW w:w="1701" w:type="dxa"/>
            <w:tcBorders>
              <w:top w:val="single" w:sz="2" w:space="0" w:color="000000"/>
              <w:left w:val="double" w:sz="2" w:space="0" w:color="000000"/>
              <w:bottom w:val="double" w:sz="2" w:space="0" w:color="000000"/>
              <w:right w:val="single" w:sz="2" w:space="0" w:color="000000"/>
            </w:tcBorders>
            <w:shd w:val="clear" w:color="auto" w:fill="FFFFFF"/>
            <w:hideMark/>
          </w:tcPr>
          <w:p w:rsidR="00647586" w:rsidRPr="00F14A4A" w:rsidRDefault="00647586">
            <w:pPr>
              <w:pStyle w:val="AttendancePVTable"/>
            </w:pPr>
            <w:r w:rsidRPr="00F14A4A">
              <w:t>PPE</w:t>
            </w:r>
          </w:p>
          <w:p w:rsidR="00647586" w:rsidRPr="00F14A4A" w:rsidRDefault="00647586">
            <w:pPr>
              <w:pStyle w:val="AttendancePVTable"/>
            </w:pPr>
            <w:r w:rsidRPr="00F14A4A">
              <w:t>S&amp;D</w:t>
            </w:r>
          </w:p>
          <w:p w:rsidR="00647586" w:rsidRPr="00F14A4A" w:rsidRDefault="00647586">
            <w:pPr>
              <w:pStyle w:val="AttendancePVTable"/>
            </w:pPr>
            <w:r w:rsidRPr="00F14A4A">
              <w:t>PfE</w:t>
            </w:r>
          </w:p>
          <w:p w:rsidR="00647586" w:rsidRPr="00F14A4A" w:rsidRDefault="00647586">
            <w:pPr>
              <w:pStyle w:val="AttendancePVTable"/>
            </w:pPr>
            <w:r w:rsidRPr="00F14A4A">
              <w:t>ECR</w:t>
            </w:r>
          </w:p>
          <w:p w:rsidR="00647586" w:rsidRPr="00F14A4A" w:rsidRDefault="00647586">
            <w:pPr>
              <w:pStyle w:val="AttendancePVTable"/>
            </w:pPr>
            <w:r w:rsidRPr="00F14A4A">
              <w:t>Renew</w:t>
            </w:r>
          </w:p>
          <w:p w:rsidR="00647586" w:rsidRPr="00F14A4A" w:rsidRDefault="00647586">
            <w:pPr>
              <w:pStyle w:val="AttendancePVTable"/>
            </w:pPr>
            <w:r w:rsidRPr="00F14A4A">
              <w:t>Verts/ALE</w:t>
            </w:r>
          </w:p>
          <w:p w:rsidR="00647586" w:rsidRPr="00F14A4A" w:rsidRDefault="00647586">
            <w:pPr>
              <w:pStyle w:val="AttendancePVTable"/>
            </w:pPr>
            <w:r w:rsidRPr="00F14A4A">
              <w:t>The Left</w:t>
            </w:r>
          </w:p>
          <w:p w:rsidR="00647586" w:rsidRPr="00F14A4A" w:rsidRDefault="00647586">
            <w:pPr>
              <w:pStyle w:val="AttendancePVTable"/>
            </w:pPr>
            <w:r w:rsidRPr="00F14A4A">
              <w:t>ESN</w:t>
            </w:r>
          </w:p>
          <w:p w:rsidR="00647586" w:rsidRPr="00F14A4A" w:rsidRDefault="00647586">
            <w:pPr>
              <w:pStyle w:val="AttendancePVTable"/>
            </w:pPr>
            <w:r w:rsidRPr="00F14A4A">
              <w:t>NI</w:t>
            </w:r>
          </w:p>
        </w:tc>
        <w:tc>
          <w:tcPr>
            <w:tcW w:w="7371" w:type="dxa"/>
            <w:tcBorders>
              <w:top w:val="single" w:sz="2" w:space="0" w:color="000000"/>
              <w:left w:val="single" w:sz="2" w:space="0" w:color="000000"/>
              <w:bottom w:val="double" w:sz="2" w:space="0" w:color="000000"/>
              <w:right w:val="double" w:sz="2" w:space="0" w:color="000000"/>
            </w:tcBorders>
            <w:shd w:val="clear" w:color="auto" w:fill="FFFFFF"/>
          </w:tcPr>
          <w:p w:rsidR="00647586" w:rsidRPr="00F14A4A" w:rsidRDefault="00647586">
            <w:pPr>
              <w:pStyle w:val="AttendancePVTable"/>
            </w:pPr>
            <w:r w:rsidRPr="00F14A4A">
              <w:t>Radu Negrea</w:t>
            </w:r>
          </w:p>
          <w:p w:rsidR="00647586" w:rsidRPr="00F14A4A" w:rsidRDefault="00647586">
            <w:pPr>
              <w:rPr>
                <w:sz w:val="16"/>
                <w:szCs w:val="16"/>
              </w:rPr>
            </w:pPr>
            <w:r w:rsidRPr="00F14A4A">
              <w:rPr>
                <w:sz w:val="16"/>
                <w:szCs w:val="16"/>
              </w:rPr>
              <w:t>Vaclav Mls</w:t>
            </w:r>
          </w:p>
          <w:p w:rsidR="00647586" w:rsidRPr="00F14A4A" w:rsidRDefault="00647586">
            <w:pPr>
              <w:rPr>
                <w:sz w:val="34"/>
                <w:szCs w:val="34"/>
              </w:rPr>
            </w:pPr>
          </w:p>
          <w:p w:rsidR="00647586" w:rsidRPr="00F14A4A" w:rsidRDefault="00647586">
            <w:pPr>
              <w:rPr>
                <w:sz w:val="16"/>
                <w:szCs w:val="16"/>
              </w:rPr>
            </w:pPr>
            <w:r w:rsidRPr="00F14A4A">
              <w:rPr>
                <w:sz w:val="16"/>
                <w:szCs w:val="16"/>
              </w:rPr>
              <w:t xml:space="preserve">Katarzyna Ochman-Kaminska, Antonia Dimitrova Glykeria Bismpa-Christodoulou </w:t>
            </w:r>
          </w:p>
          <w:p w:rsidR="00647586" w:rsidRPr="00F14A4A" w:rsidRDefault="00647586">
            <w:pPr>
              <w:rPr>
                <w:sz w:val="14"/>
                <w:szCs w:val="14"/>
              </w:rPr>
            </w:pPr>
          </w:p>
          <w:p w:rsidR="00647586" w:rsidRPr="00F14A4A" w:rsidRDefault="00647586">
            <w:pPr>
              <w:rPr>
                <w:sz w:val="16"/>
                <w:szCs w:val="16"/>
              </w:rPr>
            </w:pPr>
            <w:r w:rsidRPr="00F14A4A">
              <w:rPr>
                <w:sz w:val="16"/>
                <w:szCs w:val="16"/>
              </w:rPr>
              <w:t xml:space="preserve">Edel Crosse </w:t>
            </w:r>
          </w:p>
          <w:p w:rsidR="00647586" w:rsidRPr="00F14A4A" w:rsidRDefault="00647586">
            <w:pPr>
              <w:rPr>
                <w:sz w:val="12"/>
                <w:szCs w:val="12"/>
              </w:rPr>
            </w:pPr>
          </w:p>
          <w:p w:rsidR="00647586" w:rsidRPr="00F14A4A" w:rsidRDefault="00647586">
            <w:pPr>
              <w:rPr>
                <w:sz w:val="16"/>
                <w:szCs w:val="16"/>
              </w:rPr>
            </w:pPr>
            <w:r w:rsidRPr="00F14A4A">
              <w:rPr>
                <w:sz w:val="16"/>
                <w:szCs w:val="16"/>
              </w:rPr>
              <w:t xml:space="preserve">Carlo Diana </w:t>
            </w:r>
          </w:p>
          <w:p w:rsidR="00647586" w:rsidRPr="00F14A4A" w:rsidRDefault="00647586">
            <w:pPr>
              <w:rPr>
                <w:sz w:val="12"/>
                <w:szCs w:val="12"/>
              </w:rPr>
            </w:pPr>
          </w:p>
          <w:p w:rsidR="00647586" w:rsidRPr="00F14A4A" w:rsidRDefault="00647586">
            <w:pPr>
              <w:rPr>
                <w:sz w:val="16"/>
                <w:szCs w:val="16"/>
              </w:rPr>
            </w:pPr>
            <w:r w:rsidRPr="00F14A4A">
              <w:rPr>
                <w:sz w:val="16"/>
                <w:szCs w:val="16"/>
              </w:rPr>
              <w:t xml:space="preserve">Ana Maria Jara Gomez, Stamatia Chatzimarkou </w:t>
            </w:r>
          </w:p>
          <w:p w:rsidR="00647586" w:rsidRPr="00F14A4A" w:rsidRDefault="00647586">
            <w:pPr>
              <w:rPr>
                <w:sz w:val="16"/>
                <w:szCs w:val="16"/>
              </w:rPr>
            </w:pPr>
          </w:p>
          <w:p w:rsidR="00647586" w:rsidRPr="00F14A4A" w:rsidRDefault="00647586">
            <w:pPr>
              <w:rPr>
                <w:sz w:val="18"/>
                <w:szCs w:val="18"/>
              </w:rPr>
            </w:pPr>
          </w:p>
          <w:p w:rsidR="00647586" w:rsidRPr="00F14A4A" w:rsidRDefault="00647586">
            <w:pPr>
              <w:rPr>
                <w:sz w:val="16"/>
                <w:szCs w:val="16"/>
              </w:rPr>
            </w:pPr>
            <w:r w:rsidRPr="00F14A4A">
              <w:rPr>
                <w:sz w:val="16"/>
                <w:szCs w:val="16"/>
              </w:rPr>
              <w:t xml:space="preserve">Dovile Rucyte </w:t>
            </w:r>
          </w:p>
        </w:tc>
      </w:tr>
    </w:tbl>
    <w:p w:rsidR="00647586" w:rsidRPr="00F14A4A" w:rsidRDefault="00647586" w:rsidP="00647586">
      <w:pPr>
        <w:pStyle w:val="AttendancePV"/>
      </w:pPr>
    </w:p>
    <w:p w:rsidR="00647586" w:rsidRPr="00F14A4A" w:rsidRDefault="00647586" w:rsidP="00647586">
      <w:pPr>
        <w:pStyle w:val="AttendancePV"/>
      </w:pPr>
    </w:p>
    <w:p w:rsidR="00647586" w:rsidRPr="00F14A4A" w:rsidRDefault="00647586" w:rsidP="00647586">
      <w:pPr>
        <w:pStyle w:val="AttendancePV"/>
      </w:pPr>
    </w:p>
    <w:tbl>
      <w:tblPr>
        <w:tblW w:w="0" w:type="auto"/>
        <w:tblInd w:w="145"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45" w:type="dxa"/>
          <w:right w:w="145" w:type="dxa"/>
        </w:tblCellMar>
        <w:tblLook w:val="04A0" w:firstRow="1" w:lastRow="0" w:firstColumn="1" w:lastColumn="0" w:noHBand="0" w:noVBand="1"/>
      </w:tblPr>
      <w:tblGrid>
        <w:gridCol w:w="1701"/>
        <w:gridCol w:w="7371"/>
      </w:tblGrid>
      <w:tr w:rsidR="00647586" w:rsidRPr="00F14A4A" w:rsidTr="00647586">
        <w:trPr>
          <w:cantSplit/>
        </w:trPr>
        <w:tc>
          <w:tcPr>
            <w:tcW w:w="9072" w:type="dxa"/>
            <w:gridSpan w:val="2"/>
            <w:tcBorders>
              <w:top w:val="double" w:sz="2" w:space="0" w:color="000000"/>
              <w:left w:val="double" w:sz="2" w:space="0" w:color="000000"/>
              <w:bottom w:val="single" w:sz="2" w:space="0" w:color="000000"/>
              <w:right w:val="double" w:sz="2" w:space="0" w:color="000000"/>
            </w:tcBorders>
            <w:shd w:val="pct10" w:color="000000" w:fill="FFFFFF"/>
            <w:hideMark/>
          </w:tcPr>
          <w:p w:rsidR="00647586" w:rsidRPr="00F14A4A" w:rsidRDefault="00647586">
            <w:pPr>
              <w:pStyle w:val="AttendancePVTable"/>
            </w:pPr>
            <w:r w:rsidRPr="00F14A4A">
              <w:br w:type="page"/>
              <w:t>Кабинет на председателя/Gabinete del Presidente/Kancelář předsedy/Formandens Kabinet/Kabinett des Präsidenten/Presidendi kantselei/Γραφείο του Προέδρου/President's Office/Cabinet du Président/Ured predsjednika/Gabinetto del Presidente/Priekšsēdētāja kabinets/Pirmininko kabinetas/Elnöki hivatal/Kabinett tal-President/Kabinet van de Voorzitter/Gabinet Przewodniczącego/Gabinete do Presidente/Cabinet Preşedinte/Kancelária predsedu/Urad predsednika/Puhemiehen kabinetti/Talmannens kansli</w:t>
            </w:r>
          </w:p>
        </w:tc>
      </w:tr>
      <w:tr w:rsidR="00647586" w:rsidRPr="00F14A4A" w:rsidTr="00647586">
        <w:trPr>
          <w:cantSplit/>
          <w:trHeight w:val="510"/>
        </w:trPr>
        <w:tc>
          <w:tcPr>
            <w:tcW w:w="9072" w:type="dxa"/>
            <w:gridSpan w:val="2"/>
            <w:tcBorders>
              <w:top w:val="single" w:sz="2" w:space="0" w:color="000000"/>
              <w:left w:val="double" w:sz="2" w:space="0" w:color="000000"/>
              <w:bottom w:val="single" w:sz="2" w:space="0" w:color="000000"/>
              <w:right w:val="double" w:sz="2" w:space="0" w:color="000000"/>
            </w:tcBorders>
            <w:shd w:val="clear" w:color="auto" w:fill="FFFFFF"/>
          </w:tcPr>
          <w:p w:rsidR="00647586" w:rsidRPr="00F14A4A" w:rsidRDefault="00647586">
            <w:pPr>
              <w:pStyle w:val="AttendancePVTable"/>
            </w:pPr>
          </w:p>
        </w:tc>
      </w:tr>
      <w:tr w:rsidR="00647586" w:rsidRPr="00F14A4A" w:rsidTr="00647586">
        <w:trPr>
          <w:cantSplit/>
        </w:trPr>
        <w:tc>
          <w:tcPr>
            <w:tcW w:w="9072" w:type="dxa"/>
            <w:gridSpan w:val="2"/>
            <w:tcBorders>
              <w:top w:val="single" w:sz="2" w:space="0" w:color="000000"/>
              <w:left w:val="double" w:sz="2" w:space="0" w:color="000000"/>
              <w:bottom w:val="single" w:sz="2" w:space="0" w:color="000000"/>
              <w:right w:val="double" w:sz="2" w:space="0" w:color="000000"/>
            </w:tcBorders>
            <w:shd w:val="pct10" w:color="000000" w:fill="FFFFFF"/>
            <w:hideMark/>
          </w:tcPr>
          <w:p w:rsidR="00647586" w:rsidRPr="00F14A4A" w:rsidRDefault="00647586">
            <w:pPr>
              <w:pStyle w:val="AttendancePVTable"/>
            </w:pPr>
            <w:r w:rsidRPr="00F14A4A">
              <w:t>Кабинет на генералния секретар/Gabinete del Secretario General/Kancelář generálního tajemníka/Generalsekretærens Kabinet/ Kabinett des Generalsekretärs/Peasekretäri büroo/Γραφείο του Γενικού Γραμματέα/Secretary-General's Office/Cabinet du secrétaire général/Ured glavnog tajnika/Gabinetto del Segretario generale/Ģenerālsekretāra kabinets/Generalinio sekretoriaus kabinetas/ Főtitkári hivatal/Kabinett tas-Segretarju Ġenerali/Kabinet van de secretaris-generaal/Gabinet Sekretarza Generalnego/Gabinete do Secretário-Geral/Cabinet Secretar General/Kancelária generálneho tajomníka/Urad generalnega sekretarja/Pääsihteerin kabinetti/ Generalsekreterarens kansli</w:t>
            </w:r>
          </w:p>
        </w:tc>
      </w:tr>
      <w:tr w:rsidR="00647586" w:rsidRPr="00F14A4A" w:rsidTr="00647586">
        <w:trPr>
          <w:cantSplit/>
          <w:trHeight w:val="510"/>
        </w:trPr>
        <w:tc>
          <w:tcPr>
            <w:tcW w:w="9072" w:type="dxa"/>
            <w:gridSpan w:val="2"/>
            <w:tcBorders>
              <w:top w:val="single" w:sz="2" w:space="0" w:color="000000"/>
              <w:left w:val="double" w:sz="2" w:space="0" w:color="000000"/>
              <w:bottom w:val="single" w:sz="2" w:space="0" w:color="000000"/>
              <w:right w:val="double" w:sz="2" w:space="0" w:color="000000"/>
            </w:tcBorders>
            <w:shd w:val="clear" w:color="auto" w:fill="FFFFFF"/>
          </w:tcPr>
          <w:p w:rsidR="00647586" w:rsidRPr="00F14A4A" w:rsidRDefault="00647586">
            <w:pPr>
              <w:pStyle w:val="AttendancePVTable"/>
            </w:pPr>
          </w:p>
        </w:tc>
      </w:tr>
      <w:tr w:rsidR="00647586" w:rsidRPr="00F14A4A" w:rsidTr="00647586">
        <w:trPr>
          <w:cantSplit/>
        </w:trPr>
        <w:tc>
          <w:tcPr>
            <w:tcW w:w="9072" w:type="dxa"/>
            <w:gridSpan w:val="2"/>
            <w:tcBorders>
              <w:top w:val="single" w:sz="2" w:space="0" w:color="000000"/>
              <w:left w:val="double" w:sz="2" w:space="0" w:color="000000"/>
              <w:bottom w:val="single" w:sz="2" w:space="0" w:color="000000"/>
              <w:right w:val="double" w:sz="2" w:space="0" w:color="000000"/>
            </w:tcBorders>
            <w:shd w:val="pct10" w:color="000000" w:fill="FFFFFF"/>
            <w:hideMark/>
          </w:tcPr>
          <w:p w:rsidR="00647586" w:rsidRPr="00F14A4A" w:rsidRDefault="00647586">
            <w:pPr>
              <w:pStyle w:val="AttendancePVTable"/>
            </w:pPr>
            <w:r w:rsidRPr="00F14A4A">
              <w:t>Генерална дирекция/Dirección General/Generální ředitelství/Generaldirektorat/Generaldirektion/Peadirektoraat/Γενική Διεύθυνση/ Directorate-General/Direction générale/Glavna uprava/Direzione generale/Ģenerāldirektorāts/Generalinis direktoratas/Főigazgatóság/ Direttorat Ġenerali/Directoraten</w:t>
            </w:r>
            <w:r w:rsidRPr="00F14A4A">
              <w:noBreakHyphen/>
              <w:t>generaal/Dyrekcja Generalna/Direcção-Geral/Direcţii Generale/Generálne riaditeľstvo/Generalni direktorat/Pääosasto/Generaldirektorat</w:t>
            </w:r>
          </w:p>
        </w:tc>
      </w:tr>
      <w:tr w:rsidR="00647586" w:rsidRPr="00F14A4A" w:rsidTr="00647586">
        <w:trPr>
          <w:cantSplit/>
          <w:trHeight w:val="720"/>
        </w:trPr>
        <w:tc>
          <w:tcPr>
            <w:tcW w:w="1701" w:type="dxa"/>
            <w:tcBorders>
              <w:top w:val="single" w:sz="2" w:space="0" w:color="000000"/>
              <w:left w:val="double" w:sz="2" w:space="0" w:color="000000"/>
              <w:bottom w:val="double" w:sz="2" w:space="0" w:color="000000"/>
              <w:right w:val="single" w:sz="2" w:space="0" w:color="000000"/>
            </w:tcBorders>
            <w:shd w:val="clear" w:color="auto" w:fill="FFFFFF"/>
            <w:hideMark/>
          </w:tcPr>
          <w:p w:rsidR="00647586" w:rsidRPr="00F14A4A" w:rsidRDefault="00647586">
            <w:pPr>
              <w:pStyle w:val="AttendancePVTable"/>
            </w:pPr>
            <w:r w:rsidRPr="00F14A4A">
              <w:t>DG PRES</w:t>
            </w:r>
          </w:p>
          <w:p w:rsidR="00647586" w:rsidRPr="00F14A4A" w:rsidRDefault="00647586">
            <w:pPr>
              <w:pStyle w:val="AttendancePVTable"/>
            </w:pPr>
            <w:r w:rsidRPr="00F14A4A">
              <w:t>DG IPOL</w:t>
            </w:r>
          </w:p>
          <w:p w:rsidR="00647586" w:rsidRPr="00F14A4A" w:rsidRDefault="00647586">
            <w:pPr>
              <w:pStyle w:val="AttendancePVTable"/>
            </w:pPr>
            <w:r w:rsidRPr="00F14A4A">
              <w:t>DG EXPO</w:t>
            </w:r>
          </w:p>
          <w:p w:rsidR="00647586" w:rsidRPr="00F14A4A" w:rsidRDefault="00647586">
            <w:pPr>
              <w:pStyle w:val="AttendancePVTable"/>
            </w:pPr>
            <w:r w:rsidRPr="00F14A4A">
              <w:t>DG EPRS</w:t>
            </w:r>
          </w:p>
          <w:p w:rsidR="00647586" w:rsidRPr="00F14A4A" w:rsidRDefault="00647586">
            <w:pPr>
              <w:pStyle w:val="AttendancePVTable"/>
            </w:pPr>
            <w:r w:rsidRPr="00F14A4A">
              <w:t>DG COMM</w:t>
            </w:r>
          </w:p>
          <w:p w:rsidR="00647586" w:rsidRPr="00F14A4A" w:rsidRDefault="00647586">
            <w:pPr>
              <w:pStyle w:val="AttendancePVTable"/>
            </w:pPr>
            <w:r w:rsidRPr="00F14A4A">
              <w:t>DG PART</w:t>
            </w:r>
          </w:p>
          <w:p w:rsidR="00647586" w:rsidRPr="00F14A4A" w:rsidRDefault="00647586">
            <w:pPr>
              <w:pStyle w:val="AttendancePVTable"/>
            </w:pPr>
            <w:r w:rsidRPr="00F14A4A">
              <w:t>DG PERS</w:t>
            </w:r>
          </w:p>
          <w:p w:rsidR="00647586" w:rsidRPr="00F14A4A" w:rsidRDefault="00647586">
            <w:pPr>
              <w:pStyle w:val="AttendancePVTable"/>
            </w:pPr>
            <w:r w:rsidRPr="00F14A4A">
              <w:t>DG INLO</w:t>
            </w:r>
          </w:p>
          <w:p w:rsidR="00647586" w:rsidRPr="00F14A4A" w:rsidRDefault="00647586">
            <w:pPr>
              <w:pStyle w:val="AttendancePVTable"/>
            </w:pPr>
            <w:r w:rsidRPr="00F14A4A">
              <w:t>DG TRAD</w:t>
            </w:r>
          </w:p>
          <w:p w:rsidR="00647586" w:rsidRPr="00F14A4A" w:rsidRDefault="00647586">
            <w:pPr>
              <w:pStyle w:val="AttendancePVTable"/>
            </w:pPr>
            <w:r w:rsidRPr="00F14A4A">
              <w:t>DG LINC</w:t>
            </w:r>
          </w:p>
          <w:p w:rsidR="00647586" w:rsidRPr="00F14A4A" w:rsidRDefault="00647586">
            <w:pPr>
              <w:pStyle w:val="AttendancePVTable"/>
            </w:pPr>
            <w:r w:rsidRPr="00F14A4A">
              <w:t>DG FINS</w:t>
            </w:r>
          </w:p>
          <w:p w:rsidR="00647586" w:rsidRPr="00F14A4A" w:rsidRDefault="00647586">
            <w:pPr>
              <w:pStyle w:val="AttendancePVTable"/>
            </w:pPr>
            <w:r w:rsidRPr="00F14A4A">
              <w:t>DG ITEC</w:t>
            </w:r>
          </w:p>
          <w:p w:rsidR="00647586" w:rsidRPr="00F14A4A" w:rsidRDefault="00647586">
            <w:pPr>
              <w:pStyle w:val="AttendancePVTable"/>
            </w:pPr>
            <w:r w:rsidRPr="00F14A4A">
              <w:t>DG SAFE</w:t>
            </w:r>
          </w:p>
          <w:p w:rsidR="00647586" w:rsidRPr="00F14A4A" w:rsidRDefault="00647586">
            <w:pPr>
              <w:pStyle w:val="AttendancePVTable"/>
            </w:pPr>
            <w:r w:rsidRPr="00F14A4A">
              <w:t>Legal Service</w:t>
            </w:r>
          </w:p>
        </w:tc>
        <w:tc>
          <w:tcPr>
            <w:tcW w:w="7371" w:type="dxa"/>
            <w:tcBorders>
              <w:top w:val="single" w:sz="2" w:space="0" w:color="000000"/>
              <w:left w:val="single" w:sz="2" w:space="0" w:color="000000"/>
              <w:bottom w:val="double" w:sz="2" w:space="0" w:color="000000"/>
              <w:right w:val="double" w:sz="2" w:space="0" w:color="000000"/>
            </w:tcBorders>
            <w:shd w:val="clear" w:color="auto" w:fill="FFFFFF"/>
          </w:tcPr>
          <w:p w:rsidR="00647586" w:rsidRPr="00F14A4A" w:rsidRDefault="00647586">
            <w:pPr>
              <w:pStyle w:val="AttendancePVTable"/>
            </w:pPr>
          </w:p>
        </w:tc>
      </w:tr>
    </w:tbl>
    <w:p w:rsidR="00647586" w:rsidRPr="00F14A4A" w:rsidRDefault="00647586" w:rsidP="00647586">
      <w:pPr>
        <w:pStyle w:val="AttendancePV"/>
      </w:pPr>
    </w:p>
    <w:p w:rsidR="00647586" w:rsidRPr="00F14A4A" w:rsidRDefault="00647586" w:rsidP="00647586">
      <w:pPr>
        <w:pStyle w:val="AttendancePVFootnote"/>
      </w:pPr>
      <w:r w:rsidRPr="00F14A4A">
        <w:t xml:space="preserve">* </w:t>
      </w:r>
      <w:r w:rsidRPr="00F14A4A">
        <w:tab/>
        <w:t>(P)</w:t>
      </w:r>
      <w:r w:rsidRPr="00F14A4A">
        <w:tab/>
        <w:t>=</w:t>
      </w:r>
      <w:r w:rsidRPr="00F14A4A">
        <w:tab/>
        <w:t>Председател/Presidente/Předseda/Formand/Vorsitzender/Esimees/Πρόεδρος/Chair/Président/Predsjednik/Priekšsēdētājs/ Pirmininkas/Elnök/'Chairman'/Voorzitter/Przewodniczący/Preşedinte/Predseda/Predsednik/Puheenjohtaja/Ordförande</w:t>
      </w:r>
    </w:p>
    <w:p w:rsidR="00647586" w:rsidRPr="00F14A4A" w:rsidRDefault="00647586" w:rsidP="00647586">
      <w:pPr>
        <w:pStyle w:val="AttendancePVFootnote"/>
      </w:pPr>
      <w:r w:rsidRPr="00F14A4A">
        <w:tab/>
        <w:t>(VP) =</w:t>
      </w:r>
      <w:r w:rsidRPr="00F14A4A">
        <w:tab/>
        <w:t>Заместник-председател/Vicepresidente/Místopředseda/Næstformand/Stellvertretender Vorsitzender/Aseesimees/Αντιπρόεδρος/ Vice</w:t>
      </w:r>
      <w:r w:rsidRPr="00F14A4A">
        <w:noBreakHyphen/>
        <w:t>Chair/Potpredsjednik/Vice</w:t>
      </w:r>
      <w:r w:rsidRPr="00F14A4A">
        <w:noBreakHyphen/>
        <w:t>Président/Potpredsjednik/Priekšsēdētāja vietnieks/Pirmininko pavaduotojas/Alelnök/ Viċi 'Chairman'/Ondervoorzitter/Wiceprzewodniczący/Vice-Presidente/Vicepreşedinte/Podpredseda/Podpredsednik/ Varapuheenjohtaja/Vice ordförande</w:t>
      </w:r>
    </w:p>
    <w:p w:rsidR="00647586" w:rsidRPr="00F14A4A" w:rsidRDefault="00647586" w:rsidP="00647586">
      <w:pPr>
        <w:pStyle w:val="AttendancePVFootnote"/>
      </w:pPr>
      <w:r w:rsidRPr="00F14A4A">
        <w:tab/>
        <w:t>(M)</w:t>
      </w:r>
      <w:r w:rsidRPr="00F14A4A">
        <w:tab/>
        <w:t>=</w:t>
      </w:r>
      <w:r w:rsidRPr="00F14A4A">
        <w:tab/>
        <w:t>Член/Miembro/Člen/Medlem/Mitglied/Parlamendiliige/Βουλευτής/Member/Membre/Član/Membro/Deputāts/Narys/Képviselő/ Membru/Lid/Członek/Membro/Membru/Člen/Poslanec/Jäsen/Ledamot</w:t>
      </w:r>
    </w:p>
    <w:p w:rsidR="00647586" w:rsidRPr="00F14A4A" w:rsidRDefault="00647586" w:rsidP="00647586">
      <w:pPr>
        <w:pStyle w:val="AttendancePVFootnote"/>
      </w:pPr>
      <w:r w:rsidRPr="00F14A4A">
        <w:tab/>
        <w:t>(F)</w:t>
      </w:r>
      <w:r w:rsidRPr="00F14A4A">
        <w:tab/>
        <w:t>=</w:t>
      </w:r>
      <w:r w:rsidRPr="00F14A4A">
        <w:tab/>
        <w:t>Длъжностно лице/Funcionario/Úředník/Tjenestemand/Beamter/Ametnik/Υπάλληλος/Official/Fonctionnaire/Dužnosnik/ Funzionario/Ierēdnis/Pareigūnas/Tisztviselő/Uffiċjal/Ambtenaar/Urzędnik/Funcionário/Funcţionar/Úradník/Uradnik/Virkamies/ Tjänsteman</w:t>
      </w:r>
    </w:p>
    <w:p w:rsidR="00647586" w:rsidRPr="00F14A4A" w:rsidRDefault="00647586" w:rsidP="00647586">
      <w:pPr>
        <w:pStyle w:val="AttendancePV"/>
      </w:pPr>
    </w:p>
    <w:p w:rsidR="0022027F" w:rsidRPr="00F14A4A" w:rsidRDefault="0022027F" w:rsidP="00647586">
      <w:pPr>
        <w:pStyle w:val="HeadingReferenceOJPV"/>
      </w:pPr>
    </w:p>
    <w:sectPr w:rsidR="0022027F" w:rsidRPr="00F14A4A" w:rsidSect="00647586">
      <w:headerReference w:type="even" r:id="rId15"/>
      <w:headerReference w:type="default" r:id="rId16"/>
      <w:headerReference w:type="first" r:id="rId17"/>
      <w:footerReference w:type="first" r:id="rId18"/>
      <w:footnotePr>
        <w:numRestart w:val="eachSect"/>
      </w:footnotePr>
      <w:pgSz w:w="11907" w:h="16840" w:code="9"/>
      <w:pgMar w:top="1134" w:right="1418" w:bottom="1418" w:left="1418" w:header="1134"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0F5" w:rsidRPr="00647586" w:rsidRDefault="00A500F5">
      <w:r w:rsidRPr="00647586">
        <w:separator/>
      </w:r>
    </w:p>
    <w:p w:rsidR="00A500F5" w:rsidRPr="00647586" w:rsidRDefault="00A500F5"/>
  </w:endnote>
  <w:endnote w:type="continuationSeparator" w:id="0">
    <w:p w:rsidR="00A500F5" w:rsidRPr="00647586" w:rsidRDefault="00A500F5">
      <w:r w:rsidRPr="00647586">
        <w:continuationSeparator/>
      </w:r>
    </w:p>
    <w:p w:rsidR="00A500F5" w:rsidRPr="00647586" w:rsidRDefault="00A500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okChampa">
    <w:altName w:val="Leelawadee UI"/>
    <w:charset w:val="00"/>
    <w:family w:val="swiss"/>
    <w:pitch w:val="variable"/>
    <w:sig w:usb0="03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586" w:rsidRDefault="00647586" w:rsidP="00647586">
    <w:pPr>
      <w:pStyle w:val="EPFooter"/>
    </w:pPr>
    <w:r>
      <w:t>PE</w:t>
    </w:r>
    <w:r>
      <w:rPr>
        <w:rStyle w:val="HideTWBExt"/>
      </w:rPr>
      <w:t>&lt;NoPE&gt;</w:t>
    </w:r>
    <w:r>
      <w:t>763.202</w:t>
    </w:r>
    <w:r>
      <w:rPr>
        <w:rStyle w:val="HideTWBExt"/>
      </w:rPr>
      <w:t>&lt;/NoPE&gt;&lt;Version&gt;</w:t>
    </w:r>
    <w:r>
      <w:t>v01-00</w:t>
    </w:r>
    <w:r>
      <w:rPr>
        <w:rStyle w:val="HideTWBExt"/>
      </w:rPr>
      <w:t>&lt;/Version&gt;</w:t>
    </w:r>
    <w:r>
      <w:tab/>
    </w:r>
    <w:r>
      <w:fldChar w:fldCharType="begin"/>
    </w:r>
    <w:r>
      <w:instrText xml:space="preserve"> PAGE  \* MERGEFORMAT </w:instrText>
    </w:r>
    <w:r>
      <w:fldChar w:fldCharType="separate"/>
    </w:r>
    <w:r w:rsidR="00F14A4A">
      <w:rPr>
        <w:noProof/>
      </w:rPr>
      <w:t>14</w:t>
    </w:r>
    <w:r>
      <w:fldChar w:fldCharType="end"/>
    </w:r>
    <w:r>
      <w:t>/</w:t>
    </w:r>
    <w:r w:rsidR="00F14A4A">
      <w:fldChar w:fldCharType="begin"/>
    </w:r>
    <w:r w:rsidR="00F14A4A">
      <w:instrText xml:space="preserve"> NUMPAGES  \* MERGEFORMAT </w:instrText>
    </w:r>
    <w:r w:rsidR="00F14A4A">
      <w:fldChar w:fldCharType="separate"/>
    </w:r>
    <w:r w:rsidR="00F14A4A">
      <w:rPr>
        <w:noProof/>
      </w:rPr>
      <w:t>14</w:t>
    </w:r>
    <w:r w:rsidR="00F14A4A">
      <w:rPr>
        <w:noProof/>
      </w:rPr>
      <w:fldChar w:fldCharType="end"/>
    </w:r>
    <w:r>
      <w:tab/>
    </w:r>
    <w:r w:rsidRPr="00647586">
      <w:rPr>
        <w:rStyle w:val="HideTWBExt"/>
      </w:rPr>
      <w:t>&lt;PathFdR&gt;</w:t>
    </w:r>
    <w:r>
      <w:t>PV\1306631EN.docx</w:t>
    </w:r>
    <w:r w:rsidRPr="00647586">
      <w:rPr>
        <w:rStyle w:val="HideTWBExt"/>
      </w:rPr>
      <w:t>&lt;/PathFdR&gt;</w:t>
    </w:r>
  </w:p>
  <w:p w:rsidR="00647586" w:rsidRDefault="00647586" w:rsidP="00647586">
    <w:pPr>
      <w:pStyle w:val="EPFooter2"/>
    </w:pPr>
    <w: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547" w:rsidRDefault="003C3547" w:rsidP="003C3547">
    <w:pPr>
      <w:pStyle w:val="EPFooter"/>
      <w:rPr>
        <w:snapToGrid/>
      </w:rPr>
    </w:pPr>
    <w:r>
      <w:rPr>
        <w:rStyle w:val="HideTWBExt"/>
      </w:rPr>
      <w:t>&lt;PathFdR&gt;</w:t>
    </w:r>
    <w:r>
      <w:t>PV\1306631EN.docx</w:t>
    </w:r>
    <w:r>
      <w:rPr>
        <w:rStyle w:val="HideTWBExt"/>
      </w:rPr>
      <w:t>&lt;/PathFdR&gt;</w:t>
    </w:r>
    <w:r>
      <w:tab/>
    </w:r>
    <w:r>
      <w:fldChar w:fldCharType="begin"/>
    </w:r>
    <w:r>
      <w:instrText xml:space="preserve"> PAGE </w:instrText>
    </w:r>
    <w:r>
      <w:fldChar w:fldCharType="separate"/>
    </w:r>
    <w:r w:rsidR="00F14A4A">
      <w:rPr>
        <w:noProof/>
      </w:rPr>
      <w:t>13</w:t>
    </w:r>
    <w:r>
      <w:fldChar w:fldCharType="end"/>
    </w:r>
    <w:r>
      <w:t>/</w:t>
    </w:r>
    <w:fldSimple w:instr=" NUMPAGES ">
      <w:r w:rsidR="00F14A4A">
        <w:rPr>
          <w:noProof/>
        </w:rPr>
        <w:t>13</w:t>
      </w:r>
    </w:fldSimple>
    <w:r>
      <w:tab/>
      <w:t>PE</w:t>
    </w:r>
    <w:r>
      <w:rPr>
        <w:rStyle w:val="HideTWBExt"/>
      </w:rPr>
      <w:t>&lt;NoPE&gt;</w:t>
    </w:r>
    <w:r>
      <w:t>763.202</w:t>
    </w:r>
    <w:r>
      <w:rPr>
        <w:rStyle w:val="HideTWBExt"/>
      </w:rPr>
      <w:t>&lt;/NoPE&gt;&lt;Version&gt;</w:t>
    </w:r>
    <w:r>
      <w:t>v01-00</w:t>
    </w:r>
    <w:r>
      <w:rPr>
        <w:rStyle w:val="HideTWBExt"/>
      </w:rPr>
      <w:t>&lt;/Version&gt;</w:t>
    </w:r>
  </w:p>
  <w:p w:rsidR="00647586" w:rsidRDefault="00647586" w:rsidP="00647586">
    <w:pPr>
      <w:pStyle w:val="EPFooter2"/>
    </w:pPr>
    <w:r>
      <w:tab/>
    </w:r>
    <w:r>
      <w:tab/>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586" w:rsidRDefault="00647586" w:rsidP="00647586">
    <w:pPr>
      <w:pStyle w:val="EPFooter"/>
    </w:pPr>
    <w:r w:rsidRPr="00647586">
      <w:rPr>
        <w:rStyle w:val="HideTWBExt"/>
      </w:rPr>
      <w:t>&lt;PathFdR&gt;</w:t>
    </w:r>
    <w:r>
      <w:t>PV\1306631EN.docx</w:t>
    </w:r>
    <w:r w:rsidRPr="00647586">
      <w:rPr>
        <w:rStyle w:val="HideTWBExt"/>
      </w:rPr>
      <w:t>&lt;/PathFdR&gt;</w:t>
    </w:r>
    <w:r>
      <w:tab/>
    </w:r>
    <w:r>
      <w:tab/>
      <w:t>PE</w:t>
    </w:r>
    <w:r>
      <w:rPr>
        <w:rStyle w:val="HideTWBExt"/>
      </w:rPr>
      <w:t>&lt;NoPE&gt;</w:t>
    </w:r>
    <w:r>
      <w:t>763.202</w:t>
    </w:r>
    <w:r>
      <w:rPr>
        <w:rStyle w:val="HideTWBExt"/>
      </w:rPr>
      <w:t>&lt;/NoPE&gt;&lt;Version&gt;</w:t>
    </w:r>
    <w:r>
      <w:t>v01-00</w:t>
    </w:r>
    <w:r w:rsidR="003C3547">
      <w:rPr>
        <w:rStyle w:val="HideTWBExt"/>
      </w:rPr>
      <w:t>&lt;/Version&gt;</w:t>
    </w:r>
  </w:p>
  <w:p w:rsidR="00647586" w:rsidRDefault="00647586" w:rsidP="00647586">
    <w:pPr>
      <w:pStyle w:val="EPFooter2"/>
    </w:pPr>
    <w:r>
      <w:t>EN</w:t>
    </w:r>
    <w:r>
      <w:tab/>
    </w:r>
    <w:r w:rsidRPr="00647586">
      <w:rPr>
        <w:b w:val="0"/>
        <w:i/>
        <w:color w:val="C0C0C0"/>
        <w:sz w:val="22"/>
      </w:rPr>
      <w:t>United in diversity</w:t>
    </w:r>
    <w:r>
      <w:tab/>
      <w:t>EN</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D65" w:rsidRPr="00647586" w:rsidRDefault="00A13D65" w:rsidP="005A4857">
    <w:pPr>
      <w:pStyle w:val="EPFooter"/>
    </w:pPr>
    <w:r w:rsidRPr="00647586">
      <w:rPr>
        <w:rStyle w:val="HideTWBExt"/>
      </w:rPr>
      <w:t>&lt;PathFdR&gt;</w:t>
    </w:r>
    <w:r w:rsidR="00647586" w:rsidRPr="00647586">
      <w:rPr>
        <w:color w:val="auto"/>
      </w:rPr>
      <w:t>PV\1306631EN.docx</w:t>
    </w:r>
    <w:r w:rsidRPr="00647586">
      <w:rPr>
        <w:rStyle w:val="HideTWBExt"/>
      </w:rPr>
      <w:t>&lt;/PathFdR&gt;</w:t>
    </w:r>
    <w:r w:rsidRPr="00647586">
      <w:tab/>
    </w:r>
    <w:r w:rsidRPr="00647586">
      <w:tab/>
      <w:t>PE</w:t>
    </w:r>
    <w:r w:rsidRPr="00647586">
      <w:rPr>
        <w:rStyle w:val="HideTWBExt"/>
      </w:rPr>
      <w:t>&lt;NoPE&gt;</w:t>
    </w:r>
    <w:r w:rsidR="00647586" w:rsidRPr="00647586">
      <w:rPr>
        <w:color w:val="auto"/>
      </w:rPr>
      <w:t>763.202</w:t>
    </w:r>
    <w:r w:rsidRPr="00647586">
      <w:rPr>
        <w:rStyle w:val="HideTWBExt"/>
      </w:rPr>
      <w:t>&lt;/NoPE&gt;&lt;Version&gt;</w:t>
    </w:r>
    <w:r w:rsidR="00A500F5" w:rsidRPr="00647586">
      <w:t>v</w:t>
    </w:r>
    <w:r w:rsidR="00647586" w:rsidRPr="00647586">
      <w:rPr>
        <w:color w:val="auto"/>
      </w:rPr>
      <w:t>01-00</w:t>
    </w:r>
    <w:r w:rsidRPr="00647586">
      <w:rPr>
        <w:rStyle w:val="HideTWBExt"/>
      </w:rPr>
      <w:t>&lt;/Version&gt;</w:t>
    </w:r>
  </w:p>
  <w:p w:rsidR="00A13D65" w:rsidRPr="00647586" w:rsidRDefault="00A01AD6" w:rsidP="00F64B87">
    <w:pPr>
      <w:pStyle w:val="EPFooter2"/>
      <w:tabs>
        <w:tab w:val="clear" w:pos="4535"/>
        <w:tab w:val="center" w:pos="4536"/>
      </w:tabs>
    </w:pPr>
    <w:fldSimple w:instr=" DOCPROPERTY &quot;&lt;Extension&gt;&quot; ">
      <w:r w:rsidR="00F14A4A">
        <w:t>EN</w:t>
      </w:r>
    </w:fldSimple>
    <w:r w:rsidR="00A13D65" w:rsidRPr="00647586">
      <w:tab/>
    </w:r>
    <w:r w:rsidR="00647586" w:rsidRPr="00647586">
      <w:rPr>
        <w:b w:val="0"/>
        <w:i/>
        <w:color w:val="C0C0C0"/>
        <w:sz w:val="22"/>
        <w:szCs w:val="22"/>
      </w:rPr>
      <w:t>United in diversity</w:t>
    </w:r>
    <w:r w:rsidR="00A13D65" w:rsidRPr="00647586">
      <w:tab/>
    </w:r>
    <w:fldSimple w:instr=" DOCPROPERTY &quot;&lt;Extension&gt;&quot; ">
      <w:r w:rsidR="00F14A4A">
        <w:t>EN</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0F5" w:rsidRPr="00647586" w:rsidRDefault="00A500F5">
      <w:r w:rsidRPr="00647586">
        <w:separator/>
      </w:r>
    </w:p>
    <w:p w:rsidR="00A500F5" w:rsidRPr="00647586" w:rsidRDefault="00A500F5"/>
  </w:footnote>
  <w:footnote w:type="continuationSeparator" w:id="0">
    <w:p w:rsidR="00A500F5" w:rsidRPr="00647586" w:rsidRDefault="00A500F5">
      <w:r w:rsidRPr="00647586">
        <w:continuationSeparator/>
      </w:r>
    </w:p>
    <w:p w:rsidR="00A500F5" w:rsidRPr="00647586" w:rsidRDefault="00A500F5"/>
  </w:footnote>
  <w:footnote w:id="1">
    <w:p w:rsidR="00647586" w:rsidRDefault="00647586" w:rsidP="00647586">
      <w:pPr>
        <w:pStyle w:val="FootnoteText"/>
      </w:pPr>
      <w:r>
        <w:rPr>
          <w:rStyle w:val="FootnoteReference"/>
        </w:rPr>
        <w:footnoteRef/>
      </w:r>
      <w:r>
        <w:t xml:space="preserve"> In accordance with the committee’s Guidelines 2016, items in sections B of the draft agenda will not be discussed during the current meeting. However any PETI Member may ask before the end of the meeting for an item in section B to be kept open; it will then be automatically included in the Coordinators’ agenda for a decision on its further treatment at a subsequent Coordinators’meeting.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38D" w:rsidRDefault="00AC13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38D" w:rsidRDefault="00AC13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38D" w:rsidRDefault="00AC13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586" w:rsidRDefault="0064758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586" w:rsidRDefault="0064758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586" w:rsidRDefault="006475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82"/>
    <w:multiLevelType w:val="singleLevel"/>
    <w:tmpl w:val="9EDE335A"/>
    <w:lvl w:ilvl="0">
      <w:start w:val="1"/>
      <w:numFmt w:val="bullet"/>
      <w:lvlText w:val=""/>
      <w:lvlJc w:val="left"/>
      <w:pPr>
        <w:tabs>
          <w:tab w:val="num" w:pos="1080"/>
        </w:tabs>
        <w:ind w:left="1080" w:hanging="360"/>
      </w:pPr>
      <w:rPr>
        <w:rFonts w:ascii="Symbol" w:hAnsi="Symbol" w:hint="default"/>
      </w:rPr>
    </w:lvl>
  </w:abstractNum>
  <w:abstractNum w:abstractNumId="2" w15:restartNumberingAfterBreak="0">
    <w:nsid w:val="013E4CA5"/>
    <w:multiLevelType w:val="multilevel"/>
    <w:tmpl w:val="68563812"/>
    <w:lvl w:ilvl="0">
      <w:start w:val="1"/>
      <w:numFmt w:val="decimal"/>
      <w:lvlText w:val="%1."/>
      <w:lvlJc w:val="left"/>
      <w:pPr>
        <w:tabs>
          <w:tab w:val="num" w:pos="720"/>
        </w:tabs>
        <w:ind w:left="720" w:hanging="720"/>
      </w:pPr>
      <w:rPr>
        <w:rFonts w:ascii="Times New Roman" w:hAnsi="Times New Roman" w:hint="default"/>
        <w:b/>
        <w:i w:val="0"/>
        <w:sz w:val="24"/>
      </w:rPr>
    </w:lvl>
    <w:lvl w:ilvl="1">
      <w:start w:val="1"/>
      <w:numFmt w:val="decimal"/>
      <w:lvlText w:val="%1.%2"/>
      <w:lvlJc w:val="left"/>
      <w:pPr>
        <w:tabs>
          <w:tab w:val="num" w:pos="720"/>
        </w:tabs>
        <w:ind w:left="720" w:hanging="720"/>
      </w:pPr>
      <w:rPr>
        <w:rFonts w:ascii="Times New Roman" w:hAnsi="Times New Roman" w:hint="default"/>
        <w:b/>
        <w:i w:val="0"/>
        <w:sz w:val="24"/>
      </w:rPr>
    </w:lvl>
    <w:lvl w:ilvl="2">
      <w:start w:val="1"/>
      <w:numFmt w:val="decimal"/>
      <w:lvlText w:val="%1.%2.%3"/>
      <w:lvlJc w:val="left"/>
      <w:pPr>
        <w:tabs>
          <w:tab w:val="num" w:pos="1440"/>
        </w:tabs>
        <w:ind w:left="720" w:hanging="720"/>
      </w:pPr>
    </w:lvl>
    <w:lvl w:ilvl="3">
      <w:start w:val="1"/>
      <w:numFmt w:val="decimal"/>
      <w:lvlText w:val="%1.%2.%3.%4"/>
      <w:lvlJc w:val="left"/>
      <w:pPr>
        <w:tabs>
          <w:tab w:val="num" w:pos="1800"/>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1C58130E"/>
    <w:multiLevelType w:val="multilevel"/>
    <w:tmpl w:val="47FC11E8"/>
    <w:lvl w:ilvl="0">
      <w:start w:val="1"/>
      <w:numFmt w:val="decimal"/>
      <w:pStyle w:val="PVxHeading"/>
      <w:lvlText w:val="%1."/>
      <w:lvlJc w:val="left"/>
      <w:pPr>
        <w:tabs>
          <w:tab w:val="num" w:pos="720"/>
        </w:tabs>
        <w:ind w:left="720" w:hanging="720"/>
      </w:pPr>
      <w:rPr>
        <w:rFonts w:ascii="Times New Roman" w:hAnsi="Times New Roman" w:hint="default"/>
        <w:b/>
        <w:i w:val="0"/>
        <w:sz w:val="24"/>
      </w:rPr>
    </w:lvl>
    <w:lvl w:ilvl="1">
      <w:start w:val="1"/>
      <w:numFmt w:val="decimal"/>
      <w:lvlText w:val="%1.%2"/>
      <w:lvlJc w:val="left"/>
      <w:pPr>
        <w:tabs>
          <w:tab w:val="num" w:pos="720"/>
        </w:tabs>
        <w:ind w:left="720" w:hanging="720"/>
      </w:pPr>
      <w:rPr>
        <w:rFonts w:ascii="Times New Roman" w:hAnsi="Times New Roman" w:hint="default"/>
        <w:b/>
        <w:i w:val="0"/>
        <w:sz w:val="24"/>
      </w:rPr>
    </w:lvl>
    <w:lvl w:ilvl="2">
      <w:start w:val="1"/>
      <w:numFmt w:val="decimal"/>
      <w:lvlText w:val="%1.%2.%3"/>
      <w:lvlJc w:val="left"/>
      <w:pPr>
        <w:tabs>
          <w:tab w:val="num" w:pos="1440"/>
        </w:tabs>
        <w:ind w:left="720" w:hanging="720"/>
      </w:pPr>
    </w:lvl>
    <w:lvl w:ilvl="3">
      <w:start w:val="1"/>
      <w:numFmt w:val="decimal"/>
      <w:lvlText w:val="%1.%2.%3.%4"/>
      <w:lvlJc w:val="left"/>
      <w:pPr>
        <w:tabs>
          <w:tab w:val="num" w:pos="1800"/>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247D0C51"/>
    <w:multiLevelType w:val="multilevel"/>
    <w:tmpl w:val="80B062B0"/>
    <w:lvl w:ilvl="0">
      <w:start w:val="1"/>
      <w:numFmt w:val="decimal"/>
      <w:lvlText w:val="%1."/>
      <w:lvlJc w:val="left"/>
      <w:pPr>
        <w:tabs>
          <w:tab w:val="num" w:pos="720"/>
        </w:tabs>
        <w:ind w:left="720" w:hanging="720"/>
      </w:pPr>
      <w:rPr>
        <w:rFonts w:ascii="Times New Roman" w:hAnsi="Times New Roman" w:hint="default"/>
        <w:b/>
        <w:i w:val="0"/>
        <w:sz w:val="24"/>
      </w:rPr>
    </w:lvl>
    <w:lvl w:ilvl="1">
      <w:start w:val="1"/>
      <w:numFmt w:val="decimal"/>
      <w:lvlText w:val="%1.%2"/>
      <w:lvlJc w:val="left"/>
      <w:pPr>
        <w:tabs>
          <w:tab w:val="num" w:pos="720"/>
        </w:tabs>
        <w:ind w:left="720" w:hanging="720"/>
      </w:pPr>
      <w:rPr>
        <w:rFonts w:ascii="Times New Roman" w:hAnsi="Times New Roman" w:hint="default"/>
        <w:b/>
        <w:i w:val="0"/>
        <w:sz w:val="24"/>
      </w:rPr>
    </w:lvl>
    <w:lvl w:ilvl="2">
      <w:start w:val="1"/>
      <w:numFmt w:val="decimal"/>
      <w:lvlText w:val="%1.%2.%3"/>
      <w:lvlJc w:val="left"/>
      <w:pPr>
        <w:tabs>
          <w:tab w:val="num" w:pos="1440"/>
        </w:tabs>
        <w:ind w:left="720" w:hanging="720"/>
      </w:pPr>
    </w:lvl>
    <w:lvl w:ilvl="3">
      <w:start w:val="1"/>
      <w:numFmt w:val="decimal"/>
      <w:lvlText w:val="%1.%2.%3.%4"/>
      <w:lvlJc w:val="left"/>
      <w:pPr>
        <w:tabs>
          <w:tab w:val="num" w:pos="1800"/>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27E3788E"/>
    <w:multiLevelType w:val="multilevel"/>
    <w:tmpl w:val="F35CC88C"/>
    <w:lvl w:ilvl="0">
      <w:start w:val="1"/>
      <w:numFmt w:val="decimal"/>
      <w:lvlText w:val="%1."/>
      <w:lvlJc w:val="left"/>
      <w:pPr>
        <w:tabs>
          <w:tab w:val="num" w:pos="720"/>
        </w:tabs>
        <w:ind w:left="720" w:hanging="720"/>
      </w:pPr>
      <w:rPr>
        <w:rFonts w:ascii="Times New Roman" w:hAnsi="Times New Roman" w:hint="default"/>
        <w:b/>
        <w:i w:val="0"/>
        <w:sz w:val="24"/>
      </w:rPr>
    </w:lvl>
    <w:lvl w:ilvl="1">
      <w:start w:val="1"/>
      <w:numFmt w:val="decimal"/>
      <w:lvlText w:val="%1.%2"/>
      <w:lvlJc w:val="left"/>
      <w:pPr>
        <w:tabs>
          <w:tab w:val="num" w:pos="720"/>
        </w:tabs>
        <w:ind w:left="720" w:hanging="720"/>
      </w:pPr>
      <w:rPr>
        <w:rFonts w:ascii="Times New Roman" w:hAnsi="Times New Roman" w:hint="default"/>
        <w:b/>
        <w:i w:val="0"/>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3EAF01B1"/>
    <w:multiLevelType w:val="singleLevel"/>
    <w:tmpl w:val="65C6BFBC"/>
    <w:lvl w:ilvl="0">
      <w:start w:val="1"/>
      <w:numFmt w:val="decimal"/>
      <w:lvlText w:val="%1."/>
      <w:lvlJc w:val="left"/>
      <w:pPr>
        <w:tabs>
          <w:tab w:val="num" w:pos="360"/>
        </w:tabs>
        <w:ind w:left="360" w:hanging="360"/>
      </w:pPr>
    </w:lvl>
  </w:abstractNum>
  <w:abstractNum w:abstractNumId="7" w15:restartNumberingAfterBreak="0">
    <w:nsid w:val="4CE833CE"/>
    <w:multiLevelType w:val="multilevel"/>
    <w:tmpl w:val="74FC5176"/>
    <w:lvl w:ilvl="0">
      <w:start w:val="1"/>
      <w:numFmt w:val="decimal"/>
      <w:lvlText w:val="%1."/>
      <w:lvlJc w:val="left"/>
      <w:pPr>
        <w:tabs>
          <w:tab w:val="num" w:pos="720"/>
        </w:tabs>
        <w:ind w:left="720" w:hanging="720"/>
      </w:pPr>
      <w:rPr>
        <w:rFonts w:ascii="Times New Roman" w:hAnsi="Times New Roman" w:hint="default"/>
        <w:b/>
        <w:i w:val="0"/>
        <w:sz w:val="24"/>
      </w:rPr>
    </w:lvl>
    <w:lvl w:ilvl="1">
      <w:start w:val="1"/>
      <w:numFmt w:val="decimal"/>
      <w:lvlText w:val="%1.%2"/>
      <w:lvlJc w:val="left"/>
      <w:pPr>
        <w:tabs>
          <w:tab w:val="num" w:pos="720"/>
        </w:tabs>
        <w:ind w:left="720" w:hanging="720"/>
      </w:pPr>
      <w:rPr>
        <w:rFonts w:ascii="Times New Roman" w:hAnsi="Times New Roman" w:hint="default"/>
        <w:b/>
        <w:i w:val="0"/>
        <w:sz w:val="24"/>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15:restartNumberingAfterBreak="0">
    <w:nsid w:val="5519790F"/>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AD35DAB"/>
    <w:multiLevelType w:val="multilevel"/>
    <w:tmpl w:val="827EAEC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6B4F0640"/>
    <w:multiLevelType w:val="multilevel"/>
    <w:tmpl w:val="4A041180"/>
    <w:lvl w:ilvl="0">
      <w:start w:val="1"/>
      <w:numFmt w:val="decimal"/>
      <w:lvlText w:val="%1."/>
      <w:lvlJc w:val="left"/>
      <w:pPr>
        <w:tabs>
          <w:tab w:val="num" w:pos="720"/>
        </w:tabs>
        <w:ind w:left="720" w:hanging="720"/>
      </w:pPr>
      <w:rPr>
        <w:rFonts w:ascii="Times New Roman" w:hAnsi="Times New Roman" w:hint="default"/>
        <w:b/>
        <w:i w:val="0"/>
        <w:sz w:val="24"/>
      </w:rPr>
    </w:lvl>
    <w:lvl w:ilvl="1">
      <w:start w:val="1"/>
      <w:numFmt w:val="decimal"/>
      <w:lvlText w:val="%1.%2"/>
      <w:lvlJc w:val="left"/>
      <w:pPr>
        <w:tabs>
          <w:tab w:val="num" w:pos="720"/>
        </w:tabs>
        <w:ind w:left="720" w:hanging="720"/>
      </w:pPr>
      <w:rPr>
        <w:rFonts w:ascii="Times New Roman" w:hAnsi="Times New Roman" w:hint="default"/>
        <w:b/>
        <w:i w:val="0"/>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72E76083"/>
    <w:multiLevelType w:val="multilevel"/>
    <w:tmpl w:val="381276F4"/>
    <w:lvl w:ilvl="0">
      <w:start w:val="1"/>
      <w:numFmt w:val="lowerLetter"/>
      <w:lvlText w:val="%1)"/>
      <w:lvlJc w:val="left"/>
      <w:pPr>
        <w:tabs>
          <w:tab w:val="num" w:pos="1440"/>
        </w:tabs>
        <w:ind w:left="144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11"/>
  </w:num>
  <w:num w:numId="3">
    <w:abstractNumId w:val="7"/>
  </w:num>
  <w:num w:numId="4">
    <w:abstractNumId w:val="6"/>
  </w:num>
  <w:num w:numId="5">
    <w:abstractNumId w:val="1"/>
  </w:num>
  <w:num w:numId="6">
    <w:abstractNumId w:val="5"/>
  </w:num>
  <w:num w:numId="7">
    <w:abstractNumId w:val="2"/>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2"/>
  </w:num>
  <w:num w:numId="16">
    <w:abstractNumId w:val="2"/>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2"/>
  </w:num>
  <w:num w:numId="25">
    <w:abstractNumId w:val="2"/>
  </w:num>
  <w:num w:numId="26">
    <w:abstractNumId w:val="4"/>
  </w:num>
  <w:num w:numId="27">
    <w:abstractNumId w:val="3"/>
  </w:num>
  <w:num w:numId="28">
    <w:abstractNumId w:val="9"/>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AIRMNU" w:val=" 1"/>
    <w:docVar w:name="CITYMNU" w:val=" 1"/>
    <w:docVar w:name="COMKEY" w:val="PETI"/>
    <w:docVar w:name="LastEditedSection" w:val=" 1"/>
    <w:docVar w:name="MEETMNU" w:val="1"/>
    <w:docVar w:name="NVAR" w:val="0"/>
    <w:docVar w:name="STOREDT1" w:val="03/10/2024"/>
    <w:docVar w:name="strDocTypeID" w:val="PVx"/>
    <w:docVar w:name="strSubDir" w:val="1306"/>
    <w:docVar w:name="TXTLANGUE" w:val="EN"/>
    <w:docVar w:name="TXTLANGUEMIN" w:val="en"/>
    <w:docVar w:name="TXTNRPE" w:val="763.202"/>
    <w:docVar w:name="TXTNRPV" w:val="(2024)1003_1"/>
    <w:docVar w:name="TXTPEorAP" w:val="PE"/>
    <w:docVar w:name="TXTROUTE" w:val="PV\1306631EN.docx"/>
    <w:docVar w:name="TXTVERSION" w:val="01-00"/>
  </w:docVars>
  <w:rsids>
    <w:rsidRoot w:val="00A500F5"/>
    <w:rsid w:val="00007788"/>
    <w:rsid w:val="00021AD6"/>
    <w:rsid w:val="000265BD"/>
    <w:rsid w:val="00041A79"/>
    <w:rsid w:val="00051B98"/>
    <w:rsid w:val="000533F1"/>
    <w:rsid w:val="000637F3"/>
    <w:rsid w:val="0006514D"/>
    <w:rsid w:val="0007192F"/>
    <w:rsid w:val="00092111"/>
    <w:rsid w:val="0009235A"/>
    <w:rsid w:val="00094128"/>
    <w:rsid w:val="000952B6"/>
    <w:rsid w:val="000A769E"/>
    <w:rsid w:val="000B1C1A"/>
    <w:rsid w:val="000B727D"/>
    <w:rsid w:val="000C46ED"/>
    <w:rsid w:val="000D1273"/>
    <w:rsid w:val="000D4F53"/>
    <w:rsid w:val="000D5FD7"/>
    <w:rsid w:val="000E082D"/>
    <w:rsid w:val="000F0B40"/>
    <w:rsid w:val="000F6376"/>
    <w:rsid w:val="0011399B"/>
    <w:rsid w:val="00114A86"/>
    <w:rsid w:val="001173AC"/>
    <w:rsid w:val="00164E56"/>
    <w:rsid w:val="00176DCC"/>
    <w:rsid w:val="001813D5"/>
    <w:rsid w:val="001857BA"/>
    <w:rsid w:val="00190F58"/>
    <w:rsid w:val="00194506"/>
    <w:rsid w:val="0019636C"/>
    <w:rsid w:val="001C4040"/>
    <w:rsid w:val="001D14AA"/>
    <w:rsid w:val="001E20EC"/>
    <w:rsid w:val="001E4EBD"/>
    <w:rsid w:val="0020777E"/>
    <w:rsid w:val="0022027F"/>
    <w:rsid w:val="00225BAF"/>
    <w:rsid w:val="0022750E"/>
    <w:rsid w:val="00236A0D"/>
    <w:rsid w:val="002467F2"/>
    <w:rsid w:val="00250F5D"/>
    <w:rsid w:val="00251D85"/>
    <w:rsid w:val="0026136B"/>
    <w:rsid w:val="002659A2"/>
    <w:rsid w:val="00273DB4"/>
    <w:rsid w:val="002753C7"/>
    <w:rsid w:val="002870DD"/>
    <w:rsid w:val="002A27BB"/>
    <w:rsid w:val="002C6A21"/>
    <w:rsid w:val="002D74B5"/>
    <w:rsid w:val="002D7816"/>
    <w:rsid w:val="002E083E"/>
    <w:rsid w:val="002E2B09"/>
    <w:rsid w:val="002E37A9"/>
    <w:rsid w:val="00316C24"/>
    <w:rsid w:val="00323589"/>
    <w:rsid w:val="003345F5"/>
    <w:rsid w:val="0033767A"/>
    <w:rsid w:val="00343EBA"/>
    <w:rsid w:val="003547F9"/>
    <w:rsid w:val="0036013B"/>
    <w:rsid w:val="00367FF0"/>
    <w:rsid w:val="00370637"/>
    <w:rsid w:val="00374A20"/>
    <w:rsid w:val="003A0A68"/>
    <w:rsid w:val="003A4EA4"/>
    <w:rsid w:val="003B4372"/>
    <w:rsid w:val="003C12C7"/>
    <w:rsid w:val="003C3547"/>
    <w:rsid w:val="003C7A12"/>
    <w:rsid w:val="003D1CBB"/>
    <w:rsid w:val="003E0A41"/>
    <w:rsid w:val="003E0BDE"/>
    <w:rsid w:val="003E0D2D"/>
    <w:rsid w:val="003E582C"/>
    <w:rsid w:val="003F18DC"/>
    <w:rsid w:val="00405A95"/>
    <w:rsid w:val="004062E2"/>
    <w:rsid w:val="0045430B"/>
    <w:rsid w:val="00467244"/>
    <w:rsid w:val="00472CBA"/>
    <w:rsid w:val="00481465"/>
    <w:rsid w:val="00481807"/>
    <w:rsid w:val="0048229C"/>
    <w:rsid w:val="00497850"/>
    <w:rsid w:val="004A2D31"/>
    <w:rsid w:val="004A4538"/>
    <w:rsid w:val="004A4927"/>
    <w:rsid w:val="004B094A"/>
    <w:rsid w:val="004B163A"/>
    <w:rsid w:val="004B6286"/>
    <w:rsid w:val="004C1E4A"/>
    <w:rsid w:val="004D6B1E"/>
    <w:rsid w:val="004E577D"/>
    <w:rsid w:val="004F1219"/>
    <w:rsid w:val="004F12D3"/>
    <w:rsid w:val="004F6ED0"/>
    <w:rsid w:val="004F76B3"/>
    <w:rsid w:val="00543EF6"/>
    <w:rsid w:val="00553CD4"/>
    <w:rsid w:val="00571482"/>
    <w:rsid w:val="00574D4D"/>
    <w:rsid w:val="005828F0"/>
    <w:rsid w:val="005838E8"/>
    <w:rsid w:val="00596A5E"/>
    <w:rsid w:val="005970B3"/>
    <w:rsid w:val="005A28B9"/>
    <w:rsid w:val="005A4857"/>
    <w:rsid w:val="005B7835"/>
    <w:rsid w:val="005D2D78"/>
    <w:rsid w:val="005D4FEF"/>
    <w:rsid w:val="005D5A08"/>
    <w:rsid w:val="005E11B3"/>
    <w:rsid w:val="005E2DEF"/>
    <w:rsid w:val="005E6C44"/>
    <w:rsid w:val="005F6C89"/>
    <w:rsid w:val="006132D6"/>
    <w:rsid w:val="00615488"/>
    <w:rsid w:val="006275CD"/>
    <w:rsid w:val="00640211"/>
    <w:rsid w:val="006418F2"/>
    <w:rsid w:val="0064227F"/>
    <w:rsid w:val="00643758"/>
    <w:rsid w:val="00647586"/>
    <w:rsid w:val="00650AF2"/>
    <w:rsid w:val="00654687"/>
    <w:rsid w:val="00672690"/>
    <w:rsid w:val="00675887"/>
    <w:rsid w:val="0067649D"/>
    <w:rsid w:val="006B2516"/>
    <w:rsid w:val="006B2AF7"/>
    <w:rsid w:val="006C1AC2"/>
    <w:rsid w:val="006C52AC"/>
    <w:rsid w:val="006C6F0A"/>
    <w:rsid w:val="006D0C4F"/>
    <w:rsid w:val="006D2283"/>
    <w:rsid w:val="006D3CC8"/>
    <w:rsid w:val="006D6EB9"/>
    <w:rsid w:val="006E2C80"/>
    <w:rsid w:val="00704D52"/>
    <w:rsid w:val="0070508E"/>
    <w:rsid w:val="00713B78"/>
    <w:rsid w:val="00714F25"/>
    <w:rsid w:val="007153A2"/>
    <w:rsid w:val="00754C89"/>
    <w:rsid w:val="00755125"/>
    <w:rsid w:val="00765523"/>
    <w:rsid w:val="00765E1E"/>
    <w:rsid w:val="0076749D"/>
    <w:rsid w:val="00785E9B"/>
    <w:rsid w:val="00792939"/>
    <w:rsid w:val="00793FC2"/>
    <w:rsid w:val="007A3289"/>
    <w:rsid w:val="007B0C9D"/>
    <w:rsid w:val="007C674A"/>
    <w:rsid w:val="007D1D46"/>
    <w:rsid w:val="007D6B19"/>
    <w:rsid w:val="007E0B3D"/>
    <w:rsid w:val="007E5C31"/>
    <w:rsid w:val="00801684"/>
    <w:rsid w:val="00803FD1"/>
    <w:rsid w:val="00804AE1"/>
    <w:rsid w:val="0082592C"/>
    <w:rsid w:val="0083601E"/>
    <w:rsid w:val="00844D91"/>
    <w:rsid w:val="008452E8"/>
    <w:rsid w:val="00872F47"/>
    <w:rsid w:val="0088003A"/>
    <w:rsid w:val="0088601A"/>
    <w:rsid w:val="00891C54"/>
    <w:rsid w:val="00897306"/>
    <w:rsid w:val="008978D3"/>
    <w:rsid w:val="008A0730"/>
    <w:rsid w:val="008A5B14"/>
    <w:rsid w:val="008A7874"/>
    <w:rsid w:val="008B0D40"/>
    <w:rsid w:val="008C12BD"/>
    <w:rsid w:val="008C3BBA"/>
    <w:rsid w:val="008D7AD4"/>
    <w:rsid w:val="008E131C"/>
    <w:rsid w:val="008E4DD5"/>
    <w:rsid w:val="008E6B98"/>
    <w:rsid w:val="008F6F69"/>
    <w:rsid w:val="008F7A17"/>
    <w:rsid w:val="00905F78"/>
    <w:rsid w:val="009119A3"/>
    <w:rsid w:val="00926DB0"/>
    <w:rsid w:val="009408CB"/>
    <w:rsid w:val="009515D1"/>
    <w:rsid w:val="00956466"/>
    <w:rsid w:val="00960270"/>
    <w:rsid w:val="0097066F"/>
    <w:rsid w:val="00972263"/>
    <w:rsid w:val="0099346B"/>
    <w:rsid w:val="00994629"/>
    <w:rsid w:val="009D17C3"/>
    <w:rsid w:val="009D762D"/>
    <w:rsid w:val="009E0B27"/>
    <w:rsid w:val="009E24B6"/>
    <w:rsid w:val="009E7A82"/>
    <w:rsid w:val="00A00F95"/>
    <w:rsid w:val="00A01AD6"/>
    <w:rsid w:val="00A13D65"/>
    <w:rsid w:val="00A13DDE"/>
    <w:rsid w:val="00A16FC5"/>
    <w:rsid w:val="00A36A4E"/>
    <w:rsid w:val="00A427A6"/>
    <w:rsid w:val="00A44C95"/>
    <w:rsid w:val="00A500F5"/>
    <w:rsid w:val="00A5325A"/>
    <w:rsid w:val="00A6035E"/>
    <w:rsid w:val="00A65248"/>
    <w:rsid w:val="00A66B35"/>
    <w:rsid w:val="00A81EEA"/>
    <w:rsid w:val="00A87091"/>
    <w:rsid w:val="00A91422"/>
    <w:rsid w:val="00A92F32"/>
    <w:rsid w:val="00AB0669"/>
    <w:rsid w:val="00AB7DBA"/>
    <w:rsid w:val="00AC138D"/>
    <w:rsid w:val="00AC4D9A"/>
    <w:rsid w:val="00AC5E30"/>
    <w:rsid w:val="00AC660B"/>
    <w:rsid w:val="00AC70F9"/>
    <w:rsid w:val="00AD4CEB"/>
    <w:rsid w:val="00AE1834"/>
    <w:rsid w:val="00AF2827"/>
    <w:rsid w:val="00B01DC3"/>
    <w:rsid w:val="00B15084"/>
    <w:rsid w:val="00B2395C"/>
    <w:rsid w:val="00B408BE"/>
    <w:rsid w:val="00B501B7"/>
    <w:rsid w:val="00B51AD5"/>
    <w:rsid w:val="00BA4044"/>
    <w:rsid w:val="00BA464F"/>
    <w:rsid w:val="00BB0B38"/>
    <w:rsid w:val="00BC7215"/>
    <w:rsid w:val="00BD3F38"/>
    <w:rsid w:val="00BF102E"/>
    <w:rsid w:val="00BF288C"/>
    <w:rsid w:val="00BF54D6"/>
    <w:rsid w:val="00C01C42"/>
    <w:rsid w:val="00C13E92"/>
    <w:rsid w:val="00C346F1"/>
    <w:rsid w:val="00C36FC4"/>
    <w:rsid w:val="00C46B37"/>
    <w:rsid w:val="00C634EF"/>
    <w:rsid w:val="00C63594"/>
    <w:rsid w:val="00C63E0B"/>
    <w:rsid w:val="00C64625"/>
    <w:rsid w:val="00C701DE"/>
    <w:rsid w:val="00C76C40"/>
    <w:rsid w:val="00C82F5B"/>
    <w:rsid w:val="00C90B1B"/>
    <w:rsid w:val="00CA2394"/>
    <w:rsid w:val="00CA53ED"/>
    <w:rsid w:val="00CA70CB"/>
    <w:rsid w:val="00CB12EE"/>
    <w:rsid w:val="00CC5762"/>
    <w:rsid w:val="00CC6E1E"/>
    <w:rsid w:val="00CD01A6"/>
    <w:rsid w:val="00CD0CF5"/>
    <w:rsid w:val="00CE29F4"/>
    <w:rsid w:val="00CE5AEB"/>
    <w:rsid w:val="00CF2D24"/>
    <w:rsid w:val="00CF45C4"/>
    <w:rsid w:val="00CF78F5"/>
    <w:rsid w:val="00D077F2"/>
    <w:rsid w:val="00D11A34"/>
    <w:rsid w:val="00D329C8"/>
    <w:rsid w:val="00D342CE"/>
    <w:rsid w:val="00D374CC"/>
    <w:rsid w:val="00D45997"/>
    <w:rsid w:val="00D6668F"/>
    <w:rsid w:val="00D96911"/>
    <w:rsid w:val="00DB2330"/>
    <w:rsid w:val="00DB5CC6"/>
    <w:rsid w:val="00DB7BC4"/>
    <w:rsid w:val="00DC061F"/>
    <w:rsid w:val="00DC507B"/>
    <w:rsid w:val="00DC629C"/>
    <w:rsid w:val="00DC63A9"/>
    <w:rsid w:val="00DC7AF1"/>
    <w:rsid w:val="00DD11C0"/>
    <w:rsid w:val="00DD64B7"/>
    <w:rsid w:val="00DF0DC8"/>
    <w:rsid w:val="00E05CC1"/>
    <w:rsid w:val="00E14108"/>
    <w:rsid w:val="00E17EDA"/>
    <w:rsid w:val="00E21182"/>
    <w:rsid w:val="00E2213D"/>
    <w:rsid w:val="00E2660A"/>
    <w:rsid w:val="00E352CD"/>
    <w:rsid w:val="00E413A9"/>
    <w:rsid w:val="00E64BA6"/>
    <w:rsid w:val="00E6537C"/>
    <w:rsid w:val="00E8424C"/>
    <w:rsid w:val="00E85748"/>
    <w:rsid w:val="00E92D38"/>
    <w:rsid w:val="00EA0B23"/>
    <w:rsid w:val="00EA74BF"/>
    <w:rsid w:val="00EA7E10"/>
    <w:rsid w:val="00EB4FBD"/>
    <w:rsid w:val="00EC7932"/>
    <w:rsid w:val="00EE0704"/>
    <w:rsid w:val="00EE1928"/>
    <w:rsid w:val="00EE3F96"/>
    <w:rsid w:val="00EF2B19"/>
    <w:rsid w:val="00F0068D"/>
    <w:rsid w:val="00F05E49"/>
    <w:rsid w:val="00F14A4A"/>
    <w:rsid w:val="00F24FAF"/>
    <w:rsid w:val="00F262FB"/>
    <w:rsid w:val="00F267B4"/>
    <w:rsid w:val="00F31226"/>
    <w:rsid w:val="00F36557"/>
    <w:rsid w:val="00F4356E"/>
    <w:rsid w:val="00F51C97"/>
    <w:rsid w:val="00F5491E"/>
    <w:rsid w:val="00F60A98"/>
    <w:rsid w:val="00F64B87"/>
    <w:rsid w:val="00F84353"/>
    <w:rsid w:val="00F87059"/>
    <w:rsid w:val="00F909BF"/>
    <w:rsid w:val="00F97A4F"/>
    <w:rsid w:val="00FA0152"/>
    <w:rsid w:val="00FA60B5"/>
    <w:rsid w:val="00FA6AF5"/>
    <w:rsid w:val="00FB09D1"/>
    <w:rsid w:val="00FB3DF0"/>
    <w:rsid w:val="00FC1B11"/>
    <w:rsid w:val="00FD183B"/>
    <w:rsid w:val="00FF04B4"/>
    <w:rsid w:val="00FF4EF0"/>
    <w:rsid w:val="00FF553A"/>
  </w:rsids>
  <m:mathPr>
    <m:mathFont m:val="Cambria Math"/>
    <m:brkBin m:val="before"/>
    <m:brkBinSub m:val="--"/>
    <m:smallFrac m:val="0"/>
    <m:dispDef/>
    <m:lMargin m:val="0"/>
    <m:rMargin m:val="0"/>
    <m:defJc m:val="centerGroup"/>
    <m:wrapIndent m:val="1440"/>
    <m:intLim m:val="subSup"/>
    <m:naryLim m:val="undOvr"/>
  </m:mathPr>
  <w:themeFontLang w:val="en-GB" w:eastAsia="ja-JP"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794709-2890-4660-99D0-0A14D073F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semiHidden="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C31"/>
    <w:pPr>
      <w:widowControl w:val="0"/>
    </w:pPr>
    <w:rPr>
      <w:snapToGrid w:val="0"/>
      <w:sz w:val="24"/>
      <w:lang w:eastAsia="en-US"/>
    </w:rPr>
  </w:style>
  <w:style w:type="paragraph" w:styleId="Heading1">
    <w:name w:val="heading 1"/>
    <w:basedOn w:val="Normal"/>
    <w:next w:val="Normal"/>
    <w:link w:val="Heading1Char"/>
    <w:uiPriority w:val="9"/>
    <w:qFormat/>
    <w:pPr>
      <w:keepNext/>
      <w:widowControl/>
      <w:tabs>
        <w:tab w:val="left" w:pos="-1057"/>
        <w:tab w:val="left" w:pos="-720"/>
        <w:tab w:val="left" w:pos="0"/>
        <w:tab w:val="left" w:pos="720"/>
        <w:tab w:val="left" w:pos="2154"/>
        <w:tab w:val="left" w:pos="2880"/>
      </w:tabs>
      <w:ind w:left="2155" w:hanging="2155"/>
      <w:jc w:val="both"/>
      <w:outlineLvl w:val="0"/>
    </w:pPr>
    <w:rPr>
      <w:b/>
    </w:rPr>
  </w:style>
  <w:style w:type="paragraph" w:styleId="Heading2">
    <w:name w:val="heading 2"/>
    <w:basedOn w:val="Normal"/>
    <w:next w:val="Normal"/>
    <w:semiHidden/>
    <w:qFormat/>
    <w:pPr>
      <w:keepNext/>
      <w:spacing w:before="240" w:after="60"/>
      <w:outlineLvl w:val="1"/>
    </w:pPr>
    <w:rPr>
      <w:rFonts w:ascii="Arial" w:hAnsi="Arial"/>
      <w:b/>
      <w:i/>
    </w:rPr>
  </w:style>
  <w:style w:type="paragraph" w:styleId="Heading3">
    <w:name w:val="heading 3"/>
    <w:basedOn w:val="Normal"/>
    <w:next w:val="Normal"/>
    <w:semiHidden/>
    <w:qFormat/>
    <w:pPr>
      <w:keepNext/>
      <w:numPr>
        <w:ilvl w:val="2"/>
        <w:numId w:val="17"/>
      </w:numPr>
      <w:spacing w:before="240" w:after="60"/>
      <w:outlineLvl w:val="2"/>
    </w:pPr>
    <w:rPr>
      <w:rFonts w:ascii="Arial" w:hAnsi="Arial"/>
    </w:rPr>
  </w:style>
  <w:style w:type="paragraph" w:styleId="Heading4">
    <w:name w:val="heading 4"/>
    <w:basedOn w:val="Normal"/>
    <w:next w:val="Normal"/>
    <w:semiHidden/>
    <w:qFormat/>
    <w:pPr>
      <w:keepNext/>
      <w:numPr>
        <w:ilvl w:val="3"/>
        <w:numId w:val="18"/>
      </w:numPr>
      <w:spacing w:before="240" w:after="60"/>
      <w:outlineLvl w:val="3"/>
    </w:pPr>
    <w:rPr>
      <w:rFonts w:ascii="Arial" w:hAnsi="Arial"/>
      <w:b/>
    </w:rPr>
  </w:style>
  <w:style w:type="paragraph" w:styleId="Heading5">
    <w:name w:val="heading 5"/>
    <w:basedOn w:val="Normal"/>
    <w:next w:val="Normal"/>
    <w:semiHidden/>
    <w:qFormat/>
    <w:pPr>
      <w:numPr>
        <w:ilvl w:val="4"/>
        <w:numId w:val="19"/>
      </w:numPr>
      <w:spacing w:before="240" w:after="60"/>
      <w:outlineLvl w:val="4"/>
    </w:pPr>
    <w:rPr>
      <w:sz w:val="22"/>
    </w:rPr>
  </w:style>
  <w:style w:type="paragraph" w:styleId="Heading6">
    <w:name w:val="heading 6"/>
    <w:basedOn w:val="Normal"/>
    <w:next w:val="Normal"/>
    <w:semiHidden/>
    <w:qFormat/>
    <w:pPr>
      <w:numPr>
        <w:ilvl w:val="5"/>
        <w:numId w:val="20"/>
      </w:numPr>
      <w:spacing w:before="240" w:after="60"/>
      <w:outlineLvl w:val="5"/>
    </w:pPr>
    <w:rPr>
      <w:i/>
      <w:sz w:val="22"/>
    </w:rPr>
  </w:style>
  <w:style w:type="paragraph" w:styleId="Heading7">
    <w:name w:val="heading 7"/>
    <w:basedOn w:val="Normal"/>
    <w:next w:val="Normal"/>
    <w:semiHidden/>
    <w:qFormat/>
    <w:pPr>
      <w:numPr>
        <w:ilvl w:val="6"/>
        <w:numId w:val="21"/>
      </w:numPr>
      <w:spacing w:before="240" w:after="60"/>
      <w:outlineLvl w:val="6"/>
    </w:pPr>
    <w:rPr>
      <w:rFonts w:ascii="Arial" w:hAnsi="Arial"/>
      <w:sz w:val="20"/>
    </w:rPr>
  </w:style>
  <w:style w:type="paragraph" w:styleId="Heading8">
    <w:name w:val="heading 8"/>
    <w:basedOn w:val="Normal"/>
    <w:next w:val="Normal"/>
    <w:semiHidden/>
    <w:qFormat/>
    <w:pPr>
      <w:numPr>
        <w:ilvl w:val="7"/>
        <w:numId w:val="22"/>
      </w:numPr>
      <w:spacing w:before="240" w:after="60"/>
      <w:outlineLvl w:val="7"/>
    </w:pPr>
    <w:rPr>
      <w:rFonts w:ascii="Arial" w:hAnsi="Arial"/>
      <w:i/>
      <w:sz w:val="20"/>
    </w:rPr>
  </w:style>
  <w:style w:type="paragraph" w:styleId="Heading9">
    <w:name w:val="heading 9"/>
    <w:basedOn w:val="Normal"/>
    <w:next w:val="Normal"/>
    <w:semiHidden/>
    <w:qFormat/>
    <w:pPr>
      <w:numPr>
        <w:ilvl w:val="8"/>
        <w:numId w:val="23"/>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dancePV">
    <w:name w:val="AttendancePV"/>
    <w:basedOn w:val="Normal"/>
    <w:rsid w:val="00AD4CEB"/>
    <w:rPr>
      <w:sz w:val="16"/>
    </w:rPr>
  </w:style>
  <w:style w:type="paragraph" w:customStyle="1" w:styleId="PVxIndent">
    <w:name w:val="PVxIndent"/>
    <w:basedOn w:val="Normal"/>
    <w:rsid w:val="006B2AF7"/>
    <w:pPr>
      <w:ind w:left="567"/>
    </w:pPr>
  </w:style>
  <w:style w:type="paragraph" w:customStyle="1" w:styleId="PVxHeading">
    <w:name w:val="PVxHeading"/>
    <w:basedOn w:val="Normal"/>
    <w:next w:val="Normal"/>
    <w:rsid w:val="0007192F"/>
    <w:pPr>
      <w:keepNext/>
      <w:widowControl/>
      <w:numPr>
        <w:numId w:val="27"/>
      </w:numPr>
      <w:tabs>
        <w:tab w:val="clear" w:pos="720"/>
        <w:tab w:val="right" w:pos="9072"/>
      </w:tabs>
      <w:spacing w:before="240" w:after="240"/>
      <w:ind w:left="567" w:hanging="567"/>
    </w:pPr>
    <w:rPr>
      <w:b/>
    </w:rPr>
  </w:style>
  <w:style w:type="paragraph" w:customStyle="1" w:styleId="PVxSubheading12a">
    <w:name w:val="PVxSubheading12a"/>
    <w:basedOn w:val="Normal"/>
    <w:next w:val="Normal"/>
    <w:rsid w:val="006B2AF7"/>
    <w:pPr>
      <w:widowControl/>
      <w:spacing w:after="240"/>
      <w:ind w:left="567"/>
    </w:pPr>
    <w:rPr>
      <w:b/>
      <w:i/>
    </w:rPr>
  </w:style>
  <w:style w:type="paragraph" w:customStyle="1" w:styleId="PVxSubheadingTab12b">
    <w:name w:val="PVxSubheadingTab12b"/>
    <w:basedOn w:val="Normal"/>
    <w:rsid w:val="0048229C"/>
    <w:pPr>
      <w:tabs>
        <w:tab w:val="left" w:pos="2268"/>
      </w:tabs>
      <w:spacing w:before="240"/>
      <w:ind w:left="567"/>
    </w:pPr>
    <w:rPr>
      <w:b/>
      <w:i/>
    </w:rPr>
  </w:style>
  <w:style w:type="paragraph" w:customStyle="1" w:styleId="PVxSubheadingTab12b12a">
    <w:name w:val="PVxSubheadingTab12b12a"/>
    <w:basedOn w:val="Normal"/>
    <w:next w:val="Normal"/>
    <w:rsid w:val="0048229C"/>
    <w:pPr>
      <w:tabs>
        <w:tab w:val="left" w:pos="2268"/>
      </w:tabs>
      <w:spacing w:before="240" w:after="240"/>
      <w:ind w:left="567"/>
    </w:pPr>
    <w:rPr>
      <w:b/>
      <w:i/>
    </w:rPr>
  </w:style>
  <w:style w:type="character" w:customStyle="1" w:styleId="HideTWBExt">
    <w:name w:val="HideTWBExt"/>
    <w:rPr>
      <w:rFonts w:ascii="Arial" w:hAnsi="Arial"/>
      <w:noProof/>
      <w:vanish/>
      <w:color w:val="000080"/>
      <w:sz w:val="20"/>
    </w:rPr>
  </w:style>
  <w:style w:type="paragraph" w:customStyle="1" w:styleId="PVxIndentRightTab">
    <w:name w:val="PVxIndentRightTab"/>
    <w:basedOn w:val="Normal"/>
    <w:rsid w:val="00CD0CF5"/>
    <w:pPr>
      <w:tabs>
        <w:tab w:val="right" w:pos="9072"/>
      </w:tabs>
      <w:ind w:left="567"/>
    </w:pPr>
  </w:style>
  <w:style w:type="paragraph" w:customStyle="1" w:styleId="NormalHanging12b">
    <w:name w:val="NormalHanging12b"/>
    <w:basedOn w:val="Normal"/>
    <w:rsid w:val="004062E2"/>
    <w:pPr>
      <w:spacing w:before="240"/>
      <w:ind w:left="567" w:hanging="567"/>
    </w:pPr>
    <w:rPr>
      <w:snapToGrid/>
      <w:lang w:eastAsia="en-GB"/>
    </w:rPr>
  </w:style>
  <w:style w:type="paragraph" w:styleId="TOC1">
    <w:name w:val="toc 1"/>
    <w:basedOn w:val="Normal"/>
    <w:next w:val="Normal"/>
    <w:autoRedefine/>
    <w:uiPriority w:val="39"/>
    <w:rsid w:val="00A16FC5"/>
  </w:style>
  <w:style w:type="character" w:styleId="Hyperlink">
    <w:name w:val="Hyperlink"/>
    <w:uiPriority w:val="99"/>
    <w:semiHidden/>
    <w:rsid w:val="004A4538"/>
    <w:rPr>
      <w:color w:val="0563C1"/>
      <w:u w:val="single"/>
    </w:rPr>
  </w:style>
  <w:style w:type="paragraph" w:styleId="TOC2">
    <w:name w:val="toc 2"/>
    <w:basedOn w:val="Normal"/>
    <w:next w:val="Normal"/>
    <w:autoRedefine/>
    <w:uiPriority w:val="39"/>
    <w:rsid w:val="00A16FC5"/>
    <w:pPr>
      <w:ind w:left="426"/>
    </w:pPr>
  </w:style>
  <w:style w:type="paragraph" w:customStyle="1" w:styleId="RollCallTable">
    <w:name w:val="RollCallTable"/>
    <w:basedOn w:val="Normal"/>
    <w:rsid w:val="002659A2"/>
    <w:pPr>
      <w:spacing w:before="120" w:after="120"/>
    </w:pPr>
    <w:rPr>
      <w:sz w:val="16"/>
    </w:rPr>
  </w:style>
  <w:style w:type="paragraph" w:styleId="FootnoteText">
    <w:name w:val="footnote text"/>
    <w:basedOn w:val="Normal"/>
    <w:link w:val="FootnoteTextChar"/>
    <w:semiHidden/>
    <w:rPr>
      <w:sz w:val="20"/>
    </w:rPr>
  </w:style>
  <w:style w:type="paragraph" w:customStyle="1" w:styleId="RollCallSymbols12pt">
    <w:name w:val="RollCallSymbols12pt"/>
    <w:basedOn w:val="Normal"/>
    <w:rsid w:val="002659A2"/>
    <w:pPr>
      <w:spacing w:before="120" w:after="120"/>
      <w:jc w:val="center"/>
    </w:pPr>
    <w:rPr>
      <w:rFonts w:ascii="Arial" w:hAnsi="Arial"/>
      <w:b/>
      <w:bCs/>
    </w:rPr>
  </w:style>
  <w:style w:type="paragraph" w:customStyle="1" w:styleId="EPFooter2">
    <w:name w:val="EPFooter2"/>
    <w:basedOn w:val="Normal"/>
    <w:next w:val="Normal"/>
    <w:pPr>
      <w:widowControl/>
      <w:tabs>
        <w:tab w:val="center" w:pos="4535"/>
        <w:tab w:val="right" w:pos="9921"/>
      </w:tabs>
      <w:ind w:left="-850" w:right="-850"/>
    </w:pPr>
    <w:rPr>
      <w:rFonts w:ascii="Arial" w:hAnsi="Arial" w:cs="Arial"/>
      <w:b/>
      <w:snapToGrid/>
      <w:sz w:val="48"/>
    </w:rPr>
  </w:style>
  <w:style w:type="table" w:styleId="TableGrid">
    <w:name w:val="Table Grid"/>
    <w:basedOn w:val="TableNormal"/>
    <w:rsid w:val="00F6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
    <w:name w:val="EPBody"/>
    <w:basedOn w:val="Normal"/>
    <w:rsid w:val="00F64B87"/>
    <w:pPr>
      <w:jc w:val="center"/>
    </w:pPr>
    <w:rPr>
      <w:rFonts w:ascii="Arial" w:hAnsi="Arial" w:cs="Arial"/>
      <w:i/>
      <w:snapToGrid/>
      <w:sz w:val="22"/>
      <w:szCs w:val="22"/>
      <w:lang w:eastAsia="en-GB"/>
    </w:rPr>
  </w:style>
  <w:style w:type="paragraph" w:customStyle="1" w:styleId="RollCallSymbols14pt">
    <w:name w:val="RollCallSymbols14pt"/>
    <w:basedOn w:val="Normal"/>
    <w:rsid w:val="002659A2"/>
    <w:pPr>
      <w:spacing w:before="120" w:after="120"/>
      <w:jc w:val="center"/>
    </w:pPr>
    <w:rPr>
      <w:rFonts w:ascii="Arial" w:hAnsi="Arial"/>
      <w:b/>
      <w:bCs/>
      <w:sz w:val="28"/>
    </w:rPr>
  </w:style>
  <w:style w:type="paragraph" w:customStyle="1" w:styleId="NormalBold12b">
    <w:name w:val="NormalBold12b"/>
    <w:basedOn w:val="Normal"/>
    <w:pPr>
      <w:spacing w:before="240"/>
    </w:pPr>
    <w:rPr>
      <w:b/>
    </w:rPr>
  </w:style>
  <w:style w:type="paragraph" w:customStyle="1" w:styleId="PVxIndentTab">
    <w:name w:val="PVxIndentTab"/>
    <w:basedOn w:val="Normal"/>
    <w:rsid w:val="004062E2"/>
    <w:pPr>
      <w:tabs>
        <w:tab w:val="left" w:pos="2268"/>
      </w:tabs>
      <w:ind w:left="567"/>
    </w:pPr>
  </w:style>
  <w:style w:type="paragraph" w:customStyle="1" w:styleId="PVxIndentTab12b">
    <w:name w:val="PVxIndentTab12b"/>
    <w:basedOn w:val="Normal"/>
    <w:next w:val="Normal"/>
    <w:rsid w:val="00CD0CF5"/>
    <w:pPr>
      <w:tabs>
        <w:tab w:val="left" w:pos="2268"/>
      </w:tabs>
      <w:spacing w:before="240"/>
      <w:ind w:left="567"/>
    </w:pPr>
  </w:style>
  <w:style w:type="paragraph" w:customStyle="1" w:styleId="PVxIndent12a">
    <w:name w:val="PVxIndent12a"/>
    <w:basedOn w:val="Normal"/>
    <w:rsid w:val="006B2AF7"/>
    <w:pPr>
      <w:spacing w:after="240"/>
      <w:ind w:left="567"/>
    </w:pPr>
  </w:style>
  <w:style w:type="paragraph" w:customStyle="1" w:styleId="RollCallVotes">
    <w:name w:val="RollCallVotes"/>
    <w:basedOn w:val="Normal"/>
    <w:rsid w:val="002659A2"/>
    <w:pPr>
      <w:spacing w:before="120" w:after="120"/>
      <w:jc w:val="center"/>
    </w:pPr>
    <w:rPr>
      <w:b/>
      <w:bCs/>
      <w:sz w:val="16"/>
    </w:rPr>
  </w:style>
  <w:style w:type="paragraph" w:customStyle="1" w:styleId="RollCallHeading">
    <w:name w:val="RollCallHeading"/>
    <w:basedOn w:val="Normal"/>
    <w:qFormat/>
    <w:rsid w:val="003A0A68"/>
    <w:pPr>
      <w:spacing w:before="480" w:after="480"/>
      <w:jc w:val="center"/>
    </w:pPr>
    <w:rPr>
      <w:b/>
      <w:sz w:val="28"/>
    </w:rPr>
  </w:style>
  <w:style w:type="character" w:customStyle="1" w:styleId="HideTWBInt">
    <w:name w:val="HideTWBInt"/>
    <w:rPr>
      <w:rFonts w:ascii="Arial" w:hAnsi="Arial" w:cs="Arial"/>
      <w:vanish/>
      <w:color w:val="808080"/>
      <w:sz w:val="20"/>
    </w:rPr>
  </w:style>
  <w:style w:type="paragraph" w:customStyle="1" w:styleId="PVxIndent12b">
    <w:name w:val="PVxIndent12b"/>
    <w:basedOn w:val="Normal"/>
    <w:next w:val="Normal"/>
    <w:rsid w:val="006B2AF7"/>
    <w:pPr>
      <w:spacing w:before="240"/>
      <w:ind w:left="567"/>
    </w:pPr>
  </w:style>
  <w:style w:type="paragraph" w:customStyle="1" w:styleId="NormalBold">
    <w:name w:val="NormalBold"/>
    <w:basedOn w:val="Normal"/>
    <w:rPr>
      <w:b/>
    </w:rPr>
  </w:style>
  <w:style w:type="paragraph" w:customStyle="1" w:styleId="LineTop">
    <w:name w:val="LineTop"/>
    <w:basedOn w:val="Normal"/>
    <w:next w:val="Normal"/>
    <w:rsid w:val="00F64B87"/>
    <w:pPr>
      <w:pBdr>
        <w:top w:val="single" w:sz="4" w:space="1" w:color="auto"/>
      </w:pBdr>
      <w:jc w:val="center"/>
    </w:pPr>
    <w:rPr>
      <w:rFonts w:ascii="Arial" w:hAnsi="Arial" w:cs="Arial"/>
      <w:snapToGrid/>
      <w:sz w:val="16"/>
      <w:szCs w:val="16"/>
      <w:lang w:eastAsia="en-GB"/>
    </w:rPr>
  </w:style>
  <w:style w:type="paragraph" w:customStyle="1" w:styleId="LineBottom">
    <w:name w:val="LineBottom"/>
    <w:basedOn w:val="Normal"/>
    <w:next w:val="Normal"/>
    <w:rsid w:val="001173AC"/>
    <w:pPr>
      <w:pBdr>
        <w:bottom w:val="single" w:sz="4" w:space="1" w:color="auto"/>
      </w:pBdr>
      <w:spacing w:after="240"/>
      <w:jc w:val="center"/>
    </w:pPr>
    <w:rPr>
      <w:rFonts w:ascii="Arial" w:hAnsi="Arial" w:cs="Arial"/>
      <w:snapToGrid/>
      <w:sz w:val="16"/>
      <w:szCs w:val="16"/>
      <w:lang w:eastAsia="en-GB"/>
    </w:rPr>
  </w:style>
  <w:style w:type="paragraph" w:customStyle="1" w:styleId="RollCallTitle">
    <w:name w:val="RollCallTitle"/>
    <w:basedOn w:val="Normal"/>
    <w:qFormat/>
    <w:rsid w:val="00AD4CEB"/>
    <w:pPr>
      <w:spacing w:after="240"/>
    </w:pPr>
  </w:style>
  <w:style w:type="paragraph" w:customStyle="1" w:styleId="RollCallContents">
    <w:name w:val="RollCallContents"/>
    <w:basedOn w:val="Normal"/>
    <w:qFormat/>
    <w:rsid w:val="00DC63A9"/>
    <w:pPr>
      <w:spacing w:before="480" w:after="480"/>
      <w:jc w:val="center"/>
    </w:pPr>
    <w:rPr>
      <w:b/>
    </w:rPr>
  </w:style>
  <w:style w:type="paragraph" w:customStyle="1" w:styleId="RollCallSubtitle">
    <w:name w:val="RollCallSubtitle"/>
    <w:basedOn w:val="RollCallTitle"/>
    <w:qFormat/>
    <w:rsid w:val="008A7874"/>
  </w:style>
  <w:style w:type="paragraph" w:customStyle="1" w:styleId="RollCallTabs">
    <w:name w:val="RollCallTabs"/>
    <w:basedOn w:val="Normal"/>
    <w:qFormat/>
    <w:rsid w:val="000A769E"/>
    <w:pPr>
      <w:tabs>
        <w:tab w:val="center" w:pos="284"/>
        <w:tab w:val="left" w:pos="426"/>
      </w:tabs>
    </w:pPr>
  </w:style>
  <w:style w:type="paragraph" w:customStyle="1" w:styleId="EPName">
    <w:name w:val="EPName"/>
    <w:basedOn w:val="Normal"/>
    <w:rsid w:val="00DF0DC8"/>
    <w:pPr>
      <w:spacing w:before="80" w:after="80"/>
    </w:pPr>
    <w:rPr>
      <w:rFonts w:ascii="Arial Narrow" w:hAnsi="Arial Narrow" w:cs="Arial"/>
      <w:b/>
      <w:snapToGrid/>
      <w:sz w:val="32"/>
      <w:szCs w:val="22"/>
      <w:lang w:eastAsia="en-GB"/>
    </w:rPr>
  </w:style>
  <w:style w:type="paragraph" w:customStyle="1" w:styleId="EPTerm">
    <w:name w:val="EPTerm"/>
    <w:basedOn w:val="Normal"/>
    <w:next w:val="Normal"/>
    <w:rsid w:val="00DF0DC8"/>
    <w:pPr>
      <w:spacing w:after="80"/>
    </w:pPr>
    <w:rPr>
      <w:rFonts w:ascii="Arial" w:hAnsi="Arial" w:cs="Arial"/>
      <w:snapToGrid/>
      <w:sz w:val="20"/>
      <w:szCs w:val="22"/>
      <w:lang w:eastAsia="en-GB"/>
    </w:rPr>
  </w:style>
  <w:style w:type="paragraph" w:customStyle="1" w:styleId="EPLogo">
    <w:name w:val="EPLogo"/>
    <w:basedOn w:val="Normal"/>
    <w:qFormat/>
    <w:rsid w:val="00DF0DC8"/>
    <w:pPr>
      <w:jc w:val="right"/>
    </w:pPr>
    <w:rPr>
      <w:snapToGrid/>
      <w:lang w:eastAsia="en-GB"/>
    </w:rPr>
  </w:style>
  <w:style w:type="paragraph" w:customStyle="1" w:styleId="AttendancePVTable">
    <w:name w:val="AttendancePVTable"/>
    <w:basedOn w:val="Normal"/>
    <w:rsid w:val="00AD4CEB"/>
    <w:pPr>
      <w:spacing w:before="120" w:after="120"/>
    </w:pPr>
    <w:rPr>
      <w:sz w:val="16"/>
    </w:rPr>
  </w:style>
  <w:style w:type="paragraph" w:customStyle="1" w:styleId="AttendancePVFootnote">
    <w:name w:val="AttendancePVFootnote"/>
    <w:basedOn w:val="Normal"/>
    <w:rsid w:val="00AD4CEB"/>
    <w:pPr>
      <w:tabs>
        <w:tab w:val="left" w:pos="170"/>
        <w:tab w:val="left" w:pos="510"/>
      </w:tabs>
      <w:ind w:left="680" w:hanging="680"/>
    </w:pPr>
    <w:rPr>
      <w:sz w:val="16"/>
    </w:rPr>
  </w:style>
  <w:style w:type="paragraph" w:customStyle="1" w:styleId="AttendancePVTitle">
    <w:name w:val="AttendancePVTitle"/>
    <w:basedOn w:val="Normal"/>
    <w:rsid w:val="00A66B35"/>
    <w:pPr>
      <w:spacing w:after="480"/>
      <w:jc w:val="center"/>
    </w:pPr>
    <w:rPr>
      <w:b/>
      <w:sz w:val="16"/>
    </w:rPr>
  </w:style>
  <w:style w:type="paragraph" w:customStyle="1" w:styleId="Normal12a">
    <w:name w:val="Normal12a"/>
    <w:basedOn w:val="Normal"/>
    <w:rsid w:val="00AD4CEB"/>
    <w:pPr>
      <w:spacing w:after="240"/>
    </w:pPr>
    <w:rPr>
      <w:snapToGrid/>
      <w:lang w:eastAsia="en-GB"/>
    </w:rPr>
  </w:style>
  <w:style w:type="paragraph" w:customStyle="1" w:styleId="NormalBoldCenter">
    <w:name w:val="NormalBoldCenter"/>
    <w:basedOn w:val="Normal"/>
    <w:rsid w:val="00AD4CEB"/>
    <w:pPr>
      <w:jc w:val="center"/>
    </w:pPr>
    <w:rPr>
      <w:b/>
      <w:lang w:eastAsia="en-GB"/>
    </w:rPr>
  </w:style>
  <w:style w:type="paragraph" w:customStyle="1" w:styleId="HeadingReferenceOJPV">
    <w:name w:val="HeadingReferenceOJPV"/>
    <w:basedOn w:val="Normal"/>
    <w:rsid w:val="001173AC"/>
    <w:pPr>
      <w:spacing w:before="840" w:after="720"/>
      <w:jc w:val="right"/>
    </w:pPr>
    <w:rPr>
      <w:rFonts w:ascii="Arial" w:hAnsi="Arial"/>
      <w:b/>
      <w:lang w:eastAsia="en-GB"/>
    </w:rPr>
  </w:style>
  <w:style w:type="paragraph" w:customStyle="1" w:styleId="EPFooter">
    <w:name w:val="EPFooter"/>
    <w:basedOn w:val="Normal"/>
    <w:rsid w:val="005A4857"/>
    <w:pPr>
      <w:tabs>
        <w:tab w:val="center" w:pos="4535"/>
        <w:tab w:val="right" w:pos="9071"/>
      </w:tabs>
      <w:spacing w:before="240" w:after="240"/>
    </w:pPr>
    <w:rPr>
      <w:color w:val="010000"/>
      <w:sz w:val="22"/>
    </w:rPr>
  </w:style>
  <w:style w:type="paragraph" w:styleId="TOCHeading">
    <w:name w:val="TOC Heading"/>
    <w:basedOn w:val="Normal"/>
    <w:next w:val="Normal"/>
    <w:uiPriority w:val="39"/>
    <w:semiHidden/>
    <w:unhideWhenUsed/>
    <w:qFormat/>
    <w:rsid w:val="000637F3"/>
    <w:pPr>
      <w:keepLines/>
      <w:spacing w:before="240" w:after="240"/>
    </w:pPr>
    <w:rPr>
      <w:rFonts w:asciiTheme="majorHAnsi" w:eastAsiaTheme="majorEastAsia" w:hAnsiTheme="majorHAnsi" w:cstheme="majorBidi"/>
      <w:b/>
      <w:color w:val="2E74B5" w:themeColor="accent1" w:themeShade="BF"/>
      <w:sz w:val="32"/>
      <w:szCs w:val="32"/>
    </w:rPr>
  </w:style>
  <w:style w:type="paragraph" w:styleId="Header">
    <w:name w:val="header"/>
    <w:basedOn w:val="Normal"/>
    <w:link w:val="HeaderChar"/>
    <w:semiHidden/>
    <w:rsid w:val="001E4EBD"/>
    <w:pPr>
      <w:tabs>
        <w:tab w:val="center" w:pos="4513"/>
        <w:tab w:val="right" w:pos="9026"/>
      </w:tabs>
    </w:pPr>
  </w:style>
  <w:style w:type="character" w:customStyle="1" w:styleId="HeaderChar">
    <w:name w:val="Header Char"/>
    <w:basedOn w:val="DefaultParagraphFont"/>
    <w:link w:val="Header"/>
    <w:semiHidden/>
    <w:rsid w:val="001E4EBD"/>
    <w:rPr>
      <w:snapToGrid w:val="0"/>
      <w:sz w:val="24"/>
      <w:lang w:eastAsia="en-US"/>
    </w:rPr>
  </w:style>
  <w:style w:type="paragraph" w:customStyle="1" w:styleId="MeetingIntro">
    <w:name w:val="MeetingIntro"/>
    <w:basedOn w:val="Normal"/>
    <w:rsid w:val="001173AC"/>
    <w:pPr>
      <w:spacing w:before="600" w:after="600"/>
    </w:pPr>
    <w:rPr>
      <w:lang w:eastAsia="en-GB"/>
    </w:rPr>
  </w:style>
  <w:style w:type="paragraph" w:customStyle="1" w:styleId="MeetingClosing">
    <w:name w:val="MeetingClosing"/>
    <w:basedOn w:val="Normal"/>
    <w:rsid w:val="001173AC"/>
    <w:pPr>
      <w:spacing w:before="600" w:after="240"/>
    </w:pPr>
  </w:style>
  <w:style w:type="paragraph" w:customStyle="1" w:styleId="HeadingDocType24a">
    <w:name w:val="HeadingDocType24a"/>
    <w:basedOn w:val="Normal"/>
    <w:rsid w:val="001173AC"/>
    <w:pPr>
      <w:spacing w:after="480"/>
      <w:jc w:val="center"/>
    </w:pPr>
    <w:rPr>
      <w:rFonts w:ascii="Arial" w:hAnsi="Arial"/>
      <w:b/>
      <w:snapToGrid/>
      <w:sz w:val="48"/>
      <w:lang w:eastAsia="en-GB"/>
    </w:rPr>
  </w:style>
  <w:style w:type="paragraph" w:customStyle="1" w:styleId="HeadingCenter12a">
    <w:name w:val="HeadingCenter12a"/>
    <w:basedOn w:val="Normal"/>
    <w:rsid w:val="001173AC"/>
    <w:pPr>
      <w:spacing w:after="240"/>
      <w:jc w:val="center"/>
    </w:pPr>
    <w:rPr>
      <w:b/>
      <w:snapToGrid/>
      <w:lang w:eastAsia="en-GB"/>
    </w:rPr>
  </w:style>
  <w:style w:type="paragraph" w:customStyle="1" w:styleId="AnnexRightBold">
    <w:name w:val="AnnexRightBold"/>
    <w:basedOn w:val="Normal"/>
    <w:rsid w:val="0067649D"/>
    <w:pPr>
      <w:spacing w:after="480"/>
      <w:jc w:val="right"/>
    </w:pPr>
    <w:rPr>
      <w:b/>
      <w:snapToGrid/>
      <w:lang w:eastAsia="en-GB"/>
    </w:rPr>
  </w:style>
  <w:style w:type="character" w:customStyle="1" w:styleId="Heading1Char">
    <w:name w:val="Heading 1 Char"/>
    <w:basedOn w:val="DefaultParagraphFont"/>
    <w:link w:val="Heading1"/>
    <w:uiPriority w:val="9"/>
    <w:rsid w:val="00647586"/>
    <w:rPr>
      <w:b/>
      <w:snapToGrid w:val="0"/>
      <w:sz w:val="24"/>
      <w:lang w:eastAsia="en-US"/>
    </w:rPr>
  </w:style>
  <w:style w:type="character" w:customStyle="1" w:styleId="FootnoteTextChar">
    <w:name w:val="Footnote Text Char"/>
    <w:basedOn w:val="DefaultParagraphFont"/>
    <w:link w:val="FootnoteText"/>
    <w:semiHidden/>
    <w:rsid w:val="00647586"/>
    <w:rPr>
      <w:snapToGrid w:val="0"/>
      <w:lang w:eastAsia="en-US"/>
    </w:rPr>
  </w:style>
  <w:style w:type="paragraph" w:styleId="ListParagraph">
    <w:name w:val="List Paragraph"/>
    <w:basedOn w:val="Normal"/>
    <w:uiPriority w:val="34"/>
    <w:qFormat/>
    <w:rsid w:val="00647586"/>
    <w:pPr>
      <w:ind w:left="720"/>
      <w:contextualSpacing/>
    </w:pPr>
    <w:rPr>
      <w:snapToGrid/>
      <w:lang w:eastAsia="en-GB"/>
    </w:rPr>
  </w:style>
  <w:style w:type="character" w:styleId="FootnoteReference">
    <w:name w:val="footnote reference"/>
    <w:basedOn w:val="DefaultParagraphFont"/>
    <w:unhideWhenUsed/>
    <w:rsid w:val="00647586"/>
  </w:style>
  <w:style w:type="paragraph" w:styleId="Footer">
    <w:name w:val="footer"/>
    <w:basedOn w:val="Normal"/>
    <w:link w:val="FooterChar"/>
    <w:rsid w:val="00647586"/>
    <w:pPr>
      <w:tabs>
        <w:tab w:val="center" w:pos="4513"/>
        <w:tab w:val="right" w:pos="9026"/>
      </w:tabs>
    </w:pPr>
  </w:style>
  <w:style w:type="character" w:customStyle="1" w:styleId="FooterChar">
    <w:name w:val="Footer Char"/>
    <w:basedOn w:val="DefaultParagraphFont"/>
    <w:link w:val="Footer"/>
    <w:rsid w:val="00647586"/>
    <w:rPr>
      <w:snapToGrid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681842">
      <w:bodyDiv w:val="1"/>
      <w:marLeft w:val="0"/>
      <w:marRight w:val="0"/>
      <w:marTop w:val="0"/>
      <w:marBottom w:val="0"/>
      <w:divBdr>
        <w:top w:val="none" w:sz="0" w:space="0" w:color="auto"/>
        <w:left w:val="none" w:sz="0" w:space="0" w:color="auto"/>
        <w:bottom w:val="none" w:sz="0" w:space="0" w:color="auto"/>
        <w:right w:val="none" w:sz="0" w:space="0" w:color="auto"/>
      </w:divBdr>
    </w:div>
    <w:div w:id="1235357552">
      <w:bodyDiv w:val="1"/>
      <w:marLeft w:val="0"/>
      <w:marRight w:val="0"/>
      <w:marTop w:val="0"/>
      <w:marBottom w:val="0"/>
      <w:divBdr>
        <w:top w:val="none" w:sz="0" w:space="0" w:color="auto"/>
        <w:left w:val="none" w:sz="0" w:space="0" w:color="auto"/>
        <w:bottom w:val="none" w:sz="0" w:space="0" w:color="auto"/>
        <w:right w:val="none" w:sz="0" w:space="0" w:color="auto"/>
      </w:divBdr>
    </w:div>
    <w:div w:id="184165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KOVAL~1\AppData\Local\Temp\PV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B2136-16CD-4E9C-A960-21346F7EB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PVx.dotx</Template>
  <TotalTime>0</TotalTime>
  <Pages>14</Pages>
  <Words>3126</Words>
  <Characters>23168</Characters>
  <Application>Microsoft Office Word</Application>
  <DocSecurity>0</DocSecurity>
  <Lines>514</Lines>
  <Paragraphs>219</Paragraphs>
  <ScaleCrop>false</ScaleCrop>
  <HeadingPairs>
    <vt:vector size="2" baseType="variant">
      <vt:variant>
        <vt:lpstr>Title</vt:lpstr>
      </vt:variant>
      <vt:variant>
        <vt:i4>1</vt:i4>
      </vt:variant>
    </vt:vector>
  </HeadingPairs>
  <TitlesOfParts>
    <vt:vector size="1" baseType="lpstr">
      <vt:lpstr>PVx</vt:lpstr>
    </vt:vector>
  </TitlesOfParts>
  <Company/>
  <LinksUpToDate>false</LinksUpToDate>
  <CharactersWithSpaces>26075</CharactersWithSpaces>
  <SharedDoc>false</SharedDoc>
  <HLinks>
    <vt:vector size="12" baseType="variant">
      <vt:variant>
        <vt:i4>2752513</vt:i4>
      </vt:variant>
      <vt:variant>
        <vt:i4>8</vt:i4>
      </vt:variant>
      <vt:variant>
        <vt:i4>0</vt:i4>
      </vt:variant>
      <vt:variant>
        <vt:i4>5</vt:i4>
      </vt:variant>
      <vt:variant>
        <vt:lpwstr/>
      </vt:variant>
      <vt:variant>
        <vt:lpwstr>_Toc3824015</vt:lpwstr>
      </vt:variant>
      <vt:variant>
        <vt:i4>2752513</vt:i4>
      </vt:variant>
      <vt:variant>
        <vt:i4>2</vt:i4>
      </vt:variant>
      <vt:variant>
        <vt:i4>0</vt:i4>
      </vt:variant>
      <vt:variant>
        <vt:i4>5</vt:i4>
      </vt:variant>
      <vt:variant>
        <vt:lpwstr/>
      </vt:variant>
      <vt:variant>
        <vt:lpwstr>_Toc3824014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PVx</dc:title>
  <dc:subject/>
  <dc:creator>KOVALOVA Oleksandra</dc:creator>
  <cp:keywords/>
  <cp:lastModifiedBy>KOVALOVA Oleksandra</cp:lastModifiedBy>
  <cp:revision>2</cp:revision>
  <cp:lastPrinted>2009-06-18T13:43:00Z</cp:lastPrinted>
  <dcterms:created xsi:type="dcterms:W3CDTF">2024-10-28T10:38:00Z</dcterms:created>
  <dcterms:modified xsi:type="dcterms:W3CDTF">2024-10-28T10:38:00Z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EN</vt:lpwstr>
  </property>
  <property fmtid="{D5CDD505-2E9C-101B-9397-08002B2CF9AE}" pid="3" name="Created with">
    <vt:lpwstr>10.0.0 Build [20241005]</vt:lpwstr>
  </property>
  <property fmtid="{D5CDD505-2E9C-101B-9397-08002B2CF9AE}" pid="4" name="LastEdited with">
    <vt:lpwstr>10.0.0 Build [20241005]</vt:lpwstr>
  </property>
  <property fmtid="{D5CDD505-2E9C-101B-9397-08002B2CF9AE}" pid="5" name="&lt;FdR&gt;">
    <vt:lpwstr>1306631</vt:lpwstr>
  </property>
  <property fmtid="{D5CDD505-2E9C-101B-9397-08002B2CF9AE}" pid="6" name="&lt;Type&gt;">
    <vt:lpwstr>PV</vt:lpwstr>
  </property>
  <property fmtid="{D5CDD505-2E9C-101B-9397-08002B2CF9AE}" pid="7" name="&lt;ModelCod&gt;">
    <vt:lpwstr>\\eiciBRUpr1\pdocep$\DocEP\DOCS\General\PV\PVx.dotx(25/10/2024 06:40:04)</vt:lpwstr>
  </property>
  <property fmtid="{D5CDD505-2E9C-101B-9397-08002B2CF9AE}" pid="8" name="&lt;ModelTra&gt;">
    <vt:lpwstr>\\eiciBRUpr1\pdocep$\DocEP\TRANSFIL\EN\PVx.EN(25/07/2024 23:35:01)</vt:lpwstr>
  </property>
  <property fmtid="{D5CDD505-2E9C-101B-9397-08002B2CF9AE}" pid="9" name="&lt;Model&gt;">
    <vt:lpwstr>PVx</vt:lpwstr>
  </property>
  <property fmtid="{D5CDD505-2E9C-101B-9397-08002B2CF9AE}" pid="10" name="FooterPath">
    <vt:lpwstr>PV\1306631EN.docx</vt:lpwstr>
  </property>
  <property fmtid="{D5CDD505-2E9C-101B-9397-08002B2CF9AE}" pid="11" name="PE number">
    <vt:lpwstr>763.202</vt:lpwstr>
  </property>
  <property fmtid="{D5CDD505-2E9C-101B-9397-08002B2CF9AE}" pid="12" name="SendToEpades">
    <vt:lpwstr>OK - 2024/10/28 11:38</vt:lpwstr>
  </property>
</Properties>
</file>