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54E26" w14:textId="4BDC8533" w:rsidR="001547C2" w:rsidRPr="00A9515F" w:rsidRDefault="009303D7" w:rsidP="001547C2">
      <w:pPr>
        <w:jc w:val="center"/>
        <w:rPr>
          <w:b/>
          <w:bCs/>
          <w:sz w:val="30"/>
          <w:szCs w:val="30"/>
        </w:rPr>
      </w:pPr>
      <w:r w:rsidRPr="00A9515F">
        <w:rPr>
          <w:b/>
          <w:bCs/>
          <w:sz w:val="30"/>
          <w:szCs w:val="30"/>
        </w:rPr>
        <w:t>Universal Music Group Update</w:t>
      </w:r>
      <w:r w:rsidR="00F65C0B">
        <w:rPr>
          <w:b/>
          <w:bCs/>
          <w:sz w:val="30"/>
          <w:szCs w:val="30"/>
        </w:rPr>
        <w:t>s</w:t>
      </w:r>
      <w:r w:rsidRPr="00A9515F">
        <w:rPr>
          <w:b/>
          <w:bCs/>
          <w:sz w:val="30"/>
          <w:szCs w:val="30"/>
        </w:rPr>
        <w:t xml:space="preserve"> </w:t>
      </w:r>
      <w:r w:rsidR="00A25843" w:rsidRPr="00A9515F">
        <w:rPr>
          <w:b/>
          <w:bCs/>
          <w:sz w:val="30"/>
          <w:szCs w:val="30"/>
        </w:rPr>
        <w:t xml:space="preserve">Greater China Option Agreement </w:t>
      </w:r>
    </w:p>
    <w:p w14:paraId="33C3F593" w14:textId="4B60D4D9" w:rsidR="001547C2" w:rsidRPr="00A9515F" w:rsidRDefault="001547C2" w:rsidP="001547C2">
      <w:pPr>
        <w:rPr>
          <w:sz w:val="22"/>
          <w:szCs w:val="22"/>
        </w:rPr>
      </w:pPr>
    </w:p>
    <w:p w14:paraId="0A3E1D29" w14:textId="7C09CE6E" w:rsidR="00C12DD2" w:rsidRPr="00A9515F" w:rsidRDefault="00A9515F" w:rsidP="001547C2">
      <w:pPr>
        <w:rPr>
          <w:rFonts w:eastAsia="Times New Roman"/>
          <w:sz w:val="22"/>
          <w:szCs w:val="22"/>
        </w:rPr>
      </w:pPr>
      <w:r w:rsidRPr="00A9515F">
        <w:rPr>
          <w:b/>
          <w:bCs/>
          <w:sz w:val="22"/>
          <w:szCs w:val="22"/>
        </w:rPr>
        <w:t>Hilversum, The Netherlands</w:t>
      </w:r>
      <w:r w:rsidR="009303D7" w:rsidRPr="00A9515F">
        <w:rPr>
          <w:b/>
          <w:bCs/>
          <w:sz w:val="22"/>
          <w:szCs w:val="22"/>
        </w:rPr>
        <w:t xml:space="preserve">, June </w:t>
      </w:r>
      <w:r w:rsidR="006B209B">
        <w:rPr>
          <w:b/>
          <w:bCs/>
          <w:sz w:val="22"/>
          <w:szCs w:val="22"/>
        </w:rPr>
        <w:t>16</w:t>
      </w:r>
      <w:r w:rsidR="009303D7" w:rsidRPr="00A9515F">
        <w:rPr>
          <w:b/>
          <w:bCs/>
          <w:sz w:val="22"/>
          <w:szCs w:val="22"/>
        </w:rPr>
        <w:t>, 2022 –</w:t>
      </w:r>
      <w:r w:rsidR="009303D7" w:rsidRPr="00A9515F">
        <w:rPr>
          <w:sz w:val="22"/>
          <w:szCs w:val="22"/>
        </w:rPr>
        <w:t xml:space="preserve"> Universal Music</w:t>
      </w:r>
      <w:r w:rsidR="00D60982" w:rsidRPr="00A9515F">
        <w:rPr>
          <w:sz w:val="22"/>
          <w:szCs w:val="22"/>
        </w:rPr>
        <w:t xml:space="preserve"> Group</w:t>
      </w:r>
      <w:r w:rsidR="009303D7" w:rsidRPr="00A9515F">
        <w:rPr>
          <w:sz w:val="22"/>
          <w:szCs w:val="22"/>
        </w:rPr>
        <w:t xml:space="preserve"> </w:t>
      </w:r>
      <w:r w:rsidR="00D60982" w:rsidRPr="00A9515F">
        <w:rPr>
          <w:sz w:val="22"/>
          <w:szCs w:val="22"/>
        </w:rPr>
        <w:t>N</w:t>
      </w:r>
      <w:r w:rsidR="009303D7" w:rsidRPr="00A9515F">
        <w:rPr>
          <w:sz w:val="22"/>
          <w:szCs w:val="22"/>
        </w:rPr>
        <w:t>.V. (“</w:t>
      </w:r>
      <w:r w:rsidR="00D60982" w:rsidRPr="00A9515F">
        <w:rPr>
          <w:sz w:val="22"/>
          <w:szCs w:val="22"/>
        </w:rPr>
        <w:t>UMG</w:t>
      </w:r>
      <w:r w:rsidR="009303D7" w:rsidRPr="00A9515F">
        <w:rPr>
          <w:sz w:val="22"/>
          <w:szCs w:val="22"/>
        </w:rPr>
        <w:t>” or “the Company”) announced today that</w:t>
      </w:r>
      <w:r w:rsidR="009303D7" w:rsidRPr="00A9515F">
        <w:rPr>
          <w:rFonts w:eastAsia="Times New Roman"/>
          <w:sz w:val="22"/>
          <w:szCs w:val="22"/>
        </w:rPr>
        <w:t xml:space="preserve"> </w:t>
      </w:r>
      <w:r w:rsidR="00D60982" w:rsidRPr="00A9515F">
        <w:rPr>
          <w:rFonts w:eastAsia="Times New Roman"/>
          <w:sz w:val="22"/>
          <w:szCs w:val="22"/>
        </w:rPr>
        <w:t xml:space="preserve">the </w:t>
      </w:r>
      <w:r w:rsidR="009303D7" w:rsidRPr="00A9515F">
        <w:rPr>
          <w:rFonts w:eastAsia="Times New Roman"/>
          <w:sz w:val="22"/>
          <w:szCs w:val="22"/>
        </w:rPr>
        <w:t xml:space="preserve">terms of </w:t>
      </w:r>
      <w:r w:rsidR="00D60982" w:rsidRPr="00A9515F">
        <w:rPr>
          <w:rFonts w:eastAsia="Times New Roman"/>
          <w:sz w:val="22"/>
          <w:szCs w:val="22"/>
        </w:rPr>
        <w:t xml:space="preserve">the </w:t>
      </w:r>
      <w:r w:rsidR="009303D7" w:rsidRPr="00A9515F">
        <w:rPr>
          <w:rFonts w:eastAsia="Times New Roman"/>
          <w:sz w:val="22"/>
          <w:szCs w:val="22"/>
        </w:rPr>
        <w:t xml:space="preserve">previously disclosed Greater China Option Agreement </w:t>
      </w:r>
      <w:r w:rsidR="00081245" w:rsidRPr="00A9515F">
        <w:rPr>
          <w:rFonts w:eastAsia="Times New Roman"/>
          <w:sz w:val="22"/>
          <w:szCs w:val="22"/>
        </w:rPr>
        <w:t xml:space="preserve">(the “Original Agreement”) </w:t>
      </w:r>
      <w:r w:rsidR="00D60982" w:rsidRPr="00A9515F">
        <w:rPr>
          <w:rFonts w:eastAsia="Times New Roman"/>
          <w:sz w:val="22"/>
          <w:szCs w:val="22"/>
        </w:rPr>
        <w:t>entered into between UMG’s subsidiary, Universal International Music B.V (“UIM”)</w:t>
      </w:r>
      <w:r w:rsidR="002057FE" w:rsidRPr="00A9515F">
        <w:rPr>
          <w:rFonts w:eastAsia="Times New Roman"/>
          <w:sz w:val="22"/>
          <w:szCs w:val="22"/>
        </w:rPr>
        <w:t xml:space="preserve"> and</w:t>
      </w:r>
      <w:r w:rsidR="009303D7" w:rsidRPr="00A9515F">
        <w:rPr>
          <w:rFonts w:eastAsia="Times New Roman"/>
          <w:sz w:val="22"/>
          <w:szCs w:val="22"/>
        </w:rPr>
        <w:t xml:space="preserve"> Tencent Music Entertainment </w:t>
      </w:r>
      <w:r w:rsidR="002057FE" w:rsidRPr="00A9515F">
        <w:rPr>
          <w:rFonts w:eastAsia="Times New Roman"/>
          <w:sz w:val="22"/>
          <w:szCs w:val="22"/>
        </w:rPr>
        <w:t xml:space="preserve">(“TME”) </w:t>
      </w:r>
      <w:r w:rsidR="009303D7" w:rsidRPr="00A9515F">
        <w:rPr>
          <w:rFonts w:eastAsia="Times New Roman"/>
          <w:sz w:val="22"/>
          <w:szCs w:val="22"/>
        </w:rPr>
        <w:t xml:space="preserve">have been amended. </w:t>
      </w:r>
    </w:p>
    <w:p w14:paraId="43C1873F" w14:textId="77777777" w:rsidR="00C12DD2" w:rsidRPr="00A9515F" w:rsidRDefault="00C12DD2" w:rsidP="001547C2">
      <w:pPr>
        <w:rPr>
          <w:rFonts w:eastAsia="Times New Roman"/>
          <w:sz w:val="22"/>
          <w:szCs w:val="22"/>
        </w:rPr>
      </w:pPr>
    </w:p>
    <w:p w14:paraId="7FB0E636" w14:textId="3B3D183C" w:rsidR="001547C2" w:rsidRPr="00A9515F" w:rsidRDefault="009303D7" w:rsidP="001547C2">
      <w:pPr>
        <w:rPr>
          <w:rFonts w:eastAsia="Times New Roman"/>
          <w:sz w:val="22"/>
          <w:szCs w:val="22"/>
        </w:rPr>
      </w:pPr>
      <w:r w:rsidRPr="00A9515F">
        <w:rPr>
          <w:rFonts w:eastAsia="Times New Roman"/>
          <w:sz w:val="22"/>
          <w:szCs w:val="22"/>
        </w:rPr>
        <w:t xml:space="preserve">As disclosed in </w:t>
      </w:r>
      <w:r w:rsidR="00D60982" w:rsidRPr="00A9515F">
        <w:rPr>
          <w:rFonts w:eastAsia="Times New Roman"/>
          <w:sz w:val="22"/>
          <w:szCs w:val="22"/>
        </w:rPr>
        <w:t xml:space="preserve">UMG’s </w:t>
      </w:r>
      <w:r w:rsidRPr="00A9515F">
        <w:rPr>
          <w:rFonts w:eastAsia="Times New Roman"/>
          <w:sz w:val="22"/>
          <w:szCs w:val="22"/>
        </w:rPr>
        <w:t>prospectus</w:t>
      </w:r>
      <w:r w:rsidR="002057FE" w:rsidRPr="00A9515F">
        <w:rPr>
          <w:rFonts w:eastAsia="Times New Roman"/>
          <w:sz w:val="22"/>
          <w:szCs w:val="22"/>
        </w:rPr>
        <w:t xml:space="preserve"> in connection with UMG’s admission for listing on Euronext Amsterdam,</w:t>
      </w:r>
      <w:r w:rsidRPr="00A9515F">
        <w:rPr>
          <w:rFonts w:eastAsia="Times New Roman"/>
          <w:sz w:val="22"/>
          <w:szCs w:val="22"/>
        </w:rPr>
        <w:t xml:space="preserve"> </w:t>
      </w:r>
      <w:r w:rsidR="00D60982" w:rsidRPr="00A9515F">
        <w:rPr>
          <w:rFonts w:eastAsia="Times New Roman"/>
          <w:sz w:val="22"/>
          <w:szCs w:val="22"/>
        </w:rPr>
        <w:t>dated September 14,</w:t>
      </w:r>
      <w:r w:rsidRPr="00A9515F">
        <w:rPr>
          <w:rFonts w:eastAsia="Times New Roman"/>
          <w:sz w:val="22"/>
          <w:szCs w:val="22"/>
        </w:rPr>
        <w:t xml:space="preserve"> 2021, the </w:t>
      </w:r>
      <w:r w:rsidR="00081245" w:rsidRPr="00A9515F">
        <w:rPr>
          <w:rFonts w:eastAsia="Times New Roman"/>
          <w:sz w:val="22"/>
          <w:szCs w:val="22"/>
        </w:rPr>
        <w:t>Original Agreement</w:t>
      </w:r>
      <w:r w:rsidRPr="00A9515F">
        <w:rPr>
          <w:rFonts w:eastAsia="Times New Roman"/>
          <w:sz w:val="22"/>
          <w:szCs w:val="22"/>
        </w:rPr>
        <w:t xml:space="preserve"> granted </w:t>
      </w:r>
      <w:r w:rsidR="002057FE" w:rsidRPr="00A9515F">
        <w:rPr>
          <w:rFonts w:eastAsia="Times New Roman"/>
          <w:sz w:val="22"/>
          <w:szCs w:val="22"/>
        </w:rPr>
        <w:t>TME</w:t>
      </w:r>
      <w:r w:rsidRPr="00A9515F">
        <w:rPr>
          <w:rFonts w:eastAsia="Times New Roman"/>
          <w:sz w:val="22"/>
          <w:szCs w:val="22"/>
        </w:rPr>
        <w:t xml:space="preserve"> an option to acquire up to 25% (but no less than 20%) of the share capital of the holding company which controls UIM’s Greater China operations</w:t>
      </w:r>
      <w:r w:rsidR="00D60982" w:rsidRPr="00A9515F">
        <w:rPr>
          <w:rFonts w:eastAsia="Times New Roman"/>
          <w:sz w:val="22"/>
          <w:szCs w:val="22"/>
        </w:rPr>
        <w:t xml:space="preserve"> (“Greater China </w:t>
      </w:r>
      <w:proofErr w:type="spellStart"/>
      <w:r w:rsidR="00D60982" w:rsidRPr="00A9515F">
        <w:rPr>
          <w:rFonts w:eastAsia="Times New Roman"/>
          <w:sz w:val="22"/>
          <w:szCs w:val="22"/>
        </w:rPr>
        <w:t>HoldCo</w:t>
      </w:r>
      <w:proofErr w:type="spellEnd"/>
      <w:r w:rsidR="00D60982" w:rsidRPr="00A9515F">
        <w:rPr>
          <w:rFonts w:eastAsia="Times New Roman"/>
          <w:sz w:val="22"/>
          <w:szCs w:val="22"/>
        </w:rPr>
        <w:t>”)</w:t>
      </w:r>
      <w:r w:rsidRPr="00A9515F">
        <w:rPr>
          <w:rFonts w:eastAsia="Times New Roman"/>
          <w:sz w:val="22"/>
          <w:szCs w:val="22"/>
        </w:rPr>
        <w:t>.</w:t>
      </w:r>
      <w:r w:rsidR="002057FE" w:rsidRPr="00A9515F">
        <w:rPr>
          <w:rFonts w:eastAsia="Times New Roman"/>
          <w:sz w:val="22"/>
          <w:szCs w:val="22"/>
        </w:rPr>
        <w:t xml:space="preserve">  </w:t>
      </w:r>
    </w:p>
    <w:p w14:paraId="41082D65" w14:textId="77777777" w:rsidR="001547C2" w:rsidRPr="00A9515F" w:rsidRDefault="001547C2" w:rsidP="00C12DD2">
      <w:pPr>
        <w:rPr>
          <w:rFonts w:eastAsia="Times New Roman"/>
          <w:sz w:val="22"/>
          <w:szCs w:val="22"/>
        </w:rPr>
      </w:pPr>
    </w:p>
    <w:p w14:paraId="407C8F57" w14:textId="1F414846" w:rsidR="001547C2" w:rsidRPr="00A9515F" w:rsidRDefault="009303D7" w:rsidP="001547C2">
      <w:pPr>
        <w:rPr>
          <w:rFonts w:eastAsia="Times New Roman"/>
          <w:sz w:val="22"/>
          <w:szCs w:val="22"/>
        </w:rPr>
      </w:pPr>
      <w:r w:rsidRPr="00A9515F">
        <w:rPr>
          <w:rFonts w:eastAsia="Times New Roman"/>
          <w:sz w:val="22"/>
          <w:szCs w:val="22"/>
        </w:rPr>
        <w:t xml:space="preserve">Under the amended Greater China Option Agreement (the “New Agreement”): (1) the counterparty has become Tencent Holdings Ltd. (“Tencent Holdings”), (2) Tencent Holdings has the option acquire up to 12.5% (but no less than 10%) of the share capital of Greater China </w:t>
      </w:r>
      <w:proofErr w:type="spellStart"/>
      <w:r w:rsidRPr="00A9515F">
        <w:rPr>
          <w:rFonts w:eastAsia="Times New Roman"/>
          <w:sz w:val="22"/>
          <w:szCs w:val="22"/>
        </w:rPr>
        <w:t>HoldCo</w:t>
      </w:r>
      <w:proofErr w:type="spellEnd"/>
      <w:r w:rsidRPr="00A9515F">
        <w:rPr>
          <w:rFonts w:eastAsia="Times New Roman"/>
          <w:sz w:val="22"/>
          <w:szCs w:val="22"/>
        </w:rPr>
        <w:t xml:space="preserve"> and (3) Tencent Holdings will have 24 months</w:t>
      </w:r>
      <w:r w:rsidR="00D60982" w:rsidRPr="00A9515F">
        <w:rPr>
          <w:rFonts w:eastAsia="Times New Roman"/>
          <w:sz w:val="22"/>
          <w:szCs w:val="22"/>
        </w:rPr>
        <w:t xml:space="preserve"> from the date of the </w:t>
      </w:r>
      <w:r w:rsidRPr="00A9515F">
        <w:rPr>
          <w:rFonts w:eastAsia="Times New Roman"/>
          <w:sz w:val="22"/>
          <w:szCs w:val="22"/>
        </w:rPr>
        <w:t>New</w:t>
      </w:r>
      <w:r w:rsidR="006C09A6" w:rsidRPr="00A9515F">
        <w:rPr>
          <w:rFonts w:eastAsia="Times New Roman"/>
          <w:sz w:val="22"/>
          <w:szCs w:val="22"/>
        </w:rPr>
        <w:t xml:space="preserve"> Agreement</w:t>
      </w:r>
      <w:r w:rsidRPr="00A9515F">
        <w:rPr>
          <w:rFonts w:eastAsia="Times New Roman"/>
          <w:sz w:val="22"/>
          <w:szCs w:val="22"/>
        </w:rPr>
        <w:t xml:space="preserve"> to exercise its option. The purchase price for the Greater China </w:t>
      </w:r>
      <w:proofErr w:type="spellStart"/>
      <w:r w:rsidRPr="00A9515F">
        <w:rPr>
          <w:rFonts w:eastAsia="Times New Roman"/>
          <w:sz w:val="22"/>
          <w:szCs w:val="22"/>
        </w:rPr>
        <w:t>HoldCo</w:t>
      </w:r>
      <w:proofErr w:type="spellEnd"/>
      <w:r w:rsidRPr="00A9515F">
        <w:rPr>
          <w:rFonts w:eastAsia="Times New Roman"/>
          <w:sz w:val="22"/>
          <w:szCs w:val="22"/>
        </w:rPr>
        <w:t xml:space="preserve"> shares will be determined on the same terms as previously disclosed</w:t>
      </w:r>
      <w:r w:rsidR="00CB4AD1" w:rsidRPr="00A9515F">
        <w:rPr>
          <w:rFonts w:eastAsia="Times New Roman"/>
          <w:sz w:val="22"/>
          <w:szCs w:val="22"/>
        </w:rPr>
        <w:t>,</w:t>
      </w:r>
      <w:r w:rsidRPr="00A9515F">
        <w:rPr>
          <w:rFonts w:eastAsia="Times New Roman"/>
          <w:sz w:val="22"/>
          <w:szCs w:val="22"/>
        </w:rPr>
        <w:t xml:space="preserve"> using an agreed-upon EBITDA multiple (and subject to certain adjustments).</w:t>
      </w:r>
      <w:r w:rsidR="00D31BFF" w:rsidRPr="00A9515F">
        <w:rPr>
          <w:rFonts w:eastAsia="Times New Roman"/>
          <w:sz w:val="22"/>
          <w:szCs w:val="22"/>
        </w:rPr>
        <w:t xml:space="preserve"> </w:t>
      </w:r>
    </w:p>
    <w:p w14:paraId="53A12AAA" w14:textId="77777777" w:rsidR="001547C2" w:rsidRPr="00A9515F" w:rsidRDefault="001547C2" w:rsidP="001547C2">
      <w:pPr>
        <w:rPr>
          <w:rFonts w:eastAsia="Times New Roman"/>
          <w:sz w:val="22"/>
          <w:szCs w:val="22"/>
        </w:rPr>
      </w:pPr>
    </w:p>
    <w:p w14:paraId="0593E1D6" w14:textId="245A1AC3" w:rsidR="001547C2" w:rsidRPr="00A9515F" w:rsidRDefault="009303D7" w:rsidP="001547C2">
      <w:pPr>
        <w:rPr>
          <w:rFonts w:eastAsia="Times New Roman"/>
          <w:sz w:val="22"/>
          <w:szCs w:val="22"/>
        </w:rPr>
      </w:pPr>
      <w:r w:rsidRPr="00A9515F">
        <w:rPr>
          <w:rFonts w:eastAsia="Times New Roman"/>
          <w:sz w:val="22"/>
          <w:szCs w:val="22"/>
        </w:rPr>
        <w:t>As at the date of this announcement</w:t>
      </w:r>
      <w:r w:rsidR="006C09A6" w:rsidRPr="00A9515F">
        <w:rPr>
          <w:rFonts w:eastAsia="Times New Roman"/>
          <w:sz w:val="22"/>
          <w:szCs w:val="22"/>
        </w:rPr>
        <w:t>,</w:t>
      </w:r>
      <w:r w:rsidRPr="00A9515F">
        <w:rPr>
          <w:rFonts w:eastAsia="Times New Roman"/>
          <w:sz w:val="22"/>
          <w:szCs w:val="22"/>
        </w:rPr>
        <w:t xml:space="preserve"> Tencent Holdings has not exercised the option. Any purchase of the </w:t>
      </w:r>
      <w:r w:rsidR="00EE66AB" w:rsidRPr="00A9515F">
        <w:rPr>
          <w:rFonts w:eastAsia="Times New Roman"/>
          <w:sz w:val="22"/>
          <w:szCs w:val="22"/>
        </w:rPr>
        <w:t xml:space="preserve">shares of Greater China </w:t>
      </w:r>
      <w:proofErr w:type="spellStart"/>
      <w:r w:rsidR="00EE66AB" w:rsidRPr="00A9515F">
        <w:rPr>
          <w:rFonts w:eastAsia="Times New Roman"/>
          <w:sz w:val="22"/>
          <w:szCs w:val="22"/>
        </w:rPr>
        <w:t>HoldCo</w:t>
      </w:r>
      <w:proofErr w:type="spellEnd"/>
      <w:r w:rsidRPr="00A9515F">
        <w:rPr>
          <w:rFonts w:eastAsia="Times New Roman"/>
          <w:sz w:val="22"/>
          <w:szCs w:val="22"/>
        </w:rPr>
        <w:t xml:space="preserve"> will be conditioned upon, among other things, receipt of all necessary approvals from relevant governmental authorities. </w:t>
      </w:r>
    </w:p>
    <w:p w14:paraId="154B916E" w14:textId="77777777" w:rsidR="001547C2" w:rsidRPr="00A9515F" w:rsidRDefault="009303D7" w:rsidP="001547C2">
      <w:pPr>
        <w:rPr>
          <w:sz w:val="22"/>
          <w:szCs w:val="22"/>
        </w:rPr>
      </w:pPr>
      <w:r w:rsidRPr="00A9515F">
        <w:rPr>
          <w:sz w:val="22"/>
          <w:szCs w:val="22"/>
        </w:rPr>
        <w:t> </w:t>
      </w:r>
    </w:p>
    <w:p w14:paraId="44007F89" w14:textId="77777777" w:rsidR="00C12DD2" w:rsidRPr="00A9515F" w:rsidRDefault="009303D7" w:rsidP="00C12DD2">
      <w:pPr>
        <w:rPr>
          <w:b/>
          <w:bCs/>
          <w:sz w:val="22"/>
          <w:szCs w:val="22"/>
        </w:rPr>
      </w:pPr>
      <w:r w:rsidRPr="00A9515F">
        <w:rPr>
          <w:b/>
          <w:bCs/>
          <w:sz w:val="22"/>
          <w:szCs w:val="22"/>
        </w:rPr>
        <w:t>About Universal Music Group</w:t>
      </w:r>
    </w:p>
    <w:p w14:paraId="622983B5" w14:textId="4102B8A4" w:rsidR="00C12DD2" w:rsidRPr="00A9515F" w:rsidRDefault="009303D7" w:rsidP="00C12DD2">
      <w:pPr>
        <w:rPr>
          <w:sz w:val="22"/>
          <w:szCs w:val="22"/>
        </w:rPr>
      </w:pPr>
      <w:r w:rsidRPr="00A9515F">
        <w:rPr>
          <w:sz w:val="22"/>
          <w:szCs w:val="22"/>
        </w:rPr>
        <w:t xml:space="preserve">At Universal Music Group (EURONEXT: UMG), we exist to shape culture through the power of artistry. UMG is the world leader in music-based entertainment, with a broad array of businesses engaged in recorded music, music publishing, merchandising and audiovisual content. Featuring the most comprehensive catalogue of recordings and songs across every musical genre, UMG identifies and develops artists and produces and distributes the most critically acclaimed and commercially successful music in the world. Committed to artistry, innovation and entrepreneurship, UMG fosters the development of services, </w:t>
      </w:r>
      <w:proofErr w:type="gramStart"/>
      <w:r w:rsidRPr="00A9515F">
        <w:rPr>
          <w:sz w:val="22"/>
          <w:szCs w:val="22"/>
        </w:rPr>
        <w:t>platforms</w:t>
      </w:r>
      <w:proofErr w:type="gramEnd"/>
      <w:r w:rsidRPr="00A9515F">
        <w:rPr>
          <w:sz w:val="22"/>
          <w:szCs w:val="22"/>
        </w:rPr>
        <w:t xml:space="preserve"> and business models in order to broaden artistic and commercial opportunities for our artists and create new experiences for fans. For more information on Universal Music Group N.V. visit </w:t>
      </w:r>
      <w:r w:rsidR="00A25843" w:rsidRPr="00A9515F">
        <w:rPr>
          <w:sz w:val="22"/>
          <w:szCs w:val="22"/>
        </w:rPr>
        <w:t>www.universalmusic.com</w:t>
      </w:r>
      <w:r w:rsidRPr="00A9515F">
        <w:rPr>
          <w:sz w:val="22"/>
          <w:szCs w:val="22"/>
        </w:rPr>
        <w:t>.</w:t>
      </w:r>
      <w:r w:rsidR="00A25843" w:rsidRPr="00A9515F">
        <w:rPr>
          <w:sz w:val="22"/>
          <w:szCs w:val="22"/>
        </w:rPr>
        <w:t xml:space="preserve"> </w:t>
      </w:r>
    </w:p>
    <w:p w14:paraId="6DAEA7E5" w14:textId="77777777" w:rsidR="00C12DD2" w:rsidRPr="00A9515F" w:rsidRDefault="00C12DD2" w:rsidP="00C12DD2">
      <w:pPr>
        <w:rPr>
          <w:sz w:val="22"/>
          <w:szCs w:val="22"/>
        </w:rPr>
      </w:pPr>
    </w:p>
    <w:p w14:paraId="606BE0AB" w14:textId="77777777" w:rsidR="00C12DD2" w:rsidRPr="00A9515F" w:rsidRDefault="009303D7" w:rsidP="00C12DD2">
      <w:pPr>
        <w:rPr>
          <w:b/>
          <w:bCs/>
          <w:sz w:val="22"/>
          <w:szCs w:val="22"/>
        </w:rPr>
      </w:pPr>
      <w:r w:rsidRPr="00A9515F">
        <w:rPr>
          <w:b/>
          <w:bCs/>
          <w:sz w:val="22"/>
          <w:szCs w:val="22"/>
        </w:rPr>
        <w:t>Contacts</w:t>
      </w:r>
    </w:p>
    <w:p w14:paraId="2596F04A" w14:textId="77777777" w:rsidR="00C12DD2" w:rsidRPr="00A9515F" w:rsidRDefault="00C12DD2" w:rsidP="00C12DD2">
      <w:pPr>
        <w:rPr>
          <w:sz w:val="22"/>
          <w:szCs w:val="22"/>
        </w:rPr>
      </w:pPr>
    </w:p>
    <w:p w14:paraId="2A8D1D80" w14:textId="77777777" w:rsidR="00C12DD2" w:rsidRPr="00A9515F" w:rsidRDefault="009303D7" w:rsidP="00C12DD2">
      <w:pPr>
        <w:rPr>
          <w:b/>
          <w:bCs/>
          <w:sz w:val="22"/>
          <w:szCs w:val="22"/>
        </w:rPr>
      </w:pPr>
      <w:r w:rsidRPr="00A9515F">
        <w:rPr>
          <w:b/>
          <w:bCs/>
          <w:sz w:val="22"/>
          <w:szCs w:val="22"/>
        </w:rPr>
        <w:t>Media</w:t>
      </w:r>
    </w:p>
    <w:p w14:paraId="02B19072" w14:textId="494F13FA" w:rsidR="00C12DD2" w:rsidRPr="00A9515F" w:rsidRDefault="009303D7" w:rsidP="00C12DD2">
      <w:pPr>
        <w:rPr>
          <w:sz w:val="22"/>
          <w:szCs w:val="22"/>
        </w:rPr>
      </w:pPr>
      <w:r w:rsidRPr="00A9515F">
        <w:rPr>
          <w:sz w:val="22"/>
          <w:szCs w:val="22"/>
        </w:rPr>
        <w:t xml:space="preserve">James Murtagh-Hopkins </w:t>
      </w:r>
      <w:r w:rsidR="00A25843" w:rsidRPr="00A9515F">
        <w:rPr>
          <w:sz w:val="22"/>
          <w:szCs w:val="22"/>
        </w:rPr>
        <w:t>–</w:t>
      </w:r>
      <w:r w:rsidRPr="00A9515F">
        <w:rPr>
          <w:sz w:val="22"/>
          <w:szCs w:val="22"/>
        </w:rPr>
        <w:t xml:space="preserve"> </w:t>
      </w:r>
      <w:r w:rsidR="00A25843" w:rsidRPr="00A9515F">
        <w:rPr>
          <w:sz w:val="22"/>
          <w:szCs w:val="22"/>
        </w:rPr>
        <w:t xml:space="preserve">communicationsnl@umusic.com </w:t>
      </w:r>
    </w:p>
    <w:p w14:paraId="70FF09D4" w14:textId="77777777" w:rsidR="00C12DD2" w:rsidRPr="00A9515F" w:rsidRDefault="00C12DD2" w:rsidP="00C12DD2">
      <w:pPr>
        <w:rPr>
          <w:sz w:val="22"/>
          <w:szCs w:val="22"/>
        </w:rPr>
      </w:pPr>
    </w:p>
    <w:p w14:paraId="0328EE80" w14:textId="77777777" w:rsidR="00C12DD2" w:rsidRPr="00A9515F" w:rsidRDefault="009303D7" w:rsidP="00C12DD2">
      <w:pPr>
        <w:rPr>
          <w:b/>
          <w:bCs/>
          <w:sz w:val="22"/>
          <w:szCs w:val="22"/>
          <w:lang w:val="nl-NL"/>
        </w:rPr>
      </w:pPr>
      <w:r w:rsidRPr="00A9515F">
        <w:rPr>
          <w:b/>
          <w:bCs/>
          <w:sz w:val="22"/>
          <w:szCs w:val="22"/>
          <w:lang w:val="nl-NL"/>
        </w:rPr>
        <w:t>Investors</w:t>
      </w:r>
    </w:p>
    <w:p w14:paraId="54525EDE" w14:textId="3B41B7A2" w:rsidR="00C12DD2" w:rsidRPr="00A9515F" w:rsidRDefault="009303D7" w:rsidP="00C12DD2">
      <w:pPr>
        <w:rPr>
          <w:sz w:val="22"/>
          <w:szCs w:val="22"/>
          <w:lang w:val="nl-NL"/>
        </w:rPr>
      </w:pPr>
      <w:r w:rsidRPr="00A9515F">
        <w:rPr>
          <w:sz w:val="22"/>
          <w:szCs w:val="22"/>
          <w:lang w:val="nl-NL"/>
        </w:rPr>
        <w:t xml:space="preserve">Erika Begun </w:t>
      </w:r>
      <w:r w:rsidR="00A25843" w:rsidRPr="00A9515F">
        <w:rPr>
          <w:sz w:val="22"/>
          <w:szCs w:val="22"/>
          <w:lang w:val="nl-NL"/>
        </w:rPr>
        <w:t>–</w:t>
      </w:r>
      <w:r w:rsidRPr="00A9515F">
        <w:rPr>
          <w:sz w:val="22"/>
          <w:szCs w:val="22"/>
          <w:lang w:val="nl-NL"/>
        </w:rPr>
        <w:t xml:space="preserve"> </w:t>
      </w:r>
      <w:r w:rsidR="00A25843" w:rsidRPr="00A9515F">
        <w:rPr>
          <w:sz w:val="22"/>
          <w:szCs w:val="22"/>
          <w:lang w:val="nl-NL"/>
        </w:rPr>
        <w:t xml:space="preserve">investorrelations@umusic.com </w:t>
      </w:r>
    </w:p>
    <w:p w14:paraId="770E5798" w14:textId="77777777" w:rsidR="00C12DD2" w:rsidRPr="00A9515F" w:rsidRDefault="00C12DD2" w:rsidP="00C12DD2">
      <w:pPr>
        <w:rPr>
          <w:sz w:val="22"/>
          <w:szCs w:val="22"/>
          <w:lang w:val="nl-NL"/>
        </w:rPr>
      </w:pPr>
    </w:p>
    <w:p w14:paraId="67E1358C" w14:textId="77777777" w:rsidR="00D31BFF" w:rsidRPr="00A9515F" w:rsidRDefault="009303D7" w:rsidP="00D31BFF">
      <w:pPr>
        <w:keepNext/>
        <w:widowControl w:val="0"/>
        <w:rPr>
          <w:b/>
          <w:bCs/>
          <w:sz w:val="22"/>
          <w:szCs w:val="22"/>
        </w:rPr>
      </w:pPr>
      <w:r w:rsidRPr="00A9515F">
        <w:rPr>
          <w:b/>
          <w:bCs/>
          <w:sz w:val="22"/>
          <w:szCs w:val="22"/>
        </w:rPr>
        <w:t>Cautionary Notice</w:t>
      </w:r>
    </w:p>
    <w:p w14:paraId="45D01B05" w14:textId="77777777" w:rsidR="00D31BFF" w:rsidRPr="00A9515F" w:rsidRDefault="009303D7" w:rsidP="00D31BFF">
      <w:pPr>
        <w:keepNext/>
        <w:widowControl w:val="0"/>
        <w:rPr>
          <w:sz w:val="22"/>
          <w:szCs w:val="22"/>
        </w:rPr>
      </w:pPr>
      <w:r w:rsidRPr="00A9515F">
        <w:rPr>
          <w:sz w:val="22"/>
          <w:szCs w:val="22"/>
        </w:rPr>
        <w:t>This press release is published by Universal Music Group N.V. and contains inside information within the meaning of article 7 (1) of Regulation (EU) No 596/2014 (Market Abuse Regulation)</w:t>
      </w:r>
    </w:p>
    <w:p w14:paraId="0B4D0A19" w14:textId="77777777" w:rsidR="00D31BFF" w:rsidRPr="00A9515F" w:rsidRDefault="00D31BFF" w:rsidP="00C12DD2">
      <w:pPr>
        <w:rPr>
          <w:b/>
          <w:bCs/>
          <w:sz w:val="22"/>
          <w:szCs w:val="22"/>
        </w:rPr>
      </w:pPr>
    </w:p>
    <w:p w14:paraId="45B702EE" w14:textId="72BDD02F" w:rsidR="006232AF" w:rsidRPr="00A9515F" w:rsidRDefault="009303D7" w:rsidP="00C12DD2">
      <w:pPr>
        <w:rPr>
          <w:sz w:val="22"/>
          <w:szCs w:val="22"/>
        </w:rPr>
      </w:pPr>
      <w:r w:rsidRPr="00A9515F">
        <w:rPr>
          <w:b/>
          <w:bCs/>
          <w:sz w:val="22"/>
          <w:szCs w:val="22"/>
        </w:rPr>
        <w:t>Forward-looking statements</w:t>
      </w:r>
    </w:p>
    <w:p w14:paraId="66751786" w14:textId="49CDCBF7" w:rsidR="00A25843" w:rsidRPr="00A9515F" w:rsidRDefault="00A9515F" w:rsidP="00C12DD2">
      <w:pPr>
        <w:rPr>
          <w:sz w:val="22"/>
          <w:szCs w:val="22"/>
        </w:rPr>
      </w:pPr>
      <w:r w:rsidRPr="00A9515F">
        <w:rPr>
          <w:sz w:val="22"/>
          <w:szCs w:val="22"/>
        </w:rPr>
        <w:lastRenderedPageBreak/>
        <w:t xml:space="preserve">This press release may contain statements that constitute forward-looking statements with respect to UMG’s financial condition, results of operations, business, </w:t>
      </w:r>
      <w:proofErr w:type="gramStart"/>
      <w:r w:rsidRPr="00A9515F">
        <w:rPr>
          <w:sz w:val="22"/>
          <w:szCs w:val="22"/>
        </w:rPr>
        <w:t>strategy</w:t>
      </w:r>
      <w:proofErr w:type="gramEnd"/>
      <w:r w:rsidRPr="00A9515F">
        <w:rPr>
          <w:sz w:val="22"/>
          <w:szCs w:val="22"/>
        </w:rPr>
        <w:t xml:space="preserve"> and plans. Such forward-looking statements may be identified by the use of words such as ‘profit forecast’, ‘expect’, ‘estimate’, ‘project’, ‘anticipate’, ‘should’, ‘intend’, ‘plan’, ‘probability’, ‘risk’, ‘target’, ‘goal’, ‘objective’, ‘will’, ‘</w:t>
      </w:r>
      <w:proofErr w:type="spellStart"/>
      <w:r w:rsidRPr="00A9515F">
        <w:rPr>
          <w:sz w:val="22"/>
          <w:szCs w:val="22"/>
        </w:rPr>
        <w:t>endeavour</w:t>
      </w:r>
      <w:proofErr w:type="spellEnd"/>
      <w:r w:rsidRPr="00A9515F">
        <w:rPr>
          <w:sz w:val="22"/>
          <w:szCs w:val="22"/>
        </w:rPr>
        <w:t>’, ‘optimistic’, ‘</w:t>
      </w:r>
      <w:proofErr w:type="gramStart"/>
      <w:r w:rsidRPr="00A9515F">
        <w:rPr>
          <w:sz w:val="22"/>
          <w:szCs w:val="22"/>
        </w:rPr>
        <w:t>prospects’</w:t>
      </w:r>
      <w:proofErr w:type="gramEnd"/>
      <w:r w:rsidRPr="00A9515F">
        <w:rPr>
          <w:sz w:val="22"/>
          <w:szCs w:val="22"/>
        </w:rPr>
        <w:t xml:space="preserve"> and similar expressions or variations on such expressions. Although UMG believes that such forward-looking statements are based on reasonable assumptions, they are not guarantees of future performance. Actual results may differ materially from such forward-looking statements as a result of a number of risks and uncertainties, many of which are related to factors that are outside UMG’s control, including, but not limited to, UMG’s inability to compete successfully and to identify, attract, sign and retain successful recording artists and songwriters, failure of streaming and subscription adoption or revenue to grow or to grow less rapidly than anticipated, UMG’s reliance on digital service providers, UMG’s inability to execute its business strategy, the global nature of UMG’s operations, UMG’s inability to protect its intellectual property and against piracy, UMG’s inability to attract and retain key personnel, changes in laws and regulations and the other risks that have been described in UMG’s 2021 annual report. Accordingly, UMG cautions readers against placing undue reliance on such forward-looking statements. Such forward-looking statements are made as of the date of this press release. UMG disclaims any intention or obligation to provide, update or revise any such forward-looking statements, whether as a result of new information, future events or otherwise.</w:t>
      </w:r>
    </w:p>
    <w:sectPr w:rsidR="00A25843" w:rsidRPr="00A9515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940D" w14:textId="77777777" w:rsidR="00812277" w:rsidRDefault="00812277">
      <w:r>
        <w:separator/>
      </w:r>
    </w:p>
  </w:endnote>
  <w:endnote w:type="continuationSeparator" w:id="0">
    <w:p w14:paraId="4C58709C" w14:textId="77777777" w:rsidR="00812277" w:rsidRDefault="0081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202F" w14:textId="77777777" w:rsidR="00A25416" w:rsidRDefault="00A25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66A8" w14:textId="77777777" w:rsidR="00A25416" w:rsidRDefault="00A254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B722" w14:textId="77777777" w:rsidR="00A25416" w:rsidRDefault="00A25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7D264" w14:textId="77777777" w:rsidR="00812277" w:rsidRDefault="00812277">
      <w:r>
        <w:separator/>
      </w:r>
    </w:p>
  </w:footnote>
  <w:footnote w:type="continuationSeparator" w:id="0">
    <w:p w14:paraId="288F3956" w14:textId="77777777" w:rsidR="00812277" w:rsidRDefault="00812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8E2F" w14:textId="77777777" w:rsidR="00A25416" w:rsidRDefault="00A25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1893" w14:textId="77777777" w:rsidR="00A25416" w:rsidRDefault="00A254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6918" w14:textId="77777777" w:rsidR="00A25416" w:rsidRDefault="00A25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1E2F"/>
    <w:multiLevelType w:val="hybridMultilevel"/>
    <w:tmpl w:val="67049F0A"/>
    <w:lvl w:ilvl="0" w:tplc="36B87ADE">
      <w:start w:val="1"/>
      <w:numFmt w:val="bullet"/>
      <w:lvlText w:val=""/>
      <w:lvlJc w:val="left"/>
      <w:pPr>
        <w:ind w:left="720" w:hanging="360"/>
      </w:pPr>
      <w:rPr>
        <w:rFonts w:ascii="Symbol" w:hAnsi="Symbol" w:hint="default"/>
      </w:rPr>
    </w:lvl>
    <w:lvl w:ilvl="1" w:tplc="37960576">
      <w:start w:val="1"/>
      <w:numFmt w:val="bullet"/>
      <w:lvlText w:val="o"/>
      <w:lvlJc w:val="left"/>
      <w:pPr>
        <w:ind w:left="1440" w:hanging="360"/>
      </w:pPr>
      <w:rPr>
        <w:rFonts w:ascii="Courier New" w:hAnsi="Courier New" w:cs="Courier New" w:hint="default"/>
      </w:rPr>
    </w:lvl>
    <w:lvl w:ilvl="2" w:tplc="DACEC648">
      <w:start w:val="1"/>
      <w:numFmt w:val="bullet"/>
      <w:lvlText w:val=""/>
      <w:lvlJc w:val="left"/>
      <w:pPr>
        <w:ind w:left="2160" w:hanging="360"/>
      </w:pPr>
      <w:rPr>
        <w:rFonts w:ascii="Wingdings" w:hAnsi="Wingdings" w:hint="default"/>
      </w:rPr>
    </w:lvl>
    <w:lvl w:ilvl="3" w:tplc="526420FC">
      <w:start w:val="1"/>
      <w:numFmt w:val="bullet"/>
      <w:lvlText w:val=""/>
      <w:lvlJc w:val="left"/>
      <w:pPr>
        <w:ind w:left="2880" w:hanging="360"/>
      </w:pPr>
      <w:rPr>
        <w:rFonts w:ascii="Symbol" w:hAnsi="Symbol" w:hint="default"/>
      </w:rPr>
    </w:lvl>
    <w:lvl w:ilvl="4" w:tplc="D0001930">
      <w:start w:val="1"/>
      <w:numFmt w:val="bullet"/>
      <w:lvlText w:val="o"/>
      <w:lvlJc w:val="left"/>
      <w:pPr>
        <w:ind w:left="3600" w:hanging="360"/>
      </w:pPr>
      <w:rPr>
        <w:rFonts w:ascii="Courier New" w:hAnsi="Courier New" w:cs="Courier New" w:hint="default"/>
      </w:rPr>
    </w:lvl>
    <w:lvl w:ilvl="5" w:tplc="B5A4C3AE">
      <w:start w:val="1"/>
      <w:numFmt w:val="bullet"/>
      <w:lvlText w:val=""/>
      <w:lvlJc w:val="left"/>
      <w:pPr>
        <w:ind w:left="4320" w:hanging="360"/>
      </w:pPr>
      <w:rPr>
        <w:rFonts w:ascii="Wingdings" w:hAnsi="Wingdings" w:hint="default"/>
      </w:rPr>
    </w:lvl>
    <w:lvl w:ilvl="6" w:tplc="95BE2ED2">
      <w:start w:val="1"/>
      <w:numFmt w:val="bullet"/>
      <w:lvlText w:val=""/>
      <w:lvlJc w:val="left"/>
      <w:pPr>
        <w:ind w:left="5040" w:hanging="360"/>
      </w:pPr>
      <w:rPr>
        <w:rFonts w:ascii="Symbol" w:hAnsi="Symbol" w:hint="default"/>
      </w:rPr>
    </w:lvl>
    <w:lvl w:ilvl="7" w:tplc="7B2CD812">
      <w:start w:val="1"/>
      <w:numFmt w:val="bullet"/>
      <w:lvlText w:val="o"/>
      <w:lvlJc w:val="left"/>
      <w:pPr>
        <w:ind w:left="5760" w:hanging="360"/>
      </w:pPr>
      <w:rPr>
        <w:rFonts w:ascii="Courier New" w:hAnsi="Courier New" w:cs="Courier New" w:hint="default"/>
      </w:rPr>
    </w:lvl>
    <w:lvl w:ilvl="8" w:tplc="D898EFE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C2"/>
    <w:rsid w:val="000040EC"/>
    <w:rsid w:val="00040117"/>
    <w:rsid w:val="00081245"/>
    <w:rsid w:val="000B35F8"/>
    <w:rsid w:val="000F0CF4"/>
    <w:rsid w:val="001547C2"/>
    <w:rsid w:val="002057FE"/>
    <w:rsid w:val="0033676D"/>
    <w:rsid w:val="00365EE5"/>
    <w:rsid w:val="003B32AE"/>
    <w:rsid w:val="005C19E7"/>
    <w:rsid w:val="006160B2"/>
    <w:rsid w:val="006232AF"/>
    <w:rsid w:val="006457F6"/>
    <w:rsid w:val="006B209B"/>
    <w:rsid w:val="006C09A6"/>
    <w:rsid w:val="00812277"/>
    <w:rsid w:val="009303D7"/>
    <w:rsid w:val="00983710"/>
    <w:rsid w:val="00A25416"/>
    <w:rsid w:val="00A25843"/>
    <w:rsid w:val="00A9515F"/>
    <w:rsid w:val="00C12DD2"/>
    <w:rsid w:val="00CB4AD1"/>
    <w:rsid w:val="00CC638F"/>
    <w:rsid w:val="00D31BFF"/>
    <w:rsid w:val="00D60982"/>
    <w:rsid w:val="00D712CD"/>
    <w:rsid w:val="00DB10C7"/>
    <w:rsid w:val="00DD0400"/>
    <w:rsid w:val="00E64677"/>
    <w:rsid w:val="00E92EFC"/>
    <w:rsid w:val="00EE66AB"/>
    <w:rsid w:val="00F45F67"/>
    <w:rsid w:val="00F65C0B"/>
    <w:rsid w:val="00F745DF"/>
    <w:rsid w:val="00FF1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A8A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7C2"/>
    <w:pPr>
      <w:spacing w:after="0" w:line="240" w:lineRule="auto"/>
    </w:pPr>
    <w:rPr>
      <w:rFonts w:ascii="Calibri"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7C2"/>
    <w:pPr>
      <w:ind w:left="720"/>
    </w:pPr>
  </w:style>
  <w:style w:type="character" w:styleId="Hyperlink">
    <w:name w:val="Hyperlink"/>
    <w:basedOn w:val="DefaultParagraphFont"/>
    <w:uiPriority w:val="99"/>
    <w:unhideWhenUsed/>
    <w:rsid w:val="00A25843"/>
    <w:rPr>
      <w:color w:val="0563C1" w:themeColor="hyperlink"/>
      <w:u w:val="single"/>
    </w:rPr>
  </w:style>
  <w:style w:type="character" w:customStyle="1" w:styleId="UnresolvedMention1">
    <w:name w:val="Unresolved Mention1"/>
    <w:basedOn w:val="DefaultParagraphFont"/>
    <w:uiPriority w:val="99"/>
    <w:semiHidden/>
    <w:unhideWhenUsed/>
    <w:rsid w:val="00A25843"/>
    <w:rPr>
      <w:color w:val="605E5C"/>
      <w:shd w:val="clear" w:color="auto" w:fill="E1DFDD"/>
    </w:rPr>
  </w:style>
  <w:style w:type="paragraph" w:styleId="Header">
    <w:name w:val="header"/>
    <w:basedOn w:val="Normal"/>
    <w:link w:val="HeaderChar"/>
    <w:uiPriority w:val="99"/>
    <w:unhideWhenUsed/>
    <w:rsid w:val="00D60982"/>
    <w:pPr>
      <w:tabs>
        <w:tab w:val="center" w:pos="4703"/>
        <w:tab w:val="right" w:pos="9406"/>
      </w:tabs>
    </w:pPr>
  </w:style>
  <w:style w:type="character" w:customStyle="1" w:styleId="HeaderChar">
    <w:name w:val="Header Char"/>
    <w:basedOn w:val="DefaultParagraphFont"/>
    <w:link w:val="Header"/>
    <w:uiPriority w:val="99"/>
    <w:rsid w:val="00D60982"/>
    <w:rPr>
      <w:rFonts w:ascii="Calibri" w:hAnsi="Calibri" w:cs="Calibri"/>
      <w:sz w:val="20"/>
      <w:szCs w:val="20"/>
    </w:rPr>
  </w:style>
  <w:style w:type="paragraph" w:styleId="Footer">
    <w:name w:val="footer"/>
    <w:basedOn w:val="Normal"/>
    <w:link w:val="FooterChar"/>
    <w:uiPriority w:val="99"/>
    <w:unhideWhenUsed/>
    <w:rsid w:val="00D60982"/>
    <w:pPr>
      <w:tabs>
        <w:tab w:val="center" w:pos="4703"/>
        <w:tab w:val="right" w:pos="9406"/>
      </w:tabs>
    </w:pPr>
  </w:style>
  <w:style w:type="character" w:customStyle="1" w:styleId="FooterChar">
    <w:name w:val="Footer Char"/>
    <w:basedOn w:val="DefaultParagraphFont"/>
    <w:link w:val="Footer"/>
    <w:uiPriority w:val="99"/>
    <w:rsid w:val="00D60982"/>
    <w:rPr>
      <w:rFonts w:ascii="Calibri" w:hAnsi="Calibri" w:cs="Calibri"/>
      <w:sz w:val="20"/>
      <w:szCs w:val="20"/>
    </w:rPr>
  </w:style>
  <w:style w:type="paragraph" w:styleId="NormalWeb">
    <w:name w:val="Normal (Web)"/>
    <w:basedOn w:val="Normal"/>
    <w:uiPriority w:val="99"/>
    <w:semiHidden/>
    <w:unhideWhenUsed/>
    <w:rsid w:val="00D31BFF"/>
    <w:pPr>
      <w:spacing w:before="100" w:beforeAutospacing="1" w:after="100" w:afterAutospacing="1"/>
    </w:pPr>
    <w:rPr>
      <w:rFonts w:ascii="Times New Roman" w:eastAsia="Times New Roman" w:hAnsi="Times New Roman" w:cs="Times New Roman"/>
      <w:sz w:val="24"/>
      <w:szCs w:val="24"/>
      <w:lang w:eastAsia="zh-CN"/>
    </w:rPr>
  </w:style>
  <w:style w:type="paragraph" w:styleId="Revision">
    <w:name w:val="Revision"/>
    <w:hidden/>
    <w:uiPriority w:val="99"/>
    <w:semiHidden/>
    <w:rsid w:val="006457F6"/>
    <w:pPr>
      <w:spacing w:after="0" w:line="240" w:lineRule="auto"/>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34512-F2DE-49BB-8606-930B55E78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2022-06-16T12:01:00Z</dcterms:created>
  <dcterms:modified xsi:type="dcterms:W3CDTF">2022-06-16T12:01:00Z</dcterms:modified>
</cp:coreProperties>
</file>