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C02" w:rsidRDefault="00C45C02" w:rsidP="001A0486">
      <w:pPr>
        <w:pStyle w:val="Heading2"/>
        <w:numPr>
          <w:ilvl w:val="0"/>
          <w:numId w:val="0"/>
        </w:numPr>
        <w:ind w:left="578" w:hanging="578"/>
        <w:jc w:val="center"/>
        <w:rPr>
          <w:rFonts w:ascii="Calibri" w:hAnsi="Calibri"/>
          <w:bCs/>
          <w:i/>
          <w:sz w:val="28"/>
          <w:szCs w:val="28"/>
        </w:rPr>
      </w:pPr>
    </w:p>
    <w:p w:rsidR="00812BB7" w:rsidRPr="00812BB7" w:rsidRDefault="00812BB7" w:rsidP="00812BB7"/>
    <w:p w:rsidR="006C2590" w:rsidRPr="006C2590" w:rsidRDefault="006C2590" w:rsidP="006C2590"/>
    <w:p w:rsidR="00D462AA" w:rsidRDefault="00D462AA" w:rsidP="001A0486">
      <w:pPr>
        <w:pStyle w:val="Heading2"/>
        <w:numPr>
          <w:ilvl w:val="0"/>
          <w:numId w:val="0"/>
        </w:numPr>
        <w:ind w:left="578" w:hanging="578"/>
        <w:jc w:val="center"/>
        <w:rPr>
          <w:rFonts w:ascii="Calibri" w:hAnsi="Calibri"/>
          <w:bCs/>
          <w:i/>
          <w:sz w:val="28"/>
          <w:szCs w:val="28"/>
        </w:rPr>
      </w:pPr>
    </w:p>
    <w:p w:rsidR="00514EA7" w:rsidRPr="00850469" w:rsidRDefault="00514EA7" w:rsidP="001A0486">
      <w:pPr>
        <w:pStyle w:val="Heading2"/>
        <w:numPr>
          <w:ilvl w:val="0"/>
          <w:numId w:val="0"/>
        </w:numPr>
        <w:ind w:left="578" w:hanging="578"/>
        <w:jc w:val="center"/>
        <w:rPr>
          <w:rFonts w:ascii="Calibri" w:hAnsi="Calibri"/>
          <w:bCs/>
          <w:i/>
          <w:sz w:val="28"/>
          <w:szCs w:val="28"/>
        </w:rPr>
      </w:pPr>
      <w:r w:rsidRPr="00850469">
        <w:rPr>
          <w:rFonts w:ascii="Calibri" w:hAnsi="Calibri"/>
          <w:bCs/>
          <w:i/>
          <w:sz w:val="28"/>
          <w:szCs w:val="28"/>
        </w:rPr>
        <w:t>AD „Čajavec – MEGA“ Banjaluka</w:t>
      </w:r>
    </w:p>
    <w:p w:rsidR="00514EA7" w:rsidRPr="00850469" w:rsidRDefault="00514EA7" w:rsidP="001A0486">
      <w:pPr>
        <w:spacing w:after="120"/>
        <w:jc w:val="both"/>
        <w:rPr>
          <w:rFonts w:ascii="Calibri" w:hAnsi="Calibri"/>
          <w:b/>
          <w:bCs/>
          <w:i/>
          <w:color w:val="FF0000"/>
          <w:szCs w:val="28"/>
        </w:rPr>
      </w:pPr>
    </w:p>
    <w:p w:rsidR="00514EA7" w:rsidRPr="00850469" w:rsidRDefault="00514EA7" w:rsidP="001A0486">
      <w:pPr>
        <w:spacing w:after="120"/>
        <w:jc w:val="both"/>
        <w:rPr>
          <w:rFonts w:ascii="Calibri" w:hAnsi="Calibri"/>
          <w:i/>
          <w:szCs w:val="28"/>
        </w:rPr>
      </w:pPr>
    </w:p>
    <w:p w:rsidR="00514EA7" w:rsidRPr="00850469" w:rsidRDefault="00514EA7" w:rsidP="001A0486">
      <w:pPr>
        <w:spacing w:after="120"/>
        <w:jc w:val="both"/>
        <w:rPr>
          <w:rFonts w:ascii="Calibri" w:hAnsi="Calibri"/>
          <w:i/>
          <w:szCs w:val="28"/>
        </w:rPr>
      </w:pPr>
    </w:p>
    <w:p w:rsidR="00514EA7" w:rsidRPr="00850469" w:rsidRDefault="00514EA7" w:rsidP="001A0486">
      <w:pPr>
        <w:spacing w:after="120"/>
        <w:jc w:val="both"/>
        <w:rPr>
          <w:rFonts w:ascii="Calibri" w:hAnsi="Calibri"/>
          <w:i/>
          <w:szCs w:val="28"/>
        </w:rPr>
      </w:pPr>
    </w:p>
    <w:p w:rsidR="00514EA7" w:rsidRPr="00850469" w:rsidRDefault="00514EA7" w:rsidP="001A0486">
      <w:pPr>
        <w:spacing w:after="120"/>
        <w:jc w:val="both"/>
        <w:rPr>
          <w:rFonts w:ascii="Calibri" w:hAnsi="Calibri"/>
          <w:i/>
          <w:szCs w:val="28"/>
        </w:rPr>
      </w:pPr>
    </w:p>
    <w:p w:rsidR="00514EA7" w:rsidRPr="00850469" w:rsidRDefault="00514EA7" w:rsidP="001A0486">
      <w:pPr>
        <w:spacing w:after="120"/>
        <w:jc w:val="both"/>
        <w:rPr>
          <w:rFonts w:ascii="Calibri" w:hAnsi="Calibri"/>
          <w:i/>
          <w:szCs w:val="28"/>
        </w:rPr>
      </w:pPr>
    </w:p>
    <w:p w:rsidR="00514EA7" w:rsidRPr="00850469" w:rsidRDefault="00514EA7" w:rsidP="001A0486">
      <w:pPr>
        <w:spacing w:after="120"/>
        <w:jc w:val="both"/>
        <w:rPr>
          <w:rFonts w:ascii="Calibri" w:hAnsi="Calibri"/>
          <w:i/>
          <w:szCs w:val="28"/>
        </w:rPr>
      </w:pPr>
    </w:p>
    <w:p w:rsidR="00514EA7" w:rsidRPr="00850469" w:rsidRDefault="00514EA7" w:rsidP="001A0486">
      <w:pPr>
        <w:spacing w:after="120"/>
        <w:jc w:val="both"/>
        <w:rPr>
          <w:rFonts w:ascii="Calibri" w:hAnsi="Calibri"/>
          <w:i/>
          <w:szCs w:val="28"/>
        </w:rPr>
      </w:pPr>
    </w:p>
    <w:p w:rsidR="00514EA7" w:rsidRPr="00850469" w:rsidRDefault="00514EA7" w:rsidP="001A0486">
      <w:pPr>
        <w:spacing w:after="120"/>
        <w:jc w:val="both"/>
        <w:rPr>
          <w:rFonts w:ascii="Calibri" w:hAnsi="Calibri"/>
          <w:i/>
          <w:szCs w:val="28"/>
        </w:rPr>
      </w:pPr>
    </w:p>
    <w:p w:rsidR="00514EA7" w:rsidRPr="00850469" w:rsidRDefault="00514EA7" w:rsidP="00AE0816">
      <w:pPr>
        <w:pStyle w:val="Heading3"/>
        <w:numPr>
          <w:ilvl w:val="0"/>
          <w:numId w:val="0"/>
        </w:numPr>
        <w:ind w:left="720" w:hanging="720"/>
        <w:rPr>
          <w:rFonts w:ascii="Calibri" w:hAnsi="Calibri"/>
          <w:b/>
          <w:bCs/>
          <w:i/>
          <w:spacing w:val="100"/>
          <w:sz w:val="48"/>
          <w:szCs w:val="28"/>
        </w:rPr>
      </w:pPr>
      <w:r w:rsidRPr="00850469">
        <w:rPr>
          <w:rFonts w:ascii="Calibri" w:hAnsi="Calibri"/>
          <w:b/>
          <w:bCs/>
          <w:i/>
          <w:spacing w:val="100"/>
          <w:sz w:val="48"/>
          <w:szCs w:val="28"/>
        </w:rPr>
        <w:t>IZVJEŠTAJ</w:t>
      </w:r>
    </w:p>
    <w:p w:rsidR="00AE0816" w:rsidRDefault="00AE0816" w:rsidP="00AE0816">
      <w:pPr>
        <w:pStyle w:val="Heading4"/>
        <w:numPr>
          <w:ilvl w:val="0"/>
          <w:numId w:val="0"/>
        </w:numPr>
        <w:ind w:left="360"/>
        <w:rPr>
          <w:rFonts w:ascii="Calibri" w:hAnsi="Calibri"/>
          <w:b/>
          <w:bCs/>
          <w:i/>
          <w:sz w:val="28"/>
          <w:szCs w:val="28"/>
        </w:rPr>
      </w:pPr>
      <w:r>
        <w:rPr>
          <w:rFonts w:ascii="Calibri" w:hAnsi="Calibri"/>
          <w:b/>
          <w:bCs/>
          <w:i/>
          <w:sz w:val="28"/>
          <w:szCs w:val="28"/>
        </w:rPr>
        <w:t xml:space="preserve">O </w:t>
      </w:r>
      <w:r w:rsidR="00DF07F3" w:rsidRPr="00850469">
        <w:rPr>
          <w:rFonts w:ascii="Calibri" w:hAnsi="Calibri"/>
          <w:b/>
          <w:bCs/>
          <w:i/>
          <w:sz w:val="28"/>
          <w:szCs w:val="28"/>
        </w:rPr>
        <w:t xml:space="preserve">poslovanju </w:t>
      </w:r>
      <w:r>
        <w:rPr>
          <w:rFonts w:ascii="Calibri" w:hAnsi="Calibri"/>
          <w:b/>
          <w:bCs/>
          <w:i/>
          <w:sz w:val="28"/>
          <w:szCs w:val="28"/>
        </w:rPr>
        <w:t>AD "Čajavec-MEGA" Banjaluka</w:t>
      </w:r>
    </w:p>
    <w:p w:rsidR="00514EA7" w:rsidRPr="00850469" w:rsidRDefault="00DF07F3" w:rsidP="00AE0816">
      <w:pPr>
        <w:pStyle w:val="Heading4"/>
        <w:numPr>
          <w:ilvl w:val="0"/>
          <w:numId w:val="0"/>
        </w:numPr>
        <w:spacing w:after="120"/>
        <w:ind w:left="360"/>
        <w:rPr>
          <w:rFonts w:ascii="Calibri" w:hAnsi="Calibri"/>
          <w:b/>
          <w:bCs/>
          <w:i/>
          <w:sz w:val="28"/>
          <w:szCs w:val="28"/>
        </w:rPr>
      </w:pPr>
      <w:r w:rsidRPr="00850469">
        <w:rPr>
          <w:rFonts w:ascii="Calibri" w:hAnsi="Calibri"/>
          <w:b/>
          <w:bCs/>
          <w:i/>
          <w:sz w:val="28"/>
          <w:szCs w:val="28"/>
        </w:rPr>
        <w:t>u 20</w:t>
      </w:r>
      <w:r w:rsidR="004A2F5F">
        <w:rPr>
          <w:rFonts w:ascii="Calibri" w:hAnsi="Calibri"/>
          <w:b/>
          <w:bCs/>
          <w:i/>
          <w:sz w:val="28"/>
          <w:szCs w:val="28"/>
        </w:rPr>
        <w:t>2</w:t>
      </w:r>
      <w:r w:rsidR="001D2209">
        <w:rPr>
          <w:rFonts w:ascii="Calibri" w:hAnsi="Calibri"/>
          <w:b/>
          <w:bCs/>
          <w:i/>
          <w:sz w:val="28"/>
          <w:szCs w:val="28"/>
        </w:rPr>
        <w:t>3</w:t>
      </w:r>
      <w:r w:rsidRPr="00850469">
        <w:rPr>
          <w:rFonts w:ascii="Calibri" w:hAnsi="Calibri"/>
          <w:b/>
          <w:bCs/>
          <w:i/>
          <w:sz w:val="28"/>
          <w:szCs w:val="28"/>
        </w:rPr>
        <w:t>. godini</w:t>
      </w:r>
    </w:p>
    <w:p w:rsidR="00514EA7" w:rsidRPr="00850469" w:rsidRDefault="00514EA7" w:rsidP="001A0486">
      <w:pPr>
        <w:spacing w:after="120"/>
        <w:jc w:val="center"/>
        <w:rPr>
          <w:rFonts w:ascii="Calibri" w:hAnsi="Calibri"/>
          <w:b/>
          <w:bCs/>
          <w:i/>
          <w:szCs w:val="28"/>
        </w:rPr>
      </w:pPr>
    </w:p>
    <w:p w:rsidR="00514EA7" w:rsidRPr="00850469" w:rsidRDefault="00514EA7" w:rsidP="001A0486">
      <w:pPr>
        <w:spacing w:after="120"/>
        <w:rPr>
          <w:rFonts w:ascii="Calibri" w:hAnsi="Calibri"/>
          <w:b/>
          <w:bCs/>
          <w:i/>
          <w:szCs w:val="28"/>
        </w:rPr>
      </w:pPr>
    </w:p>
    <w:p w:rsidR="00514EA7" w:rsidRPr="00850469" w:rsidRDefault="00514EA7" w:rsidP="001A0486">
      <w:pPr>
        <w:spacing w:after="120"/>
        <w:rPr>
          <w:rFonts w:ascii="Calibri" w:hAnsi="Calibri"/>
          <w:i/>
          <w:szCs w:val="28"/>
        </w:rPr>
      </w:pPr>
    </w:p>
    <w:p w:rsidR="00514EA7" w:rsidRPr="00850469" w:rsidRDefault="00514EA7" w:rsidP="001A0486">
      <w:pPr>
        <w:spacing w:after="120"/>
        <w:rPr>
          <w:rFonts w:ascii="Calibri" w:hAnsi="Calibri"/>
          <w:i/>
          <w:szCs w:val="28"/>
        </w:rPr>
      </w:pPr>
    </w:p>
    <w:p w:rsidR="00514EA7" w:rsidRPr="00850469" w:rsidRDefault="00514EA7" w:rsidP="001A0486">
      <w:pPr>
        <w:spacing w:after="120"/>
        <w:rPr>
          <w:rFonts w:ascii="Calibri" w:hAnsi="Calibri"/>
          <w:i/>
          <w:szCs w:val="28"/>
        </w:rPr>
      </w:pPr>
    </w:p>
    <w:p w:rsidR="00514EA7" w:rsidRPr="00850469" w:rsidRDefault="00514EA7" w:rsidP="001A0486">
      <w:pPr>
        <w:spacing w:after="120"/>
        <w:rPr>
          <w:rFonts w:ascii="Calibri" w:hAnsi="Calibri"/>
          <w:i/>
          <w:szCs w:val="28"/>
        </w:rPr>
      </w:pPr>
    </w:p>
    <w:p w:rsidR="00514EA7" w:rsidRPr="00850469" w:rsidRDefault="00514EA7" w:rsidP="001A0486">
      <w:pPr>
        <w:spacing w:after="120"/>
        <w:rPr>
          <w:rFonts w:ascii="Calibri" w:hAnsi="Calibri"/>
          <w:i/>
          <w:szCs w:val="28"/>
        </w:rPr>
      </w:pPr>
    </w:p>
    <w:p w:rsidR="00514EA7" w:rsidRPr="00850469" w:rsidRDefault="00514EA7" w:rsidP="001A0486">
      <w:pPr>
        <w:spacing w:after="120"/>
        <w:rPr>
          <w:rFonts w:ascii="Calibri" w:hAnsi="Calibri"/>
          <w:b/>
          <w:bCs/>
          <w:i/>
          <w:szCs w:val="28"/>
        </w:rPr>
      </w:pPr>
    </w:p>
    <w:p w:rsidR="00514EA7" w:rsidRPr="00850469" w:rsidRDefault="00514EA7" w:rsidP="001A0486">
      <w:pPr>
        <w:spacing w:after="120"/>
        <w:rPr>
          <w:rFonts w:ascii="Calibri" w:hAnsi="Calibri"/>
          <w:b/>
          <w:bCs/>
          <w:i/>
          <w:szCs w:val="28"/>
        </w:rPr>
      </w:pPr>
    </w:p>
    <w:p w:rsidR="00514EA7" w:rsidRPr="00850469" w:rsidRDefault="00514EA7" w:rsidP="001A0486">
      <w:pPr>
        <w:spacing w:after="120"/>
        <w:rPr>
          <w:rFonts w:ascii="Calibri" w:hAnsi="Calibri"/>
          <w:b/>
          <w:bCs/>
          <w:i/>
          <w:szCs w:val="28"/>
        </w:rPr>
      </w:pPr>
    </w:p>
    <w:p w:rsidR="00514EA7" w:rsidRDefault="00514EA7" w:rsidP="001A0486">
      <w:pPr>
        <w:spacing w:after="120"/>
        <w:jc w:val="center"/>
        <w:rPr>
          <w:rFonts w:ascii="Calibri" w:hAnsi="Calibri"/>
          <w:b/>
          <w:bCs/>
          <w:i/>
          <w:szCs w:val="28"/>
        </w:rPr>
      </w:pPr>
    </w:p>
    <w:p w:rsidR="00FD6F34" w:rsidRDefault="00FD6F34" w:rsidP="001A0486">
      <w:pPr>
        <w:spacing w:after="120"/>
        <w:jc w:val="center"/>
        <w:rPr>
          <w:rFonts w:ascii="Calibri" w:hAnsi="Calibri"/>
          <w:b/>
          <w:bCs/>
          <w:i/>
          <w:szCs w:val="28"/>
        </w:rPr>
      </w:pPr>
    </w:p>
    <w:p w:rsidR="007E0626" w:rsidRDefault="007E0626" w:rsidP="007E0626">
      <w:pPr>
        <w:spacing w:after="120"/>
        <w:rPr>
          <w:rFonts w:ascii="Calibri" w:hAnsi="Calibri"/>
          <w:b/>
          <w:bCs/>
          <w:i/>
          <w:szCs w:val="28"/>
        </w:rPr>
      </w:pPr>
    </w:p>
    <w:p w:rsidR="00514EA7" w:rsidRPr="00850469" w:rsidRDefault="00DE452D" w:rsidP="007E0626">
      <w:pPr>
        <w:spacing w:after="120"/>
        <w:jc w:val="center"/>
        <w:rPr>
          <w:rFonts w:ascii="Calibri" w:hAnsi="Calibri"/>
          <w:b/>
          <w:bCs/>
          <w:i/>
          <w:szCs w:val="28"/>
        </w:rPr>
      </w:pPr>
      <w:r w:rsidRPr="00850469">
        <w:rPr>
          <w:rFonts w:ascii="Calibri" w:hAnsi="Calibri"/>
          <w:b/>
          <w:bCs/>
          <w:i/>
          <w:szCs w:val="28"/>
        </w:rPr>
        <w:t xml:space="preserve">Banjaluka, </w:t>
      </w:r>
      <w:r w:rsidR="00877AFE">
        <w:rPr>
          <w:rFonts w:ascii="Calibri" w:hAnsi="Calibri"/>
          <w:b/>
          <w:bCs/>
          <w:i/>
          <w:szCs w:val="28"/>
        </w:rPr>
        <w:t>mart</w:t>
      </w:r>
      <w:r w:rsidR="00612ECC">
        <w:rPr>
          <w:rFonts w:ascii="Calibri" w:hAnsi="Calibri"/>
          <w:b/>
          <w:bCs/>
          <w:i/>
          <w:szCs w:val="28"/>
        </w:rPr>
        <w:t xml:space="preserve"> </w:t>
      </w:r>
      <w:r w:rsidR="00514EA7" w:rsidRPr="00850469">
        <w:rPr>
          <w:rFonts w:ascii="Calibri" w:hAnsi="Calibri"/>
          <w:b/>
          <w:bCs/>
          <w:i/>
          <w:szCs w:val="28"/>
        </w:rPr>
        <w:t xml:space="preserve"> 20</w:t>
      </w:r>
      <w:r w:rsidR="00A619AC">
        <w:rPr>
          <w:rFonts w:ascii="Calibri" w:hAnsi="Calibri"/>
          <w:b/>
          <w:bCs/>
          <w:i/>
          <w:szCs w:val="28"/>
        </w:rPr>
        <w:t>2</w:t>
      </w:r>
      <w:r w:rsidR="001D2209">
        <w:rPr>
          <w:rFonts w:ascii="Calibri" w:hAnsi="Calibri"/>
          <w:b/>
          <w:bCs/>
          <w:i/>
          <w:szCs w:val="28"/>
        </w:rPr>
        <w:t>4</w:t>
      </w:r>
      <w:r w:rsidR="00514EA7" w:rsidRPr="00850469">
        <w:rPr>
          <w:rFonts w:ascii="Calibri" w:hAnsi="Calibri"/>
          <w:b/>
          <w:bCs/>
          <w:i/>
          <w:szCs w:val="28"/>
        </w:rPr>
        <w:t>. godine</w:t>
      </w:r>
    </w:p>
    <w:p w:rsidR="00421C72" w:rsidRDefault="00421C72" w:rsidP="004F5CBB">
      <w:pPr>
        <w:pStyle w:val="Subtitle"/>
        <w:rPr>
          <w:rFonts w:ascii="Calibri" w:hAnsi="Calibri"/>
          <w:b w:val="0"/>
          <w:sz w:val="22"/>
        </w:rPr>
      </w:pPr>
    </w:p>
    <w:p w:rsidR="001E3215" w:rsidRDefault="00DF07F3" w:rsidP="00AE0816">
      <w:pPr>
        <w:pStyle w:val="Subtitle"/>
        <w:spacing w:after="120"/>
        <w:rPr>
          <w:rFonts w:asciiTheme="minorHAnsi" w:hAnsiTheme="minorHAnsi" w:cs="TimesNewRomanPSMT"/>
          <w:b w:val="0"/>
          <w:sz w:val="22"/>
          <w:szCs w:val="22"/>
        </w:rPr>
      </w:pPr>
      <w:r w:rsidRPr="001A0486">
        <w:rPr>
          <w:rFonts w:ascii="Calibri" w:hAnsi="Calibri"/>
          <w:b w:val="0"/>
          <w:sz w:val="22"/>
        </w:rPr>
        <w:t xml:space="preserve">U skladu sa članom 282. i članom 315 Zakona o privrednim društvima (Službeni glasnik Republike Srpske </w:t>
      </w:r>
      <w:r w:rsidRPr="001A0486">
        <w:rPr>
          <w:rFonts w:ascii="Calibri" w:hAnsi="Calibri"/>
          <w:b w:val="0"/>
          <w:sz w:val="22"/>
          <w:szCs w:val="22"/>
        </w:rPr>
        <w:t xml:space="preserve">broj </w:t>
      </w:r>
      <w:r w:rsidR="001A0486" w:rsidRPr="00CC4EAE">
        <w:rPr>
          <w:rFonts w:asciiTheme="minorHAnsi" w:hAnsiTheme="minorHAnsi" w:cs="TimesNewRomanPSMT"/>
          <w:b w:val="0"/>
          <w:sz w:val="22"/>
          <w:szCs w:val="22"/>
        </w:rPr>
        <w:t xml:space="preserve">127/08, 58/09, 100/11, 67/13), </w:t>
      </w:r>
      <w:proofErr w:type="spellStart"/>
      <w:r w:rsidR="001A0486">
        <w:rPr>
          <w:rFonts w:asciiTheme="minorHAnsi" w:hAnsiTheme="minorHAnsi" w:cs="TimesNewRomanPSMT"/>
          <w:b w:val="0"/>
          <w:sz w:val="22"/>
          <w:szCs w:val="22"/>
          <w:lang w:val="en-US"/>
        </w:rPr>
        <w:t>kao</w:t>
      </w:r>
      <w:proofErr w:type="spellEnd"/>
      <w:r w:rsidR="001A0486" w:rsidRPr="00CC4EAE">
        <w:rPr>
          <w:rFonts w:asciiTheme="minorHAnsi" w:hAnsiTheme="minorHAnsi" w:cs="TimesNewRomanPSMT"/>
          <w:b w:val="0"/>
          <w:sz w:val="22"/>
          <w:szCs w:val="22"/>
        </w:rPr>
        <w:t xml:space="preserve"> </w:t>
      </w:r>
      <w:proofErr w:type="spellStart"/>
      <w:r w:rsidR="001A0486">
        <w:rPr>
          <w:rFonts w:asciiTheme="minorHAnsi" w:hAnsiTheme="minorHAnsi" w:cs="TimesNewRomanPSMT"/>
          <w:b w:val="0"/>
          <w:sz w:val="22"/>
          <w:szCs w:val="22"/>
          <w:lang w:val="en-US"/>
        </w:rPr>
        <w:t>i</w:t>
      </w:r>
      <w:proofErr w:type="spellEnd"/>
      <w:r w:rsidR="001A0486" w:rsidRPr="00CC4EAE">
        <w:rPr>
          <w:rFonts w:asciiTheme="minorHAnsi" w:hAnsiTheme="minorHAnsi" w:cs="TimesNewRomanPSMT"/>
          <w:b w:val="0"/>
          <w:sz w:val="22"/>
          <w:szCs w:val="22"/>
        </w:rPr>
        <w:t xml:space="preserve"> č</w:t>
      </w:r>
      <w:proofErr w:type="spellStart"/>
      <w:r w:rsidR="001A0486">
        <w:rPr>
          <w:rFonts w:asciiTheme="minorHAnsi" w:hAnsiTheme="minorHAnsi" w:cs="TimesNewRomanPSMT"/>
          <w:b w:val="0"/>
          <w:sz w:val="22"/>
          <w:szCs w:val="22"/>
          <w:lang w:val="en-US"/>
        </w:rPr>
        <w:t>lana</w:t>
      </w:r>
      <w:proofErr w:type="spellEnd"/>
      <w:r w:rsidR="001A0486" w:rsidRPr="00CC4EAE">
        <w:rPr>
          <w:rFonts w:asciiTheme="minorHAnsi" w:hAnsiTheme="minorHAnsi" w:cs="TimesNewRomanPSMT"/>
          <w:b w:val="0"/>
          <w:sz w:val="22"/>
          <w:szCs w:val="22"/>
        </w:rPr>
        <w:t xml:space="preserve"> 24. </w:t>
      </w:r>
      <w:proofErr w:type="spellStart"/>
      <w:r w:rsidR="001A0486">
        <w:rPr>
          <w:rFonts w:asciiTheme="minorHAnsi" w:hAnsiTheme="minorHAnsi" w:cs="TimesNewRomanPSMT"/>
          <w:b w:val="0"/>
          <w:sz w:val="22"/>
          <w:szCs w:val="22"/>
          <w:lang w:val="en-US"/>
        </w:rPr>
        <w:t>Zakona</w:t>
      </w:r>
      <w:proofErr w:type="spellEnd"/>
      <w:r w:rsidR="001A0486" w:rsidRPr="00CC4EAE">
        <w:rPr>
          <w:rFonts w:asciiTheme="minorHAnsi" w:hAnsiTheme="minorHAnsi" w:cs="TimesNewRomanPSMT"/>
          <w:b w:val="0"/>
          <w:sz w:val="22"/>
          <w:szCs w:val="22"/>
        </w:rPr>
        <w:t xml:space="preserve"> </w:t>
      </w:r>
      <w:r w:rsidR="001A0486" w:rsidRPr="001A0486">
        <w:rPr>
          <w:rFonts w:asciiTheme="minorHAnsi" w:hAnsiTheme="minorHAnsi" w:cs="Arial"/>
          <w:b w:val="0"/>
          <w:sz w:val="22"/>
        </w:rPr>
        <w:t>o računovodstvu i reviziji</w:t>
      </w:r>
      <w:r w:rsidR="001A0486">
        <w:rPr>
          <w:rFonts w:asciiTheme="minorHAnsi" w:hAnsiTheme="minorHAnsi" w:cs="Arial"/>
          <w:b w:val="0"/>
          <w:sz w:val="22"/>
        </w:rPr>
        <w:t xml:space="preserve"> (</w:t>
      </w:r>
      <w:r w:rsidR="001A0486" w:rsidRPr="001A0486">
        <w:rPr>
          <w:rFonts w:asciiTheme="minorHAnsi" w:hAnsiTheme="minorHAnsi" w:cs="Arial"/>
          <w:b w:val="0"/>
          <w:sz w:val="22"/>
        </w:rPr>
        <w:t xml:space="preserve">Službeni glasnik </w:t>
      </w:r>
      <w:r w:rsidR="001A0486" w:rsidRPr="001A0486">
        <w:rPr>
          <w:rFonts w:ascii="Calibri" w:hAnsi="Calibri"/>
          <w:b w:val="0"/>
          <w:sz w:val="22"/>
        </w:rPr>
        <w:t xml:space="preserve">Republike Srpske </w:t>
      </w:r>
      <w:r w:rsidR="001A0486" w:rsidRPr="001A0486">
        <w:rPr>
          <w:rFonts w:ascii="Calibri" w:hAnsi="Calibri"/>
          <w:b w:val="0"/>
          <w:sz w:val="22"/>
          <w:szCs w:val="22"/>
        </w:rPr>
        <w:t>broj</w:t>
      </w:r>
      <w:r w:rsidR="001A0486" w:rsidRPr="001A0486">
        <w:rPr>
          <w:rFonts w:asciiTheme="minorHAnsi" w:hAnsiTheme="minorHAnsi" w:cs="Arial"/>
          <w:b w:val="0"/>
          <w:sz w:val="22"/>
        </w:rPr>
        <w:t xml:space="preserve"> 36/09 i 52/11</w:t>
      </w:r>
      <w:r w:rsidR="001A0486">
        <w:rPr>
          <w:rFonts w:asciiTheme="minorHAnsi" w:hAnsiTheme="minorHAnsi" w:cs="Arial"/>
          <w:b w:val="0"/>
          <w:sz w:val="22"/>
        </w:rPr>
        <w:t>),</w:t>
      </w:r>
      <w:r w:rsidR="00547A9D">
        <w:rPr>
          <w:rFonts w:asciiTheme="minorHAnsi" w:hAnsiTheme="minorHAnsi" w:cs="Arial"/>
          <w:b w:val="0"/>
          <w:sz w:val="22"/>
        </w:rPr>
        <w:t xml:space="preserve"> </w:t>
      </w:r>
      <w:proofErr w:type="spellStart"/>
      <w:r w:rsidR="001A0486" w:rsidRPr="001A0486">
        <w:rPr>
          <w:rFonts w:asciiTheme="minorHAnsi" w:hAnsiTheme="minorHAnsi" w:cs="TimesNewRomanPSMT"/>
          <w:b w:val="0"/>
          <w:sz w:val="22"/>
          <w:szCs w:val="22"/>
          <w:lang w:val="en-US"/>
        </w:rPr>
        <w:t>Upravni</w:t>
      </w:r>
      <w:proofErr w:type="spellEnd"/>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odbor</w:t>
      </w:r>
      <w:proofErr w:type="spellEnd"/>
      <w:r w:rsidR="001A0486" w:rsidRPr="00CC4EAE">
        <w:rPr>
          <w:rFonts w:asciiTheme="minorHAnsi" w:hAnsiTheme="minorHAnsi" w:cs="TimesNewRomanPSMT"/>
          <w:b w:val="0"/>
          <w:sz w:val="22"/>
          <w:szCs w:val="22"/>
        </w:rPr>
        <w:t xml:space="preserve"> </w:t>
      </w:r>
      <w:r w:rsidR="001A0486" w:rsidRPr="001A0486">
        <w:rPr>
          <w:rFonts w:asciiTheme="minorHAnsi" w:hAnsiTheme="minorHAnsi" w:cs="TimesNewRomanPSMT"/>
          <w:b w:val="0"/>
          <w:sz w:val="22"/>
          <w:szCs w:val="22"/>
          <w:lang w:val="en-US"/>
        </w:rPr>
        <w:t>AD</w:t>
      </w:r>
      <w:r w:rsidR="001A0486" w:rsidRPr="00CC4EAE">
        <w:rPr>
          <w:rFonts w:asciiTheme="minorHAnsi" w:hAnsiTheme="minorHAnsi" w:cs="TimesNewRomanPSMT"/>
          <w:b w:val="0"/>
          <w:sz w:val="22"/>
          <w:szCs w:val="22"/>
        </w:rPr>
        <w:t xml:space="preserve"> </w:t>
      </w:r>
      <w:r w:rsidR="001A0486" w:rsidRPr="001A0486">
        <w:rPr>
          <w:rFonts w:ascii="Calibri" w:hAnsi="Calibri"/>
          <w:b w:val="0"/>
          <w:sz w:val="22"/>
          <w:szCs w:val="28"/>
        </w:rPr>
        <w:t>„</w:t>
      </w:r>
      <w:r w:rsidR="001A0486" w:rsidRPr="00CC4EAE">
        <w:rPr>
          <w:rFonts w:asciiTheme="minorHAnsi" w:hAnsiTheme="minorHAnsi" w:cs="TimesNewRomanPSMT"/>
          <w:b w:val="0"/>
          <w:sz w:val="22"/>
          <w:szCs w:val="22"/>
        </w:rPr>
        <w:t>Č</w:t>
      </w:r>
      <w:proofErr w:type="spellStart"/>
      <w:r w:rsidR="001A0486" w:rsidRPr="001A0486">
        <w:rPr>
          <w:rFonts w:asciiTheme="minorHAnsi" w:hAnsiTheme="minorHAnsi" w:cs="TimesNewRomanPSMT"/>
          <w:b w:val="0"/>
          <w:sz w:val="22"/>
          <w:szCs w:val="22"/>
          <w:lang w:val="en-US"/>
        </w:rPr>
        <w:t>ajavec</w:t>
      </w:r>
      <w:proofErr w:type="spellEnd"/>
      <w:r w:rsidR="001A0486" w:rsidRPr="00CC4EAE">
        <w:rPr>
          <w:rFonts w:asciiTheme="minorHAnsi" w:hAnsiTheme="minorHAnsi" w:cs="TimesNewRomanPSMT"/>
          <w:b w:val="0"/>
          <w:sz w:val="22"/>
          <w:szCs w:val="22"/>
        </w:rPr>
        <w:t>-</w:t>
      </w:r>
      <w:r w:rsidR="001A0486" w:rsidRPr="001A0486">
        <w:rPr>
          <w:rFonts w:asciiTheme="minorHAnsi" w:hAnsiTheme="minorHAnsi" w:cs="TimesNewRomanPSMT"/>
          <w:b w:val="0"/>
          <w:sz w:val="22"/>
          <w:szCs w:val="22"/>
          <w:lang w:val="en-US"/>
        </w:rPr>
        <w:t>MEGA</w:t>
      </w:r>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Banjaluka</w:t>
      </w:r>
      <w:proofErr w:type="spellEnd"/>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podnosi</w:t>
      </w:r>
      <w:proofErr w:type="spellEnd"/>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Skup</w:t>
      </w:r>
      <w:proofErr w:type="spellEnd"/>
      <w:r w:rsidR="001A0486" w:rsidRPr="00CC4EAE">
        <w:rPr>
          <w:rFonts w:asciiTheme="minorHAnsi" w:hAnsiTheme="minorHAnsi" w:cs="TimesNewRomanPSMT"/>
          <w:b w:val="0"/>
          <w:sz w:val="22"/>
          <w:szCs w:val="22"/>
        </w:rPr>
        <w:t>š</w:t>
      </w:r>
      <w:proofErr w:type="spellStart"/>
      <w:r w:rsidR="001A0486" w:rsidRPr="001A0486">
        <w:rPr>
          <w:rFonts w:asciiTheme="minorHAnsi" w:hAnsiTheme="minorHAnsi" w:cs="TimesNewRomanPSMT"/>
          <w:b w:val="0"/>
          <w:sz w:val="22"/>
          <w:szCs w:val="22"/>
          <w:lang w:val="en-US"/>
        </w:rPr>
        <w:t>tini</w:t>
      </w:r>
      <w:proofErr w:type="spellEnd"/>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akcionara</w:t>
      </w:r>
      <w:proofErr w:type="spellEnd"/>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tog</w:t>
      </w:r>
      <w:proofErr w:type="spellEnd"/>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privrednog</w:t>
      </w:r>
      <w:proofErr w:type="spellEnd"/>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dru</w:t>
      </w:r>
      <w:proofErr w:type="spellEnd"/>
      <w:r w:rsidR="001A0486" w:rsidRPr="00CC4EAE">
        <w:rPr>
          <w:rFonts w:asciiTheme="minorHAnsi" w:hAnsiTheme="minorHAnsi" w:cs="TimesNewRomanPSMT"/>
          <w:b w:val="0"/>
          <w:sz w:val="22"/>
          <w:szCs w:val="22"/>
        </w:rPr>
        <w:t>š</w:t>
      </w:r>
      <w:proofErr w:type="spellStart"/>
      <w:r w:rsidR="001A0486" w:rsidRPr="001A0486">
        <w:rPr>
          <w:rFonts w:asciiTheme="minorHAnsi" w:hAnsiTheme="minorHAnsi" w:cs="TimesNewRomanPSMT"/>
          <w:b w:val="0"/>
          <w:sz w:val="22"/>
          <w:szCs w:val="22"/>
          <w:lang w:val="en-US"/>
        </w:rPr>
        <w:t>tva</w:t>
      </w:r>
      <w:proofErr w:type="spellEnd"/>
      <w:r w:rsidR="001A0486" w:rsidRPr="00CC4EAE">
        <w:rPr>
          <w:rFonts w:asciiTheme="minorHAnsi" w:hAnsiTheme="minorHAnsi" w:cs="TimesNewRomanPSMT"/>
          <w:b w:val="0"/>
          <w:sz w:val="22"/>
          <w:szCs w:val="22"/>
        </w:rPr>
        <w:t xml:space="preserve"> </w:t>
      </w:r>
      <w:r w:rsidR="00490DFD">
        <w:rPr>
          <w:rFonts w:asciiTheme="minorHAnsi" w:hAnsiTheme="minorHAnsi" w:cs="TimesNewRomanPSMT"/>
          <w:b w:val="0"/>
          <w:sz w:val="22"/>
          <w:szCs w:val="22"/>
        </w:rPr>
        <w:t>I</w:t>
      </w:r>
      <w:proofErr w:type="spellStart"/>
      <w:r w:rsidR="001A0486" w:rsidRPr="001A0486">
        <w:rPr>
          <w:rFonts w:asciiTheme="minorHAnsi" w:hAnsiTheme="minorHAnsi" w:cs="TimesNewRomanPSMT"/>
          <w:b w:val="0"/>
          <w:sz w:val="22"/>
          <w:szCs w:val="22"/>
          <w:lang w:val="en-US"/>
        </w:rPr>
        <w:t>zvje</w:t>
      </w:r>
      <w:proofErr w:type="spellEnd"/>
      <w:r w:rsidR="001A0486" w:rsidRPr="00CC4EAE">
        <w:rPr>
          <w:rFonts w:asciiTheme="minorHAnsi" w:hAnsiTheme="minorHAnsi" w:cs="TimesNewRomanPSMT"/>
          <w:b w:val="0"/>
          <w:sz w:val="22"/>
          <w:szCs w:val="22"/>
        </w:rPr>
        <w:t>š</w:t>
      </w:r>
      <w:proofErr w:type="spellStart"/>
      <w:r w:rsidR="001A0486" w:rsidRPr="001A0486">
        <w:rPr>
          <w:rFonts w:asciiTheme="minorHAnsi" w:hAnsiTheme="minorHAnsi" w:cs="TimesNewRomanPSMT"/>
          <w:b w:val="0"/>
          <w:sz w:val="22"/>
          <w:szCs w:val="22"/>
          <w:lang w:val="en-US"/>
        </w:rPr>
        <w:t>taj</w:t>
      </w:r>
      <w:proofErr w:type="spellEnd"/>
      <w:r w:rsidR="001A0486" w:rsidRPr="00CC4EAE">
        <w:rPr>
          <w:rFonts w:asciiTheme="minorHAnsi" w:hAnsiTheme="minorHAnsi" w:cs="TimesNewRomanPSMT"/>
          <w:b w:val="0"/>
          <w:sz w:val="22"/>
          <w:szCs w:val="22"/>
        </w:rPr>
        <w:t xml:space="preserve"> </w:t>
      </w:r>
      <w:proofErr w:type="gramStart"/>
      <w:r w:rsidR="001A0486" w:rsidRPr="001A0486">
        <w:rPr>
          <w:rFonts w:asciiTheme="minorHAnsi" w:hAnsiTheme="minorHAnsi" w:cs="TimesNewRomanPSMT"/>
          <w:b w:val="0"/>
          <w:sz w:val="22"/>
          <w:szCs w:val="22"/>
          <w:lang w:val="en-US"/>
        </w:rPr>
        <w:t>o</w:t>
      </w:r>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poslovanju</w:t>
      </w:r>
      <w:proofErr w:type="spellEnd"/>
      <w:proofErr w:type="gramEnd"/>
      <w:r w:rsidR="001A0486" w:rsidRPr="00CC4EAE">
        <w:rPr>
          <w:rFonts w:asciiTheme="minorHAnsi" w:hAnsiTheme="minorHAnsi" w:cs="TimesNewRomanPSMT"/>
          <w:b w:val="0"/>
          <w:sz w:val="22"/>
          <w:szCs w:val="22"/>
        </w:rPr>
        <w:t xml:space="preserve"> </w:t>
      </w:r>
      <w:r w:rsidR="001A0486" w:rsidRPr="001A0486">
        <w:rPr>
          <w:rFonts w:asciiTheme="minorHAnsi" w:hAnsiTheme="minorHAnsi" w:cs="TimesNewRomanPSMT"/>
          <w:b w:val="0"/>
          <w:sz w:val="22"/>
          <w:szCs w:val="22"/>
          <w:lang w:val="en-US"/>
        </w:rPr>
        <w:t>AD</w:t>
      </w:r>
      <w:r w:rsidR="001A0486" w:rsidRPr="00CC4EAE">
        <w:rPr>
          <w:rFonts w:asciiTheme="minorHAnsi" w:hAnsiTheme="minorHAnsi" w:cs="TimesNewRomanPSMT"/>
          <w:b w:val="0"/>
          <w:sz w:val="22"/>
          <w:szCs w:val="22"/>
        </w:rPr>
        <w:t xml:space="preserve"> “Č</w:t>
      </w:r>
      <w:proofErr w:type="spellStart"/>
      <w:r w:rsidR="001A0486" w:rsidRPr="001A0486">
        <w:rPr>
          <w:rFonts w:asciiTheme="minorHAnsi" w:hAnsiTheme="minorHAnsi" w:cs="TimesNewRomanPSMT"/>
          <w:b w:val="0"/>
          <w:sz w:val="22"/>
          <w:szCs w:val="22"/>
          <w:lang w:val="en-US"/>
        </w:rPr>
        <w:t>ajavec</w:t>
      </w:r>
      <w:proofErr w:type="spellEnd"/>
      <w:r w:rsidR="001A0486" w:rsidRPr="00CC4EAE">
        <w:rPr>
          <w:rFonts w:asciiTheme="minorHAnsi" w:hAnsiTheme="minorHAnsi" w:cs="TimesNewRomanPSMT"/>
          <w:b w:val="0"/>
          <w:sz w:val="22"/>
          <w:szCs w:val="22"/>
        </w:rPr>
        <w:t>-</w:t>
      </w:r>
      <w:r w:rsidR="001A0486" w:rsidRPr="001A0486">
        <w:rPr>
          <w:rFonts w:asciiTheme="minorHAnsi" w:hAnsiTheme="minorHAnsi" w:cs="TimesNewRomanPSMT"/>
          <w:b w:val="0"/>
          <w:sz w:val="22"/>
          <w:szCs w:val="22"/>
          <w:lang w:val="en-US"/>
        </w:rPr>
        <w:t>MEGA</w:t>
      </w:r>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Banjaluka</w:t>
      </w:r>
      <w:proofErr w:type="spellEnd"/>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kako</w:t>
      </w:r>
      <w:proofErr w:type="spellEnd"/>
      <w:r w:rsidR="001A0486" w:rsidRPr="00CC4EAE">
        <w:rPr>
          <w:rFonts w:asciiTheme="minorHAnsi" w:hAnsiTheme="minorHAnsi" w:cs="TimesNewRomanPSMT"/>
          <w:b w:val="0"/>
          <w:sz w:val="22"/>
          <w:szCs w:val="22"/>
        </w:rPr>
        <w:t xml:space="preserve"> </w:t>
      </w:r>
      <w:proofErr w:type="spellStart"/>
      <w:r w:rsidR="001A0486" w:rsidRPr="001A0486">
        <w:rPr>
          <w:rFonts w:asciiTheme="minorHAnsi" w:hAnsiTheme="minorHAnsi" w:cs="TimesNewRomanPSMT"/>
          <w:b w:val="0"/>
          <w:sz w:val="22"/>
          <w:szCs w:val="22"/>
          <w:lang w:val="en-US"/>
        </w:rPr>
        <w:t>slijedi</w:t>
      </w:r>
      <w:proofErr w:type="spellEnd"/>
      <w:r w:rsidR="001A0486" w:rsidRPr="00CC4EAE">
        <w:rPr>
          <w:rFonts w:asciiTheme="minorHAnsi" w:hAnsiTheme="minorHAnsi" w:cs="TimesNewRomanPSMT"/>
          <w:b w:val="0"/>
          <w:sz w:val="22"/>
          <w:szCs w:val="22"/>
        </w:rPr>
        <w:t>:</w:t>
      </w:r>
    </w:p>
    <w:p w:rsidR="00490DFD" w:rsidRPr="00CC4EAE" w:rsidRDefault="00490DFD" w:rsidP="00AE0816">
      <w:pPr>
        <w:pStyle w:val="Subtitle"/>
        <w:spacing w:after="120"/>
        <w:rPr>
          <w:rFonts w:asciiTheme="minorHAnsi" w:hAnsiTheme="minorHAnsi" w:cs="TimesNewRomanPSMT"/>
          <w:b w:val="0"/>
          <w:sz w:val="22"/>
          <w:szCs w:val="22"/>
        </w:rPr>
      </w:pPr>
    </w:p>
    <w:p w:rsidR="001A0486" w:rsidRPr="00850469" w:rsidRDefault="001A0486" w:rsidP="001A0486">
      <w:pPr>
        <w:pStyle w:val="Heading3"/>
        <w:numPr>
          <w:ilvl w:val="0"/>
          <w:numId w:val="0"/>
        </w:numPr>
        <w:ind w:left="720" w:hanging="720"/>
        <w:rPr>
          <w:rFonts w:ascii="Calibri" w:hAnsi="Calibri"/>
          <w:b/>
          <w:bCs/>
          <w:i/>
          <w:spacing w:val="100"/>
          <w:sz w:val="28"/>
          <w:szCs w:val="28"/>
        </w:rPr>
      </w:pPr>
      <w:r w:rsidRPr="00850469">
        <w:rPr>
          <w:rFonts w:ascii="Calibri" w:hAnsi="Calibri"/>
          <w:b/>
          <w:bCs/>
          <w:i/>
          <w:spacing w:val="100"/>
          <w:sz w:val="28"/>
          <w:szCs w:val="28"/>
        </w:rPr>
        <w:t>IZVJEŠTAJ</w:t>
      </w:r>
    </w:p>
    <w:p w:rsidR="001A0486" w:rsidRDefault="00421C72" w:rsidP="00AE0816">
      <w:pPr>
        <w:pStyle w:val="Heading4"/>
        <w:numPr>
          <w:ilvl w:val="0"/>
          <w:numId w:val="0"/>
        </w:numPr>
        <w:spacing w:after="120"/>
        <w:rPr>
          <w:rFonts w:ascii="Calibri" w:hAnsi="Calibri"/>
          <w:b/>
          <w:bCs/>
          <w:i/>
          <w:sz w:val="24"/>
          <w:szCs w:val="28"/>
        </w:rPr>
      </w:pPr>
      <w:r>
        <w:rPr>
          <w:rFonts w:ascii="Calibri" w:hAnsi="Calibri"/>
          <w:b/>
          <w:bCs/>
          <w:i/>
          <w:sz w:val="24"/>
          <w:szCs w:val="28"/>
        </w:rPr>
        <w:t xml:space="preserve">o </w:t>
      </w:r>
      <w:r w:rsidR="001A0486" w:rsidRPr="00850469">
        <w:rPr>
          <w:rFonts w:ascii="Calibri" w:hAnsi="Calibri"/>
          <w:b/>
          <w:bCs/>
          <w:i/>
          <w:sz w:val="24"/>
          <w:szCs w:val="28"/>
        </w:rPr>
        <w:t xml:space="preserve"> poslovanju </w:t>
      </w:r>
      <w:r w:rsidR="00547A9D">
        <w:rPr>
          <w:rFonts w:ascii="Calibri" w:hAnsi="Calibri"/>
          <w:b/>
          <w:bCs/>
          <w:i/>
          <w:sz w:val="24"/>
          <w:szCs w:val="28"/>
        </w:rPr>
        <w:t xml:space="preserve">AD“Čajavec-MEGA“ Banjaluka </w:t>
      </w:r>
      <w:r w:rsidR="001A0486" w:rsidRPr="00850469">
        <w:rPr>
          <w:rFonts w:ascii="Calibri" w:hAnsi="Calibri"/>
          <w:b/>
          <w:bCs/>
          <w:i/>
          <w:sz w:val="24"/>
          <w:szCs w:val="28"/>
        </w:rPr>
        <w:t>u 20</w:t>
      </w:r>
      <w:r w:rsidR="004A2F5F">
        <w:rPr>
          <w:rFonts w:ascii="Calibri" w:hAnsi="Calibri"/>
          <w:b/>
          <w:bCs/>
          <w:i/>
          <w:sz w:val="24"/>
          <w:szCs w:val="28"/>
        </w:rPr>
        <w:t>2</w:t>
      </w:r>
      <w:r w:rsidR="001D2209">
        <w:rPr>
          <w:rFonts w:ascii="Calibri" w:hAnsi="Calibri"/>
          <w:b/>
          <w:bCs/>
          <w:i/>
          <w:sz w:val="24"/>
          <w:szCs w:val="28"/>
        </w:rPr>
        <w:t>3</w:t>
      </w:r>
      <w:r w:rsidR="001A0486" w:rsidRPr="00850469">
        <w:rPr>
          <w:rFonts w:ascii="Calibri" w:hAnsi="Calibri"/>
          <w:b/>
          <w:bCs/>
          <w:i/>
          <w:sz w:val="24"/>
          <w:szCs w:val="28"/>
        </w:rPr>
        <w:t>. godini</w:t>
      </w:r>
    </w:p>
    <w:p w:rsidR="00DB576D" w:rsidRPr="00DB576D" w:rsidRDefault="00DB576D" w:rsidP="00DB576D"/>
    <w:p w:rsidR="00514EA7" w:rsidRPr="00850469" w:rsidRDefault="00514EA7" w:rsidP="00DE452D">
      <w:pPr>
        <w:pStyle w:val="Subtitle"/>
        <w:numPr>
          <w:ilvl w:val="0"/>
          <w:numId w:val="4"/>
        </w:numPr>
        <w:spacing w:after="120"/>
        <w:ind w:left="714" w:hanging="357"/>
        <w:rPr>
          <w:rFonts w:ascii="Calibri" w:hAnsi="Calibri"/>
          <w:i/>
          <w:sz w:val="22"/>
          <w:u w:val="single"/>
        </w:rPr>
      </w:pPr>
      <w:r w:rsidRPr="00850469">
        <w:rPr>
          <w:rFonts w:ascii="Calibri" w:hAnsi="Calibri" w:cs="Arial"/>
          <w:i/>
          <w:sz w:val="24"/>
          <w:szCs w:val="28"/>
          <w:u w:val="single"/>
        </w:rPr>
        <w:t>Osnovni podaci</w:t>
      </w:r>
      <w:r w:rsidR="001A0486" w:rsidRPr="00850469">
        <w:rPr>
          <w:rFonts w:ascii="Calibri" w:hAnsi="Calibri" w:cs="Arial"/>
          <w:i/>
          <w:sz w:val="24"/>
          <w:szCs w:val="28"/>
          <w:u w:val="single"/>
        </w:rPr>
        <w:t xml:space="preserve"> (razvoj Društva)</w:t>
      </w:r>
    </w:p>
    <w:p w:rsidR="001A0486" w:rsidRPr="001A0486" w:rsidRDefault="00AE0816" w:rsidP="001A0486">
      <w:pPr>
        <w:spacing w:after="120"/>
        <w:jc w:val="both"/>
        <w:rPr>
          <w:rFonts w:ascii="Calibri" w:hAnsi="Calibri"/>
          <w:sz w:val="22"/>
          <w:lang w:val="sl-SI"/>
        </w:rPr>
      </w:pPr>
      <w:r>
        <w:rPr>
          <w:rFonts w:ascii="Calibri" w:hAnsi="Calibri"/>
          <w:sz w:val="22"/>
        </w:rPr>
        <w:t>Po izvršenoj p</w:t>
      </w:r>
      <w:r w:rsidRPr="001A0486">
        <w:rPr>
          <w:rFonts w:ascii="Calibri" w:hAnsi="Calibri"/>
          <w:sz w:val="22"/>
        </w:rPr>
        <w:t>rivatizacij</w:t>
      </w:r>
      <w:r>
        <w:rPr>
          <w:rFonts w:ascii="Calibri" w:hAnsi="Calibri"/>
          <w:sz w:val="22"/>
        </w:rPr>
        <w:t>i</w:t>
      </w:r>
      <w:r w:rsidRPr="001A0486">
        <w:rPr>
          <w:rFonts w:ascii="Calibri" w:hAnsi="Calibri"/>
          <w:sz w:val="22"/>
        </w:rPr>
        <w:t xml:space="preserve"> državnog kapitala u MDP „Čajavec“ Holding – ZDP Radio i televizijski uređaj</w:t>
      </w:r>
      <w:r>
        <w:rPr>
          <w:rFonts w:ascii="Calibri" w:hAnsi="Calibri"/>
          <w:sz w:val="22"/>
        </w:rPr>
        <w:t>i</w:t>
      </w:r>
      <w:r w:rsidRPr="001A0486">
        <w:rPr>
          <w:rFonts w:ascii="Calibri" w:hAnsi="Calibri"/>
          <w:sz w:val="22"/>
        </w:rPr>
        <w:t xml:space="preserve"> (RTU) Banjaluka</w:t>
      </w:r>
      <w:r>
        <w:rPr>
          <w:rFonts w:ascii="Calibri" w:hAnsi="Calibri"/>
          <w:sz w:val="22"/>
        </w:rPr>
        <w:t xml:space="preserve">, dana </w:t>
      </w:r>
      <w:r w:rsidRPr="001A0486">
        <w:rPr>
          <w:rFonts w:ascii="Calibri" w:hAnsi="Calibri"/>
          <w:sz w:val="22"/>
        </w:rPr>
        <w:t>07.11.2001. godine</w:t>
      </w:r>
      <w:r>
        <w:rPr>
          <w:rFonts w:ascii="Calibri" w:hAnsi="Calibri"/>
          <w:sz w:val="22"/>
        </w:rPr>
        <w:t>, organizovano je Akcionarsko</w:t>
      </w:r>
      <w:r w:rsidR="00514EA7" w:rsidRPr="001A0486">
        <w:rPr>
          <w:rFonts w:ascii="Calibri" w:hAnsi="Calibri"/>
          <w:sz w:val="22"/>
        </w:rPr>
        <w:t xml:space="preserve"> društvo </w:t>
      </w:r>
      <w:r w:rsidR="00602264" w:rsidRPr="00AE0816">
        <w:rPr>
          <w:rFonts w:ascii="Calibri" w:hAnsi="Calibri"/>
          <w:bCs/>
          <w:sz w:val="22"/>
          <w:szCs w:val="28"/>
        </w:rPr>
        <w:t>„</w:t>
      </w:r>
      <w:r w:rsidR="00602264" w:rsidRPr="00AE0816">
        <w:rPr>
          <w:rFonts w:ascii="Calibri" w:hAnsi="Calibri"/>
          <w:sz w:val="22"/>
          <w:lang w:val="sl-SI"/>
        </w:rPr>
        <w:t>Čajavec-MEGA</w:t>
      </w:r>
      <w:r w:rsidR="00602264" w:rsidRPr="00AE0816">
        <w:rPr>
          <w:rFonts w:ascii="Calibri" w:hAnsi="Calibri"/>
          <w:bCs/>
          <w:sz w:val="22"/>
          <w:szCs w:val="28"/>
        </w:rPr>
        <w:t>“</w:t>
      </w:r>
      <w:r w:rsidR="00602264" w:rsidRPr="00AE0816">
        <w:rPr>
          <w:rFonts w:ascii="Calibri" w:hAnsi="Calibri"/>
          <w:sz w:val="22"/>
          <w:lang w:val="sl-SI"/>
        </w:rPr>
        <w:t xml:space="preserve"> elektronika, mehanika i galvanizacija Banjaluka, skraćena firma </w:t>
      </w:r>
      <w:r w:rsidR="00514EA7" w:rsidRPr="00AE0816">
        <w:rPr>
          <w:rFonts w:ascii="Calibri" w:hAnsi="Calibri"/>
          <w:sz w:val="22"/>
        </w:rPr>
        <w:t xml:space="preserve">AD </w:t>
      </w:r>
      <w:r w:rsidR="001A0486" w:rsidRPr="00AE0816">
        <w:rPr>
          <w:rFonts w:ascii="Calibri" w:hAnsi="Calibri"/>
          <w:bCs/>
          <w:sz w:val="22"/>
          <w:szCs w:val="28"/>
        </w:rPr>
        <w:t>„</w:t>
      </w:r>
      <w:r w:rsidR="00514EA7" w:rsidRPr="00AE0816">
        <w:rPr>
          <w:rFonts w:ascii="Calibri" w:hAnsi="Calibri"/>
          <w:sz w:val="22"/>
        </w:rPr>
        <w:t>Čajavec-MEGA</w:t>
      </w:r>
      <w:r w:rsidR="001A0486" w:rsidRPr="00AE0816">
        <w:rPr>
          <w:rFonts w:ascii="Calibri" w:hAnsi="Calibri"/>
          <w:bCs/>
          <w:sz w:val="22"/>
          <w:szCs w:val="28"/>
        </w:rPr>
        <w:t>“</w:t>
      </w:r>
      <w:r w:rsidR="00514EA7" w:rsidRPr="00AE0816">
        <w:rPr>
          <w:rFonts w:ascii="Calibri" w:hAnsi="Calibri"/>
          <w:sz w:val="22"/>
        </w:rPr>
        <w:t xml:space="preserve"> Banjaluka</w:t>
      </w:r>
      <w:r>
        <w:rPr>
          <w:rFonts w:ascii="Calibri" w:hAnsi="Calibri"/>
          <w:sz w:val="22"/>
        </w:rPr>
        <w:t xml:space="preserve">, registracijom i upisom </w:t>
      </w:r>
      <w:r w:rsidR="00514EA7" w:rsidRPr="001A0486">
        <w:rPr>
          <w:rFonts w:ascii="Calibri" w:hAnsi="Calibri"/>
          <w:sz w:val="22"/>
          <w:lang w:val="sl-SI"/>
        </w:rPr>
        <w:t>u sudski registar Osnovnog S</w:t>
      </w:r>
      <w:r>
        <w:rPr>
          <w:rFonts w:ascii="Calibri" w:hAnsi="Calibri"/>
          <w:sz w:val="22"/>
          <w:lang w:val="sl-SI"/>
        </w:rPr>
        <w:t>uda u Banjaluci R</w:t>
      </w:r>
      <w:r w:rsidR="001A0486" w:rsidRPr="001A0486">
        <w:rPr>
          <w:rFonts w:ascii="Calibri" w:hAnsi="Calibri"/>
          <w:sz w:val="22"/>
          <w:lang w:val="sl-SI"/>
        </w:rPr>
        <w:t>ješenjem</w:t>
      </w:r>
      <w:r>
        <w:rPr>
          <w:rFonts w:ascii="Calibri" w:hAnsi="Calibri"/>
          <w:sz w:val="22"/>
          <w:lang w:val="sl-SI"/>
        </w:rPr>
        <w:t xml:space="preserve"> tog suda</w:t>
      </w:r>
      <w:r w:rsidR="001A0486" w:rsidRPr="001A0486">
        <w:rPr>
          <w:rFonts w:ascii="Calibri" w:hAnsi="Calibri"/>
          <w:sz w:val="22"/>
          <w:lang w:val="sl-SI"/>
        </w:rPr>
        <w:t xml:space="preserve"> broj</w:t>
      </w:r>
      <w:r>
        <w:rPr>
          <w:rFonts w:ascii="Calibri" w:hAnsi="Calibri"/>
          <w:sz w:val="22"/>
          <w:lang w:val="sl-SI"/>
        </w:rPr>
        <w:t xml:space="preserve"> U/-1942/2001</w:t>
      </w:r>
      <w:r w:rsidR="00514EA7" w:rsidRPr="001A0486">
        <w:rPr>
          <w:rFonts w:ascii="Calibri" w:hAnsi="Calibri"/>
          <w:sz w:val="22"/>
          <w:lang w:val="sl-SI"/>
        </w:rPr>
        <w:t>.</w:t>
      </w:r>
    </w:p>
    <w:p w:rsidR="001A0486" w:rsidRPr="001A0486" w:rsidRDefault="00514EA7" w:rsidP="001A0486">
      <w:pPr>
        <w:spacing w:after="120"/>
        <w:jc w:val="both"/>
        <w:rPr>
          <w:rFonts w:ascii="Calibri" w:hAnsi="Calibri"/>
          <w:b/>
          <w:sz w:val="22"/>
        </w:rPr>
      </w:pPr>
      <w:r w:rsidRPr="001A0486">
        <w:rPr>
          <w:rFonts w:ascii="Calibri" w:hAnsi="Calibri" w:cs="Times New Roman"/>
          <w:sz w:val="22"/>
          <w:lang w:val="sl-SI"/>
        </w:rPr>
        <w:t xml:space="preserve">Rješenjem </w:t>
      </w:r>
      <w:r w:rsidR="00AE0816">
        <w:rPr>
          <w:rFonts w:ascii="Calibri" w:hAnsi="Calibri" w:cs="Times New Roman"/>
          <w:sz w:val="22"/>
          <w:lang w:val="sl-SI"/>
        </w:rPr>
        <w:t xml:space="preserve">Okružnog privrednog suda u Banjaluci </w:t>
      </w:r>
      <w:r w:rsidRPr="001A0486">
        <w:rPr>
          <w:rFonts w:ascii="Calibri" w:hAnsi="Calibri" w:cs="Times New Roman"/>
          <w:sz w:val="22"/>
          <w:lang w:val="sl-SI"/>
        </w:rPr>
        <w:t xml:space="preserve">broj 071-0-Reg-07-00-2287 od 25.3.2008. godine, izvršena je promjena firme i promjena djelatnosti </w:t>
      </w:r>
      <w:r w:rsidR="00AE0816">
        <w:rPr>
          <w:rFonts w:ascii="Calibri" w:hAnsi="Calibri" w:cs="Times New Roman"/>
          <w:sz w:val="22"/>
          <w:lang w:val="sl-SI"/>
        </w:rPr>
        <w:t>kod navedenog privrednog d</w:t>
      </w:r>
      <w:r w:rsidRPr="001A0486">
        <w:rPr>
          <w:rFonts w:ascii="Calibri" w:hAnsi="Calibri" w:cs="Times New Roman"/>
          <w:sz w:val="22"/>
          <w:lang w:val="sl-SI"/>
        </w:rPr>
        <w:t>ruštva</w:t>
      </w:r>
      <w:r w:rsidR="001A0486" w:rsidRPr="001A0486">
        <w:rPr>
          <w:rFonts w:ascii="Calibri" w:hAnsi="Calibri" w:cs="Times New Roman"/>
          <w:sz w:val="22"/>
          <w:lang w:val="sl-SI"/>
        </w:rPr>
        <w:t xml:space="preserve">, tako da od tada </w:t>
      </w:r>
      <w:r w:rsidR="00AD488B">
        <w:rPr>
          <w:rFonts w:ascii="Calibri" w:hAnsi="Calibri" w:cs="Times New Roman"/>
          <w:sz w:val="22"/>
          <w:lang w:val="sl-SI"/>
        </w:rPr>
        <w:t>naše</w:t>
      </w:r>
      <w:r w:rsidR="00AE0816">
        <w:rPr>
          <w:rFonts w:ascii="Calibri" w:hAnsi="Calibri" w:cs="Times New Roman"/>
          <w:sz w:val="22"/>
          <w:lang w:val="sl-SI"/>
        </w:rPr>
        <w:t xml:space="preserve"> privredno društvo </w:t>
      </w:r>
      <w:r w:rsidR="001A0486" w:rsidRPr="001A0486">
        <w:rPr>
          <w:rFonts w:ascii="Calibri" w:hAnsi="Calibri" w:cs="Times New Roman"/>
          <w:sz w:val="22"/>
          <w:lang w:val="sl-SI"/>
        </w:rPr>
        <w:t xml:space="preserve">posluje pod firmom </w:t>
      </w:r>
      <w:r w:rsidR="001A0486" w:rsidRPr="001A0486">
        <w:rPr>
          <w:rFonts w:ascii="Calibri" w:hAnsi="Calibri"/>
          <w:bCs/>
          <w:sz w:val="22"/>
          <w:szCs w:val="28"/>
        </w:rPr>
        <w:t>„</w:t>
      </w:r>
      <w:r w:rsidR="001A0486" w:rsidRPr="001A0486">
        <w:rPr>
          <w:rFonts w:ascii="Calibri" w:hAnsi="Calibri"/>
          <w:sz w:val="22"/>
          <w:lang w:val="sl-SI"/>
        </w:rPr>
        <w:t>Čajavec-MEGA</w:t>
      </w:r>
      <w:r w:rsidR="001A0486" w:rsidRPr="001A0486">
        <w:rPr>
          <w:rFonts w:ascii="Calibri" w:hAnsi="Calibri"/>
          <w:bCs/>
          <w:sz w:val="22"/>
          <w:szCs w:val="28"/>
        </w:rPr>
        <w:t>“</w:t>
      </w:r>
      <w:r w:rsidR="001A0486" w:rsidRPr="001A0486">
        <w:rPr>
          <w:rFonts w:ascii="Calibri" w:hAnsi="Calibri"/>
          <w:sz w:val="22"/>
          <w:lang w:val="sl-SI"/>
        </w:rPr>
        <w:t xml:space="preserve"> investicije, upravljanje i nekretnine ad Banjaluka</w:t>
      </w:r>
      <w:r w:rsidR="00AE0816">
        <w:rPr>
          <w:rFonts w:ascii="Calibri" w:hAnsi="Calibri"/>
          <w:sz w:val="22"/>
          <w:lang w:val="sl-SI"/>
        </w:rPr>
        <w:t>, s</w:t>
      </w:r>
      <w:r w:rsidR="001A0486" w:rsidRPr="001A0486">
        <w:rPr>
          <w:rFonts w:ascii="Calibri" w:hAnsi="Calibri" w:cs="Times New Roman"/>
          <w:sz w:val="22"/>
          <w:lang w:val="sl-SI"/>
        </w:rPr>
        <w:t xml:space="preserve">kraćena firma </w:t>
      </w:r>
      <w:r w:rsidR="001A0486" w:rsidRPr="001A0486">
        <w:rPr>
          <w:rFonts w:ascii="Calibri" w:hAnsi="Calibri"/>
          <w:sz w:val="22"/>
        </w:rPr>
        <w:t xml:space="preserve">AD </w:t>
      </w:r>
      <w:r w:rsidR="001A0486" w:rsidRPr="001A0486">
        <w:rPr>
          <w:rFonts w:ascii="Calibri" w:hAnsi="Calibri"/>
          <w:bCs/>
          <w:sz w:val="22"/>
          <w:szCs w:val="28"/>
        </w:rPr>
        <w:t>„</w:t>
      </w:r>
      <w:r w:rsidR="001A0486" w:rsidRPr="001A0486">
        <w:rPr>
          <w:rFonts w:ascii="Calibri" w:hAnsi="Calibri"/>
          <w:sz w:val="22"/>
        </w:rPr>
        <w:t>Čajavec-MEGA</w:t>
      </w:r>
      <w:r w:rsidR="001A0486" w:rsidRPr="001A0486">
        <w:rPr>
          <w:rFonts w:ascii="Calibri" w:hAnsi="Calibri"/>
          <w:bCs/>
          <w:sz w:val="22"/>
          <w:szCs w:val="28"/>
        </w:rPr>
        <w:t>“</w:t>
      </w:r>
      <w:r w:rsidR="001A0486" w:rsidRPr="001A0486">
        <w:rPr>
          <w:rFonts w:ascii="Calibri" w:hAnsi="Calibri"/>
          <w:sz w:val="22"/>
        </w:rPr>
        <w:t xml:space="preserve"> Banjaluka</w:t>
      </w:r>
      <w:r w:rsidR="00AD488B">
        <w:rPr>
          <w:rFonts w:ascii="Calibri" w:hAnsi="Calibri"/>
          <w:sz w:val="22"/>
        </w:rPr>
        <w:t xml:space="preserve"> </w:t>
      </w:r>
      <w:r w:rsidR="00AE0816" w:rsidRPr="001A0486">
        <w:rPr>
          <w:rFonts w:ascii="Calibri" w:hAnsi="Calibri"/>
          <w:sz w:val="22"/>
        </w:rPr>
        <w:t>(dalje: Društvo)</w:t>
      </w:r>
      <w:r w:rsidR="001A0486" w:rsidRPr="001A0486">
        <w:rPr>
          <w:rFonts w:ascii="Calibri" w:hAnsi="Calibri"/>
          <w:sz w:val="22"/>
        </w:rPr>
        <w:t>.</w:t>
      </w:r>
    </w:p>
    <w:p w:rsidR="00514EA7" w:rsidRDefault="00514EA7" w:rsidP="001A0486">
      <w:pPr>
        <w:spacing w:after="120"/>
        <w:jc w:val="both"/>
        <w:rPr>
          <w:rFonts w:ascii="Calibri" w:hAnsi="Calibri"/>
          <w:b/>
          <w:i/>
          <w:sz w:val="22"/>
          <w:lang w:val="sl-SI"/>
        </w:rPr>
      </w:pPr>
      <w:r w:rsidRPr="001A0486">
        <w:rPr>
          <w:rFonts w:ascii="Calibri" w:hAnsi="Calibri"/>
          <w:sz w:val="22"/>
        </w:rPr>
        <w:t xml:space="preserve">Društvo je </w:t>
      </w:r>
      <w:r w:rsidR="00AD488B">
        <w:rPr>
          <w:rFonts w:ascii="Calibri" w:hAnsi="Calibri"/>
          <w:sz w:val="22"/>
        </w:rPr>
        <w:t xml:space="preserve"> </w:t>
      </w:r>
      <w:r w:rsidR="00602264" w:rsidRPr="001A0486">
        <w:rPr>
          <w:rFonts w:ascii="Calibri" w:hAnsi="Calibri" w:cs="Times New Roman"/>
          <w:sz w:val="22"/>
          <w:lang w:val="sl-SI"/>
        </w:rPr>
        <w:t xml:space="preserve">25.3.2008. </w:t>
      </w:r>
      <w:r w:rsidRPr="001A0486">
        <w:rPr>
          <w:rFonts w:ascii="Calibri" w:hAnsi="Calibri"/>
          <w:sz w:val="22"/>
        </w:rPr>
        <w:t xml:space="preserve">godine izvršilo </w:t>
      </w:r>
      <w:r w:rsidR="00602264">
        <w:rPr>
          <w:rFonts w:ascii="Calibri" w:hAnsi="Calibri"/>
          <w:sz w:val="22"/>
        </w:rPr>
        <w:t xml:space="preserve">i </w:t>
      </w:r>
      <w:r w:rsidRPr="001A0486">
        <w:rPr>
          <w:rFonts w:ascii="Calibri" w:hAnsi="Calibri"/>
          <w:sz w:val="22"/>
        </w:rPr>
        <w:t xml:space="preserve">preregistraciju djelatnosti i registrovalo se za obavljanje poslova iz oblasti investicija, upravljanja i nekretnina i izvršilo promjenu osnovne šifre djelatnosti </w:t>
      </w:r>
      <w:r w:rsidR="00496F5F" w:rsidRPr="001A0486">
        <w:rPr>
          <w:rFonts w:ascii="Calibri" w:hAnsi="Calibri"/>
          <w:sz w:val="22"/>
        </w:rPr>
        <w:t>koja, p</w:t>
      </w:r>
      <w:r w:rsidR="00496F5F" w:rsidRPr="001A0486">
        <w:rPr>
          <w:rFonts w:ascii="Calibri" w:hAnsi="Calibri" w:cs="Times New Roman"/>
          <w:sz w:val="22"/>
          <w:lang w:val="sl-SI"/>
        </w:rPr>
        <w:t>rema obavještenju R</w:t>
      </w:r>
      <w:r w:rsidRPr="001A0486">
        <w:rPr>
          <w:rFonts w:ascii="Calibri" w:hAnsi="Calibri" w:cs="Times New Roman"/>
          <w:sz w:val="22"/>
          <w:lang w:val="sl-SI"/>
        </w:rPr>
        <w:t xml:space="preserve">epubličkog zavoda za statistiku </w:t>
      </w:r>
      <w:r w:rsidR="00496F5F" w:rsidRPr="001A0486">
        <w:rPr>
          <w:rFonts w:ascii="Calibri" w:hAnsi="Calibri" w:cs="Times New Roman"/>
          <w:sz w:val="22"/>
          <w:lang w:val="sl-SI"/>
        </w:rPr>
        <w:t xml:space="preserve">Republike Srpske </w:t>
      </w:r>
      <w:r w:rsidRPr="001A0486">
        <w:rPr>
          <w:rFonts w:ascii="Calibri" w:hAnsi="Calibri" w:cs="Times New Roman"/>
          <w:sz w:val="22"/>
          <w:lang w:val="sl-SI"/>
        </w:rPr>
        <w:t>o razvrstavanju poslovnog subjekta po djelatnosti br</w:t>
      </w:r>
      <w:r w:rsidR="00496F5F" w:rsidRPr="001A0486">
        <w:rPr>
          <w:rFonts w:ascii="Calibri" w:hAnsi="Calibri" w:cs="Times New Roman"/>
          <w:sz w:val="22"/>
          <w:lang w:val="sl-SI"/>
        </w:rPr>
        <w:t>oj</w:t>
      </w:r>
      <w:r w:rsidRPr="001A0486">
        <w:rPr>
          <w:rFonts w:ascii="Calibri" w:hAnsi="Calibri" w:cs="Times New Roman"/>
          <w:sz w:val="22"/>
          <w:lang w:val="sl-SI"/>
        </w:rPr>
        <w:t xml:space="preserve"> 557 od 07.9.2011. godine</w:t>
      </w:r>
      <w:r w:rsidR="00496F5F" w:rsidRPr="001A0486">
        <w:rPr>
          <w:rFonts w:ascii="Calibri" w:hAnsi="Calibri" w:cs="Times New Roman"/>
          <w:sz w:val="22"/>
          <w:lang w:val="sl-SI"/>
        </w:rPr>
        <w:t xml:space="preserve">, glasi: </w:t>
      </w:r>
      <w:r w:rsidRPr="00602264">
        <w:rPr>
          <w:rFonts w:ascii="Calibri" w:hAnsi="Calibri"/>
          <w:b/>
          <w:i/>
          <w:sz w:val="22"/>
          <w:lang w:val="sl-SI"/>
        </w:rPr>
        <w:t>68.20 - Iznajmljivanja i poslovanje sopstvenim ili nekretninama uzetim u zakup (lizing)</w:t>
      </w:r>
      <w:r w:rsidR="001A0486" w:rsidRPr="00602264">
        <w:rPr>
          <w:rFonts w:ascii="Calibri" w:hAnsi="Calibri"/>
          <w:b/>
          <w:i/>
          <w:sz w:val="22"/>
          <w:lang w:val="sl-SI"/>
        </w:rPr>
        <w:t>.</w:t>
      </w:r>
    </w:p>
    <w:p w:rsidR="00D30D90" w:rsidRPr="00D30D90" w:rsidRDefault="00D30D90" w:rsidP="00D30D90">
      <w:pPr>
        <w:tabs>
          <w:tab w:val="left" w:pos="180"/>
          <w:tab w:val="left" w:pos="360"/>
        </w:tabs>
        <w:spacing w:after="80"/>
        <w:jc w:val="both"/>
        <w:rPr>
          <w:rFonts w:asciiTheme="minorHAnsi" w:hAnsiTheme="minorHAnsi"/>
          <w:sz w:val="22"/>
          <w:szCs w:val="22"/>
          <w:lang w:val="sr-Latn-CS"/>
        </w:rPr>
      </w:pPr>
      <w:r w:rsidRPr="00496A37">
        <w:rPr>
          <w:rFonts w:asciiTheme="minorHAnsi" w:hAnsiTheme="minorHAnsi"/>
          <w:sz w:val="22"/>
          <w:szCs w:val="22"/>
          <w:lang w:val="sr-Latn-CS"/>
        </w:rPr>
        <w:t xml:space="preserve">U </w:t>
      </w:r>
      <w:r>
        <w:rPr>
          <w:rFonts w:asciiTheme="minorHAnsi" w:hAnsiTheme="minorHAnsi"/>
          <w:sz w:val="22"/>
          <w:szCs w:val="22"/>
          <w:lang w:val="sr-Latn-CS"/>
        </w:rPr>
        <w:t>maju</w:t>
      </w:r>
      <w:r w:rsidRPr="00496A37">
        <w:rPr>
          <w:rFonts w:asciiTheme="minorHAnsi" w:hAnsiTheme="minorHAnsi"/>
          <w:sz w:val="22"/>
          <w:szCs w:val="22"/>
          <w:lang w:val="sr-Latn-CS"/>
        </w:rPr>
        <w:t xml:space="preserve"> 20</w:t>
      </w:r>
      <w:r>
        <w:rPr>
          <w:rFonts w:asciiTheme="minorHAnsi" w:hAnsiTheme="minorHAnsi"/>
          <w:sz w:val="22"/>
          <w:szCs w:val="22"/>
          <w:lang w:val="sr-Latn-CS"/>
        </w:rPr>
        <w:t>18.</w:t>
      </w:r>
      <w:r w:rsidRPr="00496A37">
        <w:rPr>
          <w:rFonts w:asciiTheme="minorHAnsi" w:hAnsiTheme="minorHAnsi"/>
          <w:sz w:val="22"/>
          <w:szCs w:val="22"/>
          <w:lang w:val="sr-Latn-CS"/>
        </w:rPr>
        <w:t xml:space="preserve"> godine  Čajavec Meg</w:t>
      </w:r>
      <w:r>
        <w:rPr>
          <w:rFonts w:asciiTheme="minorHAnsi" w:hAnsiTheme="minorHAnsi"/>
          <w:sz w:val="22"/>
          <w:szCs w:val="22"/>
          <w:lang w:val="sr-Latn-CS"/>
        </w:rPr>
        <w:t>a</w:t>
      </w:r>
      <w:r w:rsidRPr="00496A37">
        <w:rPr>
          <w:rFonts w:asciiTheme="minorHAnsi" w:hAnsiTheme="minorHAnsi"/>
          <w:sz w:val="22"/>
          <w:szCs w:val="22"/>
          <w:lang w:val="sr-Latn-CS"/>
        </w:rPr>
        <w:t xml:space="preserve"> a.d. </w:t>
      </w:r>
      <w:r>
        <w:rPr>
          <w:rFonts w:asciiTheme="minorHAnsi" w:hAnsiTheme="minorHAnsi"/>
          <w:sz w:val="22"/>
          <w:szCs w:val="22"/>
          <w:lang w:val="sr-Latn-CS"/>
        </w:rPr>
        <w:t xml:space="preserve">je </w:t>
      </w:r>
      <w:r w:rsidRPr="00496A37">
        <w:rPr>
          <w:rFonts w:asciiTheme="minorHAnsi" w:hAnsiTheme="minorHAnsi"/>
          <w:sz w:val="22"/>
          <w:szCs w:val="22"/>
          <w:lang w:val="sr-Latn-CS"/>
        </w:rPr>
        <w:t xml:space="preserve"> posta</w:t>
      </w:r>
      <w:r>
        <w:rPr>
          <w:rFonts w:asciiTheme="minorHAnsi" w:hAnsiTheme="minorHAnsi"/>
          <w:sz w:val="22"/>
          <w:szCs w:val="22"/>
          <w:lang w:val="sr-Latn-CS"/>
        </w:rPr>
        <w:t xml:space="preserve">la 100% </w:t>
      </w:r>
      <w:r w:rsidRPr="00496A37">
        <w:rPr>
          <w:rFonts w:asciiTheme="minorHAnsi" w:hAnsiTheme="minorHAnsi"/>
          <w:sz w:val="22"/>
          <w:szCs w:val="22"/>
          <w:lang w:val="sr-Latn-CS"/>
        </w:rPr>
        <w:t xml:space="preserve"> vlasnik </w:t>
      </w:r>
      <w:r>
        <w:rPr>
          <w:rFonts w:asciiTheme="minorHAnsi" w:hAnsiTheme="minorHAnsi"/>
          <w:sz w:val="22"/>
          <w:szCs w:val="22"/>
          <w:lang w:val="sr-Latn-CS"/>
        </w:rPr>
        <w:t>društva TC Zenit doo  Banjaluka.</w:t>
      </w:r>
      <w:r w:rsidRPr="00496A37">
        <w:rPr>
          <w:rFonts w:asciiTheme="minorHAnsi" w:hAnsiTheme="minorHAnsi"/>
          <w:sz w:val="22"/>
          <w:szCs w:val="22"/>
          <w:lang w:val="sr-Latn-CS"/>
        </w:rPr>
        <w:t xml:space="preserve"> </w:t>
      </w:r>
    </w:p>
    <w:p w:rsidR="00272205" w:rsidRDefault="00272205" w:rsidP="001A0486">
      <w:pPr>
        <w:spacing w:after="120"/>
        <w:jc w:val="both"/>
        <w:rPr>
          <w:rFonts w:ascii="Calibri" w:hAnsi="Calibri"/>
          <w:sz w:val="22"/>
          <w:lang w:val="sl-SI"/>
        </w:rPr>
      </w:pPr>
      <w:r>
        <w:rPr>
          <w:rFonts w:ascii="Calibri" w:hAnsi="Calibri"/>
          <w:sz w:val="22"/>
          <w:lang w:val="sl-SI"/>
        </w:rPr>
        <w:t xml:space="preserve">Dana 24.09.2018.godine u sudski registar </w:t>
      </w:r>
      <w:r w:rsidR="00EB09BD">
        <w:rPr>
          <w:rFonts w:ascii="Calibri" w:hAnsi="Calibri"/>
          <w:sz w:val="22"/>
          <w:lang w:val="sl-SI"/>
        </w:rPr>
        <w:t>O</w:t>
      </w:r>
      <w:r>
        <w:rPr>
          <w:rFonts w:ascii="Calibri" w:hAnsi="Calibri"/>
          <w:sz w:val="22"/>
          <w:lang w:val="sl-SI"/>
        </w:rPr>
        <w:t>kružnog privrednog suda upisana je promjena lica ovlaštenog za zastupanje</w:t>
      </w:r>
      <w:r w:rsidR="00EB09BD">
        <w:rPr>
          <w:rFonts w:ascii="Calibri" w:hAnsi="Calibri"/>
          <w:sz w:val="22"/>
          <w:lang w:val="sl-SI"/>
        </w:rPr>
        <w:t>.</w:t>
      </w:r>
      <w:r w:rsidR="00DD1687">
        <w:rPr>
          <w:rFonts w:ascii="Calibri" w:hAnsi="Calibri"/>
          <w:sz w:val="22"/>
          <w:lang w:val="sl-SI"/>
        </w:rPr>
        <w:t xml:space="preserve"> </w:t>
      </w:r>
    </w:p>
    <w:p w:rsidR="00B927B3" w:rsidRDefault="00B927B3" w:rsidP="001A0486">
      <w:pPr>
        <w:spacing w:after="120"/>
        <w:jc w:val="both"/>
        <w:rPr>
          <w:rFonts w:ascii="Calibri" w:hAnsi="Calibri"/>
          <w:sz w:val="22"/>
          <w:lang w:val="sl-SI"/>
        </w:rPr>
      </w:pPr>
      <w:r>
        <w:rPr>
          <w:rFonts w:ascii="Calibri" w:hAnsi="Calibri"/>
          <w:sz w:val="22"/>
          <w:lang w:val="sl-SI"/>
        </w:rPr>
        <w:t>Dana 11.10.2019.godine u sudski registar Okružnog privrednog suda upisana je statusna promjena spajanje uz pripajanje Ribo Alfa doo Banjaluka d</w:t>
      </w:r>
      <w:r w:rsidR="00D30D90">
        <w:rPr>
          <w:rFonts w:ascii="Calibri" w:hAnsi="Calibri"/>
          <w:sz w:val="22"/>
          <w:lang w:val="sl-SI"/>
        </w:rPr>
        <w:t>ruštvu sticaocu Čajavec mega ad.</w:t>
      </w:r>
      <w:r>
        <w:rPr>
          <w:rFonts w:ascii="Calibri" w:hAnsi="Calibri"/>
          <w:sz w:val="22"/>
          <w:lang w:val="sl-SI"/>
        </w:rPr>
        <w:t xml:space="preserve"> </w:t>
      </w:r>
    </w:p>
    <w:p w:rsidR="00B14440" w:rsidRPr="00B14440" w:rsidRDefault="00B14440" w:rsidP="00B14440">
      <w:pPr>
        <w:tabs>
          <w:tab w:val="left" w:pos="180"/>
          <w:tab w:val="left" w:pos="360"/>
        </w:tabs>
        <w:spacing w:after="80"/>
        <w:jc w:val="both"/>
        <w:rPr>
          <w:rFonts w:asciiTheme="minorHAnsi" w:hAnsiTheme="minorHAnsi"/>
          <w:sz w:val="22"/>
          <w:szCs w:val="22"/>
          <w:lang w:val="sr-Latn-CS"/>
        </w:rPr>
      </w:pPr>
      <w:r w:rsidRPr="00B14440">
        <w:rPr>
          <w:rFonts w:asciiTheme="minorHAnsi" w:hAnsiTheme="minorHAnsi"/>
          <w:bCs/>
          <w:sz w:val="22"/>
          <w:szCs w:val="22"/>
          <w:lang w:val="sr-Latn-CS"/>
        </w:rPr>
        <w:t xml:space="preserve">Rješenjem Okružnog privrednog suda od 18.09.2020.godine u registar poslovnih subjekata upisano je smanjenje osnovnog kapitala poništenjem sopstvenih akcija. </w:t>
      </w:r>
    </w:p>
    <w:p w:rsidR="00496A37" w:rsidRPr="00496A37" w:rsidRDefault="00496A37" w:rsidP="00496A37">
      <w:pPr>
        <w:jc w:val="both"/>
        <w:rPr>
          <w:rFonts w:asciiTheme="minorHAnsi" w:hAnsiTheme="minorHAnsi"/>
          <w:sz w:val="22"/>
          <w:szCs w:val="22"/>
        </w:rPr>
      </w:pPr>
      <w:r>
        <w:rPr>
          <w:rFonts w:asciiTheme="minorHAnsi" w:hAnsiTheme="minorHAnsi"/>
          <w:sz w:val="22"/>
          <w:szCs w:val="22"/>
        </w:rPr>
        <w:t xml:space="preserve">Krajem </w:t>
      </w:r>
      <w:r w:rsidRPr="00496A37">
        <w:rPr>
          <w:rFonts w:asciiTheme="minorHAnsi" w:hAnsiTheme="minorHAnsi"/>
          <w:sz w:val="22"/>
          <w:szCs w:val="22"/>
        </w:rPr>
        <w:t>2020. godin</w:t>
      </w:r>
      <w:r>
        <w:rPr>
          <w:rFonts w:asciiTheme="minorHAnsi" w:hAnsiTheme="minorHAnsi"/>
          <w:sz w:val="22"/>
          <w:szCs w:val="22"/>
        </w:rPr>
        <w:t>e</w:t>
      </w:r>
      <w:r w:rsidRPr="00496A37">
        <w:rPr>
          <w:rFonts w:asciiTheme="minorHAnsi" w:hAnsiTheme="minorHAnsi"/>
          <w:sz w:val="22"/>
          <w:szCs w:val="22"/>
        </w:rPr>
        <w:t xml:space="preserve">  smanjeno </w:t>
      </w:r>
      <w:r>
        <w:rPr>
          <w:rFonts w:asciiTheme="minorHAnsi" w:hAnsiTheme="minorHAnsi"/>
          <w:sz w:val="22"/>
          <w:szCs w:val="22"/>
        </w:rPr>
        <w:t xml:space="preserve">je </w:t>
      </w:r>
      <w:r w:rsidRPr="00496A37">
        <w:rPr>
          <w:rFonts w:asciiTheme="minorHAnsi" w:hAnsiTheme="minorHAnsi"/>
          <w:sz w:val="22"/>
          <w:szCs w:val="22"/>
        </w:rPr>
        <w:t xml:space="preserve">učešće Čajavec Mege u kapitalu Unicep Group za 50% odnosno izvršena je prodaja 50% udjela </w:t>
      </w:r>
      <w:r>
        <w:rPr>
          <w:rFonts w:asciiTheme="minorHAnsi" w:hAnsiTheme="minorHAnsi"/>
          <w:sz w:val="22"/>
          <w:szCs w:val="22"/>
        </w:rPr>
        <w:t>Unicep group</w:t>
      </w:r>
      <w:r w:rsidRPr="00496A37">
        <w:rPr>
          <w:rFonts w:asciiTheme="minorHAnsi" w:hAnsiTheme="minorHAnsi"/>
          <w:sz w:val="22"/>
          <w:szCs w:val="22"/>
        </w:rPr>
        <w:t>.</w:t>
      </w:r>
    </w:p>
    <w:p w:rsidR="00496A37" w:rsidRDefault="00496A37" w:rsidP="00496A37">
      <w:pPr>
        <w:tabs>
          <w:tab w:val="left" w:pos="180"/>
          <w:tab w:val="left" w:pos="360"/>
        </w:tabs>
        <w:spacing w:after="80"/>
        <w:jc w:val="both"/>
        <w:rPr>
          <w:rFonts w:asciiTheme="minorHAnsi" w:hAnsiTheme="minorHAnsi"/>
          <w:sz w:val="22"/>
          <w:szCs w:val="22"/>
          <w:lang w:val="sr-Latn-CS"/>
        </w:rPr>
      </w:pPr>
      <w:r w:rsidRPr="00496A37">
        <w:rPr>
          <w:rFonts w:asciiTheme="minorHAnsi" w:hAnsiTheme="minorHAnsi"/>
          <w:sz w:val="22"/>
          <w:szCs w:val="22"/>
          <w:lang w:val="sr-Latn-CS"/>
        </w:rPr>
        <w:t>U decembru 2020</w:t>
      </w:r>
      <w:r>
        <w:rPr>
          <w:rFonts w:asciiTheme="minorHAnsi" w:hAnsiTheme="minorHAnsi"/>
          <w:sz w:val="22"/>
          <w:szCs w:val="22"/>
          <w:lang w:val="sr-Latn-CS"/>
        </w:rPr>
        <w:t>.</w:t>
      </w:r>
      <w:r w:rsidRPr="00496A37">
        <w:rPr>
          <w:rFonts w:asciiTheme="minorHAnsi" w:hAnsiTheme="minorHAnsi"/>
          <w:sz w:val="22"/>
          <w:szCs w:val="22"/>
          <w:lang w:val="sr-Latn-CS"/>
        </w:rPr>
        <w:t xml:space="preserve"> godine  Čajavec Meg</w:t>
      </w:r>
      <w:r>
        <w:rPr>
          <w:rFonts w:asciiTheme="minorHAnsi" w:hAnsiTheme="minorHAnsi"/>
          <w:sz w:val="22"/>
          <w:szCs w:val="22"/>
          <w:lang w:val="sr-Latn-CS"/>
        </w:rPr>
        <w:t>a</w:t>
      </w:r>
      <w:r w:rsidRPr="00496A37">
        <w:rPr>
          <w:rFonts w:asciiTheme="minorHAnsi" w:hAnsiTheme="minorHAnsi"/>
          <w:sz w:val="22"/>
          <w:szCs w:val="22"/>
          <w:lang w:val="sr-Latn-CS"/>
        </w:rPr>
        <w:t xml:space="preserve"> a.d. </w:t>
      </w:r>
      <w:r>
        <w:rPr>
          <w:rFonts w:asciiTheme="minorHAnsi" w:hAnsiTheme="minorHAnsi"/>
          <w:sz w:val="22"/>
          <w:szCs w:val="22"/>
          <w:lang w:val="sr-Latn-CS"/>
        </w:rPr>
        <w:t xml:space="preserve">je </w:t>
      </w:r>
      <w:r w:rsidRPr="00496A37">
        <w:rPr>
          <w:rFonts w:asciiTheme="minorHAnsi" w:hAnsiTheme="minorHAnsi"/>
          <w:sz w:val="22"/>
          <w:szCs w:val="22"/>
          <w:lang w:val="sr-Latn-CS"/>
        </w:rPr>
        <w:t xml:space="preserve"> posta</w:t>
      </w:r>
      <w:r>
        <w:rPr>
          <w:rFonts w:asciiTheme="minorHAnsi" w:hAnsiTheme="minorHAnsi"/>
          <w:sz w:val="22"/>
          <w:szCs w:val="22"/>
          <w:lang w:val="sr-Latn-CS"/>
        </w:rPr>
        <w:t xml:space="preserve">la 100% </w:t>
      </w:r>
      <w:r w:rsidRPr="00496A37">
        <w:rPr>
          <w:rFonts w:asciiTheme="minorHAnsi" w:hAnsiTheme="minorHAnsi"/>
          <w:sz w:val="22"/>
          <w:szCs w:val="22"/>
          <w:lang w:val="sr-Latn-CS"/>
        </w:rPr>
        <w:t xml:space="preserve"> vlasnik </w:t>
      </w:r>
      <w:r>
        <w:rPr>
          <w:rFonts w:asciiTheme="minorHAnsi" w:hAnsiTheme="minorHAnsi"/>
          <w:sz w:val="22"/>
          <w:szCs w:val="22"/>
          <w:lang w:val="sr-Latn-CS"/>
        </w:rPr>
        <w:t xml:space="preserve">društva </w:t>
      </w:r>
      <w:r w:rsidRPr="00496A37">
        <w:rPr>
          <w:rFonts w:asciiTheme="minorHAnsi" w:hAnsiTheme="minorHAnsi"/>
          <w:sz w:val="22"/>
          <w:szCs w:val="22"/>
          <w:lang w:val="sr-Latn-CS"/>
        </w:rPr>
        <w:t>Jahorinsk</w:t>
      </w:r>
      <w:r>
        <w:rPr>
          <w:rFonts w:asciiTheme="minorHAnsi" w:hAnsiTheme="minorHAnsi"/>
          <w:sz w:val="22"/>
          <w:szCs w:val="22"/>
          <w:lang w:val="sr-Latn-CS"/>
        </w:rPr>
        <w:t>a</w:t>
      </w:r>
      <w:r w:rsidRPr="00496A37">
        <w:rPr>
          <w:rFonts w:asciiTheme="minorHAnsi" w:hAnsiTheme="minorHAnsi"/>
          <w:sz w:val="22"/>
          <w:szCs w:val="22"/>
          <w:lang w:val="sr-Latn-CS"/>
        </w:rPr>
        <w:t xml:space="preserve"> dvorišta  </w:t>
      </w:r>
      <w:r>
        <w:rPr>
          <w:rFonts w:asciiTheme="minorHAnsi" w:hAnsiTheme="minorHAnsi"/>
          <w:sz w:val="22"/>
          <w:szCs w:val="22"/>
          <w:lang w:val="sr-Latn-CS"/>
        </w:rPr>
        <w:t>ad Banjaluka.</w:t>
      </w:r>
      <w:r w:rsidRPr="00496A37">
        <w:rPr>
          <w:rFonts w:asciiTheme="minorHAnsi" w:hAnsiTheme="minorHAnsi"/>
          <w:sz w:val="22"/>
          <w:szCs w:val="22"/>
          <w:lang w:val="sr-Latn-CS"/>
        </w:rPr>
        <w:t xml:space="preserve"> </w:t>
      </w:r>
    </w:p>
    <w:p w:rsidR="00B760F6" w:rsidRDefault="00CA4F3A" w:rsidP="00496A37">
      <w:pPr>
        <w:tabs>
          <w:tab w:val="left" w:pos="180"/>
          <w:tab w:val="left" w:pos="360"/>
        </w:tabs>
        <w:spacing w:after="80"/>
        <w:jc w:val="both"/>
        <w:rPr>
          <w:rFonts w:asciiTheme="minorHAnsi" w:hAnsiTheme="minorHAnsi"/>
          <w:sz w:val="22"/>
          <w:szCs w:val="22"/>
          <w:lang w:val="sr-Latn-CS"/>
        </w:rPr>
      </w:pPr>
      <w:r>
        <w:rPr>
          <w:rFonts w:asciiTheme="minorHAnsi" w:hAnsiTheme="minorHAnsi"/>
          <w:sz w:val="22"/>
          <w:szCs w:val="22"/>
          <w:lang w:val="sr-Latn-CS"/>
        </w:rPr>
        <w:t xml:space="preserve">Početkom 2021.godine društvo Čajavec mega ad je prodalo </w:t>
      </w:r>
      <w:r w:rsidR="00EA5077">
        <w:rPr>
          <w:rFonts w:asciiTheme="minorHAnsi" w:hAnsiTheme="minorHAnsi"/>
          <w:sz w:val="22"/>
          <w:szCs w:val="22"/>
          <w:lang w:val="sr-Latn-CS"/>
        </w:rPr>
        <w:t>1</w:t>
      </w:r>
      <w:r>
        <w:rPr>
          <w:rFonts w:asciiTheme="minorHAnsi" w:hAnsiTheme="minorHAnsi"/>
          <w:sz w:val="22"/>
          <w:szCs w:val="22"/>
          <w:lang w:val="sr-Latn-CS"/>
        </w:rPr>
        <w:t>0</w:t>
      </w:r>
      <w:r w:rsidR="00EA5077">
        <w:rPr>
          <w:rFonts w:asciiTheme="minorHAnsi" w:hAnsiTheme="minorHAnsi"/>
          <w:sz w:val="22"/>
          <w:szCs w:val="22"/>
          <w:lang w:val="sr-Latn-CS"/>
        </w:rPr>
        <w:t>0</w:t>
      </w:r>
      <w:r>
        <w:rPr>
          <w:rFonts w:asciiTheme="minorHAnsi" w:hAnsiTheme="minorHAnsi"/>
          <w:sz w:val="22"/>
          <w:szCs w:val="22"/>
          <w:lang w:val="sr-Latn-CS"/>
        </w:rPr>
        <w:t>% svog udjela u društvu Unicep Group doo Banjaluka.</w:t>
      </w:r>
    </w:p>
    <w:p w:rsidR="00CA4F3A" w:rsidRDefault="00CA4F3A" w:rsidP="00496A37">
      <w:pPr>
        <w:tabs>
          <w:tab w:val="left" w:pos="180"/>
          <w:tab w:val="left" w:pos="360"/>
        </w:tabs>
        <w:spacing w:after="80"/>
        <w:jc w:val="both"/>
        <w:rPr>
          <w:rFonts w:asciiTheme="minorHAnsi" w:hAnsiTheme="minorHAnsi"/>
          <w:sz w:val="22"/>
          <w:szCs w:val="22"/>
          <w:lang w:val="sr-Latn-CS"/>
        </w:rPr>
      </w:pPr>
      <w:r>
        <w:rPr>
          <w:rFonts w:asciiTheme="minorHAnsi" w:hAnsiTheme="minorHAnsi"/>
          <w:sz w:val="22"/>
          <w:szCs w:val="22"/>
          <w:lang w:val="sr-Latn-CS"/>
        </w:rPr>
        <w:t>U toku 2021.godine društvo Čajavec mega ad je donijelo odluku o osnivanju društva Gama holding doo Banjaluka koje je u sudski registar upisano 28.05.2021.godine</w:t>
      </w:r>
      <w:r w:rsidR="00EA5077">
        <w:rPr>
          <w:rFonts w:asciiTheme="minorHAnsi" w:hAnsiTheme="minorHAnsi"/>
          <w:sz w:val="22"/>
          <w:szCs w:val="22"/>
          <w:lang w:val="sr-Latn-CS"/>
        </w:rPr>
        <w:t>.</w:t>
      </w:r>
    </w:p>
    <w:p w:rsidR="00EA5077" w:rsidRDefault="00EA5077" w:rsidP="00496A37">
      <w:pPr>
        <w:tabs>
          <w:tab w:val="left" w:pos="180"/>
          <w:tab w:val="left" w:pos="360"/>
        </w:tabs>
        <w:spacing w:after="80"/>
        <w:jc w:val="both"/>
        <w:rPr>
          <w:rFonts w:asciiTheme="minorHAnsi" w:hAnsiTheme="minorHAnsi"/>
          <w:sz w:val="22"/>
          <w:szCs w:val="22"/>
          <w:lang w:val="sr-Latn-CS"/>
        </w:rPr>
      </w:pPr>
      <w:r>
        <w:rPr>
          <w:rFonts w:asciiTheme="minorHAnsi" w:hAnsiTheme="minorHAnsi"/>
          <w:sz w:val="22"/>
          <w:szCs w:val="22"/>
          <w:lang w:val="sr-Latn-CS"/>
        </w:rPr>
        <w:t>U julu 2023.godine Upravni odbor Čajavec mege je donio odluku o prodaji 100%</w:t>
      </w:r>
      <w:r w:rsidR="0028470C">
        <w:rPr>
          <w:rFonts w:asciiTheme="minorHAnsi" w:hAnsiTheme="minorHAnsi"/>
          <w:sz w:val="22"/>
          <w:szCs w:val="22"/>
          <w:lang w:val="sr-Latn-CS"/>
        </w:rPr>
        <w:t xml:space="preserve"> </w:t>
      </w:r>
      <w:r>
        <w:rPr>
          <w:rFonts w:asciiTheme="minorHAnsi" w:hAnsiTheme="minorHAnsi"/>
          <w:sz w:val="22"/>
          <w:szCs w:val="22"/>
          <w:lang w:val="sr-Latn-CS"/>
        </w:rPr>
        <w:t xml:space="preserve">učešća u </w:t>
      </w:r>
      <w:r w:rsidR="0028470C">
        <w:rPr>
          <w:rFonts w:asciiTheme="minorHAnsi" w:hAnsiTheme="minorHAnsi"/>
          <w:sz w:val="22"/>
          <w:szCs w:val="22"/>
          <w:lang w:val="sr-Latn-CS"/>
        </w:rPr>
        <w:t>kapitalu društva</w:t>
      </w:r>
      <w:r>
        <w:rPr>
          <w:rFonts w:asciiTheme="minorHAnsi" w:hAnsiTheme="minorHAnsi"/>
          <w:sz w:val="22"/>
          <w:szCs w:val="22"/>
          <w:lang w:val="sr-Latn-CS"/>
        </w:rPr>
        <w:t xml:space="preserve"> Jahorinska dvorišta ad Banjaluka</w:t>
      </w:r>
    </w:p>
    <w:p w:rsidR="00256BDB" w:rsidRDefault="00256BDB" w:rsidP="00496A37">
      <w:pPr>
        <w:tabs>
          <w:tab w:val="left" w:pos="180"/>
          <w:tab w:val="left" w:pos="360"/>
        </w:tabs>
        <w:spacing w:after="80"/>
        <w:jc w:val="both"/>
        <w:rPr>
          <w:rFonts w:asciiTheme="minorHAnsi" w:hAnsiTheme="minorHAnsi"/>
          <w:sz w:val="22"/>
          <w:szCs w:val="22"/>
          <w:lang w:val="sr-Latn-CS"/>
        </w:rPr>
      </w:pPr>
      <w:r>
        <w:rPr>
          <w:rFonts w:asciiTheme="minorHAnsi" w:hAnsiTheme="minorHAnsi"/>
          <w:sz w:val="22"/>
          <w:szCs w:val="22"/>
          <w:lang w:val="sr-Latn-CS"/>
        </w:rPr>
        <w:t>U oktobru 2023.godine društvo Čajavec mega je prodalo 100% svog udjela u društvu Gama holding doo Banjaluka.</w:t>
      </w:r>
    </w:p>
    <w:p w:rsidR="006272B0" w:rsidRPr="00496A37" w:rsidRDefault="006272B0" w:rsidP="00496A37">
      <w:pPr>
        <w:tabs>
          <w:tab w:val="left" w:pos="180"/>
          <w:tab w:val="left" w:pos="360"/>
        </w:tabs>
        <w:spacing w:after="80"/>
        <w:jc w:val="both"/>
        <w:rPr>
          <w:rFonts w:asciiTheme="minorHAnsi" w:hAnsiTheme="minorHAnsi"/>
          <w:sz w:val="22"/>
          <w:szCs w:val="22"/>
          <w:lang w:val="sr-Latn-CS"/>
        </w:rPr>
      </w:pPr>
    </w:p>
    <w:p w:rsidR="00514EA7" w:rsidRPr="00CC4EAE" w:rsidRDefault="00514EA7" w:rsidP="001A0486">
      <w:pPr>
        <w:autoSpaceDE w:val="0"/>
        <w:autoSpaceDN w:val="0"/>
        <w:adjustRightInd w:val="0"/>
        <w:spacing w:after="120"/>
        <w:rPr>
          <w:rFonts w:ascii="Calibri" w:eastAsia="Calibri" w:hAnsi="Calibri" w:cs="Constantia"/>
          <w:sz w:val="22"/>
          <w:lang w:val="sl-SI"/>
        </w:rPr>
      </w:pPr>
      <w:r w:rsidRPr="00CC4EAE">
        <w:rPr>
          <w:rFonts w:ascii="Calibri" w:eastAsia="Calibri" w:hAnsi="Calibri" w:cs="Constantia"/>
          <w:sz w:val="22"/>
          <w:lang w:val="sl-SI"/>
        </w:rPr>
        <w:lastRenderedPageBreak/>
        <w:t xml:space="preserve">U skladu sa Zakonom o privrednim društvima, </w:t>
      </w:r>
      <w:r w:rsidR="00602264" w:rsidRPr="00CC4EAE">
        <w:rPr>
          <w:rFonts w:ascii="Calibri" w:eastAsia="Calibri" w:hAnsi="Calibri" w:cs="Constantia"/>
          <w:sz w:val="22"/>
          <w:lang w:val="sl-SI"/>
        </w:rPr>
        <w:t>D</w:t>
      </w:r>
      <w:r w:rsidRPr="00CC4EAE">
        <w:rPr>
          <w:rFonts w:ascii="Calibri" w:eastAsia="Calibri" w:hAnsi="Calibri" w:cs="Constantia"/>
          <w:sz w:val="22"/>
          <w:lang w:val="sl-SI"/>
        </w:rPr>
        <w:t>ruštvo ima slijedeće organe upravljanja:</w:t>
      </w:r>
    </w:p>
    <w:p w:rsidR="00514EA7" w:rsidRPr="001A0486" w:rsidRDefault="00514EA7" w:rsidP="00DE452D">
      <w:pPr>
        <w:numPr>
          <w:ilvl w:val="0"/>
          <w:numId w:val="6"/>
        </w:numPr>
        <w:autoSpaceDE w:val="0"/>
        <w:autoSpaceDN w:val="0"/>
        <w:adjustRightInd w:val="0"/>
        <w:rPr>
          <w:rFonts w:ascii="Calibri" w:eastAsia="Calibri" w:hAnsi="Calibri" w:cs="Constantia"/>
          <w:sz w:val="22"/>
          <w:lang w:val="en-US"/>
        </w:rPr>
      </w:pPr>
      <w:proofErr w:type="spellStart"/>
      <w:r w:rsidRPr="001A0486">
        <w:rPr>
          <w:rFonts w:ascii="Calibri" w:eastAsia="Calibri" w:hAnsi="Calibri" w:cs="Constantia"/>
          <w:sz w:val="22"/>
          <w:lang w:val="en-US"/>
        </w:rPr>
        <w:t>Skupštinu</w:t>
      </w:r>
      <w:proofErr w:type="spellEnd"/>
      <w:r w:rsidRPr="001A0486">
        <w:rPr>
          <w:rFonts w:ascii="Calibri" w:eastAsia="Calibri" w:hAnsi="Calibri" w:cs="Constantia"/>
          <w:sz w:val="22"/>
          <w:lang w:val="en-US"/>
        </w:rPr>
        <w:t xml:space="preserve"> </w:t>
      </w:r>
      <w:proofErr w:type="spellStart"/>
      <w:r w:rsidRPr="001A0486">
        <w:rPr>
          <w:rFonts w:ascii="Calibri" w:eastAsia="Calibri" w:hAnsi="Calibri" w:cs="Constantia"/>
          <w:sz w:val="22"/>
          <w:lang w:val="en-US"/>
        </w:rPr>
        <w:t>akcionara</w:t>
      </w:r>
      <w:proofErr w:type="spellEnd"/>
      <w:r w:rsidRPr="001A0486">
        <w:rPr>
          <w:rFonts w:ascii="Calibri" w:eastAsia="Calibri" w:hAnsi="Calibri" w:cs="Constantia"/>
          <w:sz w:val="22"/>
          <w:lang w:val="en-US"/>
        </w:rPr>
        <w:t>,</w:t>
      </w:r>
    </w:p>
    <w:p w:rsidR="00514EA7" w:rsidRPr="001A0486" w:rsidRDefault="00514EA7" w:rsidP="00DE452D">
      <w:pPr>
        <w:numPr>
          <w:ilvl w:val="0"/>
          <w:numId w:val="6"/>
        </w:numPr>
        <w:autoSpaceDE w:val="0"/>
        <w:autoSpaceDN w:val="0"/>
        <w:adjustRightInd w:val="0"/>
        <w:rPr>
          <w:rFonts w:ascii="Calibri" w:eastAsia="Calibri" w:hAnsi="Calibri" w:cs="Constantia"/>
          <w:sz w:val="22"/>
          <w:lang w:val="en-US"/>
        </w:rPr>
      </w:pPr>
      <w:proofErr w:type="spellStart"/>
      <w:r w:rsidRPr="001A0486">
        <w:rPr>
          <w:rFonts w:ascii="Calibri" w:eastAsia="Calibri" w:hAnsi="Calibri" w:cs="Constantia"/>
          <w:sz w:val="22"/>
          <w:lang w:val="en-US"/>
        </w:rPr>
        <w:t>Upravni</w:t>
      </w:r>
      <w:proofErr w:type="spellEnd"/>
      <w:r w:rsidRPr="001A0486">
        <w:rPr>
          <w:rFonts w:ascii="Calibri" w:eastAsia="Calibri" w:hAnsi="Calibri" w:cs="Constantia"/>
          <w:sz w:val="22"/>
          <w:lang w:val="en-US"/>
        </w:rPr>
        <w:t xml:space="preserve"> </w:t>
      </w:r>
      <w:proofErr w:type="spellStart"/>
      <w:r w:rsidRPr="001A0486">
        <w:rPr>
          <w:rFonts w:ascii="Calibri" w:eastAsia="Calibri" w:hAnsi="Calibri" w:cs="Constantia"/>
          <w:sz w:val="22"/>
          <w:lang w:val="en-US"/>
        </w:rPr>
        <w:t>odbor</w:t>
      </w:r>
      <w:proofErr w:type="spellEnd"/>
      <w:r w:rsidRPr="001A0486">
        <w:rPr>
          <w:rFonts w:ascii="Calibri" w:eastAsia="Calibri" w:hAnsi="Calibri" w:cs="Constantia"/>
          <w:sz w:val="22"/>
          <w:lang w:val="en-US"/>
        </w:rPr>
        <w:t xml:space="preserve"> </w:t>
      </w:r>
      <w:proofErr w:type="spellStart"/>
      <w:r w:rsidRPr="001A0486">
        <w:rPr>
          <w:rFonts w:ascii="Calibri" w:eastAsia="Calibri" w:hAnsi="Calibri" w:cs="Constantia"/>
          <w:sz w:val="22"/>
          <w:lang w:val="en-US"/>
        </w:rPr>
        <w:t>i</w:t>
      </w:r>
      <w:proofErr w:type="spellEnd"/>
    </w:p>
    <w:p w:rsidR="00514EA7" w:rsidRPr="001A0486" w:rsidRDefault="00514EA7" w:rsidP="00DE452D">
      <w:pPr>
        <w:numPr>
          <w:ilvl w:val="0"/>
          <w:numId w:val="6"/>
        </w:numPr>
        <w:autoSpaceDE w:val="0"/>
        <w:autoSpaceDN w:val="0"/>
        <w:adjustRightInd w:val="0"/>
        <w:spacing w:after="120"/>
        <w:rPr>
          <w:rFonts w:ascii="Calibri" w:eastAsia="Calibri" w:hAnsi="Calibri" w:cs="Constantia"/>
          <w:sz w:val="22"/>
          <w:lang w:val="en-US"/>
        </w:rPr>
      </w:pPr>
      <w:proofErr w:type="spellStart"/>
      <w:r w:rsidRPr="001A0486">
        <w:rPr>
          <w:rFonts w:ascii="Calibri" w:eastAsia="Calibri" w:hAnsi="Calibri" w:cs="Constantia"/>
          <w:sz w:val="22"/>
          <w:lang w:val="en-US"/>
        </w:rPr>
        <w:t>Direktora</w:t>
      </w:r>
      <w:proofErr w:type="spellEnd"/>
      <w:r w:rsidRPr="001A0486">
        <w:rPr>
          <w:rFonts w:ascii="Calibri" w:eastAsia="Calibri" w:hAnsi="Calibri" w:cs="Constantia"/>
          <w:sz w:val="22"/>
          <w:lang w:val="en-US"/>
        </w:rPr>
        <w:t>.</w:t>
      </w:r>
    </w:p>
    <w:p w:rsidR="00514EA7" w:rsidRPr="00265A5D" w:rsidRDefault="00514EA7" w:rsidP="001A0486">
      <w:pPr>
        <w:spacing w:after="120"/>
        <w:jc w:val="both"/>
        <w:rPr>
          <w:rFonts w:ascii="Calibri" w:hAnsi="Calibri"/>
          <w:sz w:val="22"/>
          <w:szCs w:val="22"/>
        </w:rPr>
      </w:pPr>
      <w:r w:rsidRPr="001A0486">
        <w:rPr>
          <w:rFonts w:ascii="Calibri" w:hAnsi="Calibri"/>
          <w:sz w:val="22"/>
          <w:szCs w:val="22"/>
        </w:rPr>
        <w:t>Broj zaposlenih na dan 31.12.20</w:t>
      </w:r>
      <w:r w:rsidR="00D904A0">
        <w:rPr>
          <w:rFonts w:ascii="Calibri" w:hAnsi="Calibri"/>
          <w:sz w:val="22"/>
          <w:szCs w:val="22"/>
        </w:rPr>
        <w:t>2</w:t>
      </w:r>
      <w:r w:rsidR="001459CA">
        <w:rPr>
          <w:rFonts w:ascii="Calibri" w:hAnsi="Calibri"/>
          <w:sz w:val="22"/>
          <w:szCs w:val="22"/>
        </w:rPr>
        <w:t>3</w:t>
      </w:r>
      <w:r w:rsidRPr="001A0486">
        <w:rPr>
          <w:rFonts w:ascii="Calibri" w:hAnsi="Calibri"/>
          <w:sz w:val="22"/>
          <w:szCs w:val="22"/>
        </w:rPr>
        <w:t>. godine:</w:t>
      </w:r>
      <w:r w:rsidR="00AD488B">
        <w:rPr>
          <w:rFonts w:ascii="Calibri" w:hAnsi="Calibri"/>
          <w:sz w:val="22"/>
          <w:szCs w:val="22"/>
        </w:rPr>
        <w:t xml:space="preserve"> </w:t>
      </w:r>
      <w:r w:rsidR="00013828">
        <w:rPr>
          <w:rFonts w:ascii="Calibri" w:hAnsi="Calibri"/>
          <w:sz w:val="22"/>
          <w:szCs w:val="22"/>
        </w:rPr>
        <w:t>2</w:t>
      </w:r>
      <w:r w:rsidR="001A0486" w:rsidRPr="00265A5D">
        <w:rPr>
          <w:rFonts w:ascii="Calibri" w:hAnsi="Calibri"/>
          <w:sz w:val="22"/>
          <w:szCs w:val="22"/>
        </w:rPr>
        <w:t xml:space="preserve"> (</w:t>
      </w:r>
      <w:r w:rsidR="00013828">
        <w:rPr>
          <w:rFonts w:ascii="Calibri" w:hAnsi="Calibri"/>
          <w:sz w:val="22"/>
          <w:szCs w:val="22"/>
        </w:rPr>
        <w:t>dva</w:t>
      </w:r>
      <w:r w:rsidR="001A0486" w:rsidRPr="00265A5D">
        <w:rPr>
          <w:rFonts w:ascii="Calibri" w:hAnsi="Calibri"/>
          <w:sz w:val="22"/>
          <w:szCs w:val="22"/>
        </w:rPr>
        <w:t>)</w:t>
      </w:r>
      <w:r w:rsidR="00AD488B" w:rsidRPr="00265A5D">
        <w:rPr>
          <w:rFonts w:ascii="Calibri" w:hAnsi="Calibri"/>
          <w:sz w:val="22"/>
          <w:szCs w:val="22"/>
        </w:rPr>
        <w:t xml:space="preserve"> </w:t>
      </w:r>
      <w:r w:rsidRPr="00265A5D">
        <w:rPr>
          <w:rFonts w:ascii="Calibri" w:hAnsi="Calibri"/>
          <w:sz w:val="22"/>
          <w:szCs w:val="22"/>
        </w:rPr>
        <w:t>radnika.</w:t>
      </w:r>
    </w:p>
    <w:p w:rsidR="00514EA7" w:rsidRPr="009D6209" w:rsidRDefault="00496F5F" w:rsidP="001A0486">
      <w:pPr>
        <w:spacing w:after="120"/>
        <w:jc w:val="both"/>
        <w:rPr>
          <w:rFonts w:ascii="Calibri" w:hAnsi="Calibri"/>
          <w:sz w:val="22"/>
          <w:szCs w:val="22"/>
        </w:rPr>
      </w:pPr>
      <w:r w:rsidRPr="009D6209">
        <w:rPr>
          <w:rFonts w:ascii="Calibri" w:hAnsi="Calibri"/>
          <w:sz w:val="22"/>
          <w:szCs w:val="22"/>
        </w:rPr>
        <w:t>Sjedište D</w:t>
      </w:r>
      <w:r w:rsidR="00514EA7" w:rsidRPr="009D6209">
        <w:rPr>
          <w:rFonts w:ascii="Calibri" w:hAnsi="Calibri"/>
          <w:sz w:val="22"/>
          <w:szCs w:val="22"/>
        </w:rPr>
        <w:t xml:space="preserve">ruštva je u Banjaluci, u ulici </w:t>
      </w:r>
      <w:r w:rsidR="002C1FC6">
        <w:rPr>
          <w:rFonts w:ascii="Calibri" w:hAnsi="Calibri"/>
          <w:sz w:val="22"/>
          <w:szCs w:val="22"/>
        </w:rPr>
        <w:t>Jovana Dučića 23a</w:t>
      </w:r>
      <w:r w:rsidR="00514EA7" w:rsidRPr="009D6209">
        <w:rPr>
          <w:rFonts w:ascii="Calibri" w:hAnsi="Calibri"/>
          <w:sz w:val="22"/>
          <w:szCs w:val="22"/>
        </w:rPr>
        <w:t xml:space="preserve">. </w:t>
      </w:r>
    </w:p>
    <w:p w:rsidR="00013828" w:rsidRDefault="00514EA7" w:rsidP="009D6209">
      <w:pPr>
        <w:spacing w:after="120"/>
        <w:jc w:val="both"/>
        <w:rPr>
          <w:rFonts w:ascii="Calibri" w:hAnsi="Calibri"/>
          <w:sz w:val="22"/>
        </w:rPr>
      </w:pPr>
      <w:r w:rsidRPr="009D6209">
        <w:rPr>
          <w:rFonts w:ascii="Calibri" w:hAnsi="Calibri"/>
          <w:sz w:val="22"/>
        </w:rPr>
        <w:t>Društvo nema poslovnih jedinica</w:t>
      </w:r>
      <w:r w:rsidR="00013828">
        <w:rPr>
          <w:rFonts w:ascii="Calibri" w:hAnsi="Calibri"/>
          <w:sz w:val="22"/>
        </w:rPr>
        <w:t>.</w:t>
      </w:r>
      <w:r w:rsidRPr="009D6209">
        <w:rPr>
          <w:rFonts w:ascii="Calibri" w:hAnsi="Calibri"/>
          <w:sz w:val="22"/>
        </w:rPr>
        <w:t xml:space="preserve"> </w:t>
      </w:r>
    </w:p>
    <w:p w:rsidR="00514EA7" w:rsidRPr="00900300" w:rsidRDefault="00514EA7" w:rsidP="009D6209">
      <w:pPr>
        <w:spacing w:after="120"/>
        <w:jc w:val="both"/>
        <w:rPr>
          <w:rFonts w:ascii="Calibri" w:hAnsi="Calibri"/>
          <w:i/>
          <w:color w:val="FF0000"/>
          <w:sz w:val="22"/>
          <w:u w:val="single"/>
        </w:rPr>
      </w:pPr>
      <w:r w:rsidRPr="00900300">
        <w:rPr>
          <w:rFonts w:ascii="Calibri" w:hAnsi="Calibri"/>
          <w:i/>
          <w:sz w:val="24"/>
          <w:szCs w:val="22"/>
          <w:u w:val="single"/>
        </w:rPr>
        <w:t xml:space="preserve">Usvojena </w:t>
      </w:r>
      <w:r w:rsidR="001A0486" w:rsidRPr="00900300">
        <w:rPr>
          <w:rFonts w:ascii="Calibri" w:hAnsi="Calibri"/>
          <w:i/>
          <w:sz w:val="24"/>
          <w:szCs w:val="22"/>
          <w:u w:val="single"/>
        </w:rPr>
        <w:t xml:space="preserve">(namjeravana) </w:t>
      </w:r>
      <w:r w:rsidRPr="00900300">
        <w:rPr>
          <w:rFonts w:ascii="Calibri" w:hAnsi="Calibri"/>
          <w:i/>
          <w:sz w:val="24"/>
          <w:szCs w:val="22"/>
          <w:u w:val="single"/>
        </w:rPr>
        <w:t>poslovna politika</w:t>
      </w:r>
    </w:p>
    <w:p w:rsidR="00514EA7" w:rsidRPr="00900300" w:rsidRDefault="00496F5F" w:rsidP="001A0486">
      <w:pPr>
        <w:spacing w:after="120"/>
        <w:jc w:val="both"/>
        <w:rPr>
          <w:rFonts w:ascii="Calibri" w:hAnsi="Calibri"/>
          <w:sz w:val="22"/>
          <w:szCs w:val="22"/>
        </w:rPr>
      </w:pPr>
      <w:r w:rsidRPr="00900300">
        <w:rPr>
          <w:rFonts w:ascii="Calibri" w:hAnsi="Calibri"/>
          <w:sz w:val="22"/>
          <w:szCs w:val="22"/>
        </w:rPr>
        <w:t>Usvojena poslovna politika D</w:t>
      </w:r>
      <w:r w:rsidR="00514EA7" w:rsidRPr="00900300">
        <w:rPr>
          <w:rFonts w:ascii="Calibri" w:hAnsi="Calibri"/>
          <w:sz w:val="22"/>
          <w:szCs w:val="22"/>
        </w:rPr>
        <w:t xml:space="preserve">ruštva se </w:t>
      </w:r>
      <w:r w:rsidR="001A0486" w:rsidRPr="00900300">
        <w:rPr>
          <w:rFonts w:ascii="Calibri" w:hAnsi="Calibri"/>
          <w:sz w:val="22"/>
          <w:szCs w:val="22"/>
        </w:rPr>
        <w:t xml:space="preserve">za sada još uvijek </w:t>
      </w:r>
      <w:r w:rsidR="00514EA7" w:rsidRPr="00900300">
        <w:rPr>
          <w:rFonts w:ascii="Calibri" w:hAnsi="Calibri"/>
          <w:sz w:val="22"/>
          <w:szCs w:val="22"/>
        </w:rPr>
        <w:t xml:space="preserve">uspješno realizuje, posebno u </w:t>
      </w:r>
      <w:r w:rsidR="000C2AD1" w:rsidRPr="00900300">
        <w:rPr>
          <w:rFonts w:ascii="Calibri" w:hAnsi="Calibri"/>
          <w:sz w:val="22"/>
          <w:szCs w:val="22"/>
        </w:rPr>
        <w:t>slijedećim segmentima</w:t>
      </w:r>
      <w:r w:rsidR="00514EA7" w:rsidRPr="00900300">
        <w:rPr>
          <w:rFonts w:ascii="Calibri" w:hAnsi="Calibri"/>
          <w:sz w:val="22"/>
          <w:szCs w:val="22"/>
        </w:rPr>
        <w:t xml:space="preserve">:  </w:t>
      </w:r>
    </w:p>
    <w:p w:rsidR="001A0486" w:rsidRPr="001D02C1" w:rsidRDefault="000C2AD1" w:rsidP="00DE452D">
      <w:pPr>
        <w:pStyle w:val="BodyText"/>
        <w:numPr>
          <w:ilvl w:val="0"/>
          <w:numId w:val="2"/>
        </w:numPr>
        <w:spacing w:after="120"/>
        <w:ind w:left="771" w:hanging="357"/>
        <w:rPr>
          <w:rFonts w:ascii="Calibri" w:hAnsi="Calibri"/>
          <w:b/>
          <w:i/>
          <w:sz w:val="24"/>
          <w:szCs w:val="22"/>
        </w:rPr>
      </w:pPr>
      <w:r w:rsidRPr="001D02C1">
        <w:rPr>
          <w:rFonts w:ascii="Calibri" w:hAnsi="Calibri"/>
          <w:b/>
          <w:i/>
          <w:sz w:val="24"/>
          <w:szCs w:val="22"/>
        </w:rPr>
        <w:t>Poslovni</w:t>
      </w:r>
      <w:r w:rsidR="00514EA7" w:rsidRPr="001D02C1">
        <w:rPr>
          <w:rFonts w:ascii="Calibri" w:hAnsi="Calibri"/>
          <w:b/>
          <w:i/>
          <w:sz w:val="24"/>
          <w:szCs w:val="22"/>
        </w:rPr>
        <w:t xml:space="preserve"> profil Društva:</w:t>
      </w:r>
    </w:p>
    <w:p w:rsidR="00514EA7" w:rsidRPr="001D02C1" w:rsidRDefault="001A0486" w:rsidP="001A0486">
      <w:pPr>
        <w:pStyle w:val="BodyText"/>
        <w:rPr>
          <w:rFonts w:ascii="Calibri" w:hAnsi="Calibri"/>
          <w:b/>
          <w:sz w:val="24"/>
          <w:szCs w:val="22"/>
        </w:rPr>
      </w:pPr>
      <w:r w:rsidRPr="001D02C1">
        <w:rPr>
          <w:rFonts w:ascii="Calibri" w:hAnsi="Calibri"/>
          <w:sz w:val="22"/>
          <w:szCs w:val="22"/>
        </w:rPr>
        <w:t xml:space="preserve">-  </w:t>
      </w:r>
      <w:r w:rsidR="00514EA7" w:rsidRPr="001D02C1">
        <w:rPr>
          <w:rFonts w:ascii="Calibri" w:hAnsi="Calibri"/>
          <w:sz w:val="22"/>
          <w:szCs w:val="22"/>
        </w:rPr>
        <w:t>Poslovanje sa nekretninama,</w:t>
      </w:r>
    </w:p>
    <w:p w:rsidR="00514EA7" w:rsidRPr="001D02C1" w:rsidRDefault="001A0486" w:rsidP="001A0486">
      <w:pPr>
        <w:spacing w:after="120"/>
        <w:jc w:val="both"/>
        <w:rPr>
          <w:rFonts w:ascii="Calibri" w:hAnsi="Calibri"/>
          <w:sz w:val="22"/>
          <w:szCs w:val="22"/>
        </w:rPr>
      </w:pPr>
      <w:r w:rsidRPr="001D02C1">
        <w:rPr>
          <w:rFonts w:ascii="Calibri" w:hAnsi="Calibri"/>
          <w:sz w:val="22"/>
          <w:szCs w:val="22"/>
        </w:rPr>
        <w:t xml:space="preserve">-  </w:t>
      </w:r>
      <w:r w:rsidR="00514EA7" w:rsidRPr="001D02C1">
        <w:rPr>
          <w:rFonts w:ascii="Calibri" w:hAnsi="Calibri"/>
          <w:sz w:val="22"/>
          <w:szCs w:val="22"/>
        </w:rPr>
        <w:t xml:space="preserve">Investiranje u druge finansijske instrumente. </w:t>
      </w:r>
    </w:p>
    <w:p w:rsidR="00514EA7" w:rsidRPr="001D02C1" w:rsidRDefault="00514EA7" w:rsidP="00DE452D">
      <w:pPr>
        <w:pStyle w:val="ListParagraph"/>
        <w:numPr>
          <w:ilvl w:val="0"/>
          <w:numId w:val="2"/>
        </w:numPr>
        <w:spacing w:after="120"/>
        <w:ind w:left="771" w:hanging="357"/>
        <w:jc w:val="both"/>
        <w:rPr>
          <w:rFonts w:ascii="Calibri" w:hAnsi="Calibri"/>
          <w:b/>
          <w:i/>
          <w:sz w:val="22"/>
          <w:szCs w:val="22"/>
        </w:rPr>
      </w:pPr>
      <w:r w:rsidRPr="001D02C1">
        <w:rPr>
          <w:rFonts w:ascii="Calibri" w:hAnsi="Calibri"/>
          <w:b/>
          <w:i/>
          <w:sz w:val="22"/>
          <w:szCs w:val="22"/>
        </w:rPr>
        <w:t>Poslovni ciljev</w:t>
      </w:r>
      <w:r w:rsidR="000C2AD1" w:rsidRPr="001D02C1">
        <w:rPr>
          <w:rFonts w:ascii="Calibri" w:hAnsi="Calibri"/>
          <w:b/>
          <w:i/>
          <w:sz w:val="22"/>
          <w:szCs w:val="22"/>
        </w:rPr>
        <w:t>i Društva</w:t>
      </w:r>
      <w:r w:rsidRPr="001D02C1">
        <w:rPr>
          <w:rFonts w:ascii="Calibri" w:hAnsi="Calibri"/>
          <w:b/>
          <w:i/>
          <w:sz w:val="22"/>
          <w:szCs w:val="22"/>
        </w:rPr>
        <w:t>:</w:t>
      </w:r>
    </w:p>
    <w:p w:rsidR="00514EA7" w:rsidRPr="001D02C1" w:rsidRDefault="001A0486" w:rsidP="001A0486">
      <w:pPr>
        <w:rPr>
          <w:rFonts w:ascii="Calibri" w:hAnsi="Calibri"/>
          <w:sz w:val="22"/>
          <w:szCs w:val="22"/>
          <w:lang w:val="es-CL"/>
        </w:rPr>
      </w:pPr>
      <w:r w:rsidRPr="001D02C1">
        <w:rPr>
          <w:rFonts w:ascii="Calibri" w:hAnsi="Calibri"/>
          <w:sz w:val="22"/>
          <w:szCs w:val="22"/>
        </w:rPr>
        <w:t xml:space="preserve">-  </w:t>
      </w:r>
      <w:r w:rsidR="00514EA7" w:rsidRPr="001D02C1">
        <w:rPr>
          <w:rFonts w:ascii="Calibri" w:hAnsi="Calibri"/>
          <w:sz w:val="22"/>
          <w:szCs w:val="22"/>
        </w:rPr>
        <w:t xml:space="preserve">Da se raspoloživim kapitalom  i racionalnim ulaganjima postigne </w:t>
      </w:r>
      <w:r w:rsidR="000C2AD1" w:rsidRPr="001D02C1">
        <w:rPr>
          <w:rFonts w:ascii="Calibri" w:hAnsi="Calibri"/>
          <w:sz w:val="22"/>
          <w:szCs w:val="22"/>
        </w:rPr>
        <w:t>optimalni</w:t>
      </w:r>
      <w:r w:rsidR="00514EA7" w:rsidRPr="001D02C1">
        <w:rPr>
          <w:rFonts w:ascii="Calibri" w:hAnsi="Calibri"/>
          <w:sz w:val="22"/>
          <w:szCs w:val="22"/>
        </w:rPr>
        <w:t xml:space="preserve"> poslovni rezultat,</w:t>
      </w:r>
    </w:p>
    <w:p w:rsidR="00514EA7" w:rsidRPr="001D02C1" w:rsidRDefault="001A0486" w:rsidP="001A0486">
      <w:pPr>
        <w:jc w:val="both"/>
        <w:rPr>
          <w:rFonts w:ascii="Calibri" w:hAnsi="Calibri"/>
          <w:sz w:val="22"/>
          <w:szCs w:val="22"/>
        </w:rPr>
      </w:pPr>
      <w:r w:rsidRPr="001D02C1">
        <w:rPr>
          <w:rFonts w:ascii="Calibri" w:hAnsi="Calibri"/>
          <w:sz w:val="22"/>
          <w:szCs w:val="22"/>
        </w:rPr>
        <w:t xml:space="preserve">-  </w:t>
      </w:r>
      <w:r w:rsidR="00514EA7" w:rsidRPr="001D02C1">
        <w:rPr>
          <w:rFonts w:ascii="Calibri" w:hAnsi="Calibri"/>
          <w:sz w:val="22"/>
          <w:szCs w:val="22"/>
        </w:rPr>
        <w:t xml:space="preserve">Povećavanje/održavanje prihoda od iznajmljivanja prostora, </w:t>
      </w:r>
    </w:p>
    <w:p w:rsidR="00501456" w:rsidRPr="001D02C1" w:rsidRDefault="001A0486" w:rsidP="001A0486">
      <w:pPr>
        <w:jc w:val="both"/>
        <w:rPr>
          <w:rFonts w:ascii="Calibri" w:hAnsi="Calibri"/>
          <w:sz w:val="22"/>
          <w:szCs w:val="22"/>
        </w:rPr>
      </w:pPr>
      <w:r w:rsidRPr="001D02C1">
        <w:rPr>
          <w:rFonts w:ascii="Calibri" w:hAnsi="Calibri"/>
          <w:sz w:val="22"/>
          <w:szCs w:val="22"/>
        </w:rPr>
        <w:t xml:space="preserve">- </w:t>
      </w:r>
      <w:r w:rsidR="00501456" w:rsidRPr="001D02C1">
        <w:rPr>
          <w:rFonts w:ascii="Calibri" w:hAnsi="Calibri"/>
          <w:sz w:val="22"/>
          <w:szCs w:val="22"/>
        </w:rPr>
        <w:t xml:space="preserve"> Održavanje nekretnina u funkcionalnom stanju</w:t>
      </w:r>
    </w:p>
    <w:p w:rsidR="00514EA7" w:rsidRPr="001D02C1" w:rsidRDefault="00501456" w:rsidP="001A0486">
      <w:pPr>
        <w:jc w:val="both"/>
        <w:rPr>
          <w:rFonts w:ascii="Calibri" w:hAnsi="Calibri"/>
          <w:sz w:val="22"/>
          <w:szCs w:val="22"/>
        </w:rPr>
      </w:pPr>
      <w:r w:rsidRPr="001D02C1">
        <w:rPr>
          <w:rFonts w:ascii="Calibri" w:hAnsi="Calibri"/>
          <w:sz w:val="22"/>
          <w:szCs w:val="22"/>
        </w:rPr>
        <w:t xml:space="preserve">-  </w:t>
      </w:r>
      <w:r w:rsidR="00514EA7" w:rsidRPr="001D02C1">
        <w:rPr>
          <w:rFonts w:ascii="Calibri" w:hAnsi="Calibri"/>
          <w:sz w:val="22"/>
          <w:szCs w:val="22"/>
        </w:rPr>
        <w:t>Kreiranje kvalitetne poslovne politike prema zakupcima,</w:t>
      </w:r>
    </w:p>
    <w:p w:rsidR="00514EA7" w:rsidRPr="001A0486" w:rsidRDefault="001A0486" w:rsidP="001A0486">
      <w:pPr>
        <w:spacing w:after="120"/>
        <w:jc w:val="both"/>
        <w:rPr>
          <w:rFonts w:ascii="Calibri" w:hAnsi="Calibri"/>
          <w:sz w:val="22"/>
          <w:szCs w:val="22"/>
        </w:rPr>
      </w:pPr>
      <w:r w:rsidRPr="001D02C1">
        <w:rPr>
          <w:rFonts w:ascii="Calibri" w:hAnsi="Calibri"/>
          <w:sz w:val="22"/>
          <w:szCs w:val="22"/>
        </w:rPr>
        <w:t xml:space="preserve">-  </w:t>
      </w:r>
      <w:r w:rsidR="00514EA7" w:rsidRPr="001D02C1">
        <w:rPr>
          <w:rFonts w:ascii="Calibri" w:hAnsi="Calibri"/>
          <w:sz w:val="22"/>
          <w:szCs w:val="22"/>
        </w:rPr>
        <w:t>Opti</w:t>
      </w:r>
      <w:r w:rsidR="000C2AD1" w:rsidRPr="001D02C1">
        <w:rPr>
          <w:rFonts w:ascii="Calibri" w:hAnsi="Calibri"/>
          <w:sz w:val="22"/>
          <w:szCs w:val="22"/>
        </w:rPr>
        <w:t>mi</w:t>
      </w:r>
      <w:r w:rsidR="00514EA7" w:rsidRPr="001D02C1">
        <w:rPr>
          <w:rFonts w:ascii="Calibri" w:hAnsi="Calibri"/>
          <w:sz w:val="22"/>
          <w:szCs w:val="22"/>
        </w:rPr>
        <w:t>zacija troškova poslovanja.</w:t>
      </w:r>
    </w:p>
    <w:p w:rsidR="00514EA7" w:rsidRPr="001D02C1" w:rsidRDefault="000C2AD1" w:rsidP="00DE452D">
      <w:pPr>
        <w:pStyle w:val="ListParagraph"/>
        <w:numPr>
          <w:ilvl w:val="0"/>
          <w:numId w:val="3"/>
        </w:numPr>
        <w:spacing w:after="120"/>
        <w:ind w:left="714" w:hanging="357"/>
        <w:jc w:val="both"/>
        <w:rPr>
          <w:rFonts w:ascii="Calibri" w:hAnsi="Calibri"/>
          <w:b/>
          <w:i/>
          <w:sz w:val="22"/>
          <w:szCs w:val="22"/>
        </w:rPr>
      </w:pPr>
      <w:r w:rsidRPr="001D02C1">
        <w:rPr>
          <w:rFonts w:ascii="Calibri" w:hAnsi="Calibri"/>
          <w:b/>
          <w:i/>
          <w:sz w:val="22"/>
          <w:szCs w:val="22"/>
        </w:rPr>
        <w:t>Strateške</w:t>
      </w:r>
      <w:r w:rsidR="00514EA7" w:rsidRPr="001D02C1">
        <w:rPr>
          <w:rFonts w:ascii="Calibri" w:hAnsi="Calibri"/>
          <w:b/>
          <w:i/>
          <w:sz w:val="22"/>
          <w:szCs w:val="22"/>
        </w:rPr>
        <w:t xml:space="preserve"> aktivnosti i program</w:t>
      </w:r>
      <w:r w:rsidRPr="001D02C1">
        <w:rPr>
          <w:rFonts w:ascii="Calibri" w:hAnsi="Calibri"/>
          <w:b/>
          <w:i/>
          <w:sz w:val="22"/>
          <w:szCs w:val="22"/>
        </w:rPr>
        <w:t>i Društva</w:t>
      </w:r>
      <w:r w:rsidR="00514EA7" w:rsidRPr="001D02C1">
        <w:rPr>
          <w:rFonts w:ascii="Calibri" w:hAnsi="Calibri"/>
          <w:b/>
          <w:i/>
          <w:sz w:val="22"/>
          <w:szCs w:val="22"/>
        </w:rPr>
        <w:t>:</w:t>
      </w:r>
    </w:p>
    <w:p w:rsidR="004626E5" w:rsidRPr="001D02C1" w:rsidRDefault="00514EA7" w:rsidP="001A0486">
      <w:pPr>
        <w:jc w:val="both"/>
        <w:rPr>
          <w:rFonts w:ascii="Calibri" w:hAnsi="Calibri" w:cs="Times New Roman"/>
          <w:sz w:val="22"/>
        </w:rPr>
      </w:pPr>
      <w:r w:rsidRPr="001D02C1">
        <w:rPr>
          <w:rFonts w:ascii="Calibri" w:hAnsi="Calibri" w:cs="Times New Roman"/>
          <w:sz w:val="22"/>
        </w:rPr>
        <w:t xml:space="preserve">Strateški ciljevi koje je </w:t>
      </w:r>
      <w:r w:rsidR="001A0486" w:rsidRPr="001D02C1">
        <w:rPr>
          <w:rFonts w:ascii="Calibri" w:hAnsi="Calibri" w:cs="Times New Roman"/>
          <w:sz w:val="22"/>
        </w:rPr>
        <w:t>D</w:t>
      </w:r>
      <w:r w:rsidRPr="001D02C1">
        <w:rPr>
          <w:rFonts w:ascii="Calibri" w:hAnsi="Calibri" w:cs="Times New Roman"/>
          <w:sz w:val="22"/>
        </w:rPr>
        <w:t>ruštvo postavilo definišu</w:t>
      </w:r>
      <w:r w:rsidR="004626E5" w:rsidRPr="001D02C1">
        <w:rPr>
          <w:rFonts w:ascii="Calibri" w:hAnsi="Calibri" w:cs="Times New Roman"/>
          <w:sz w:val="22"/>
        </w:rPr>
        <w:t>:</w:t>
      </w:r>
    </w:p>
    <w:p w:rsidR="00514EA7" w:rsidRPr="001D02C1" w:rsidRDefault="004626E5" w:rsidP="004626E5">
      <w:pPr>
        <w:jc w:val="both"/>
        <w:rPr>
          <w:rFonts w:ascii="Calibri" w:hAnsi="Calibri" w:cs="Times New Roman"/>
          <w:sz w:val="22"/>
        </w:rPr>
      </w:pPr>
      <w:r w:rsidRPr="001D02C1">
        <w:rPr>
          <w:rFonts w:ascii="Calibri" w:hAnsi="Calibri" w:cs="Times New Roman"/>
          <w:sz w:val="22"/>
        </w:rPr>
        <w:t xml:space="preserve">-   </w:t>
      </w:r>
      <w:r w:rsidR="009D0A0C" w:rsidRPr="001D02C1">
        <w:rPr>
          <w:rFonts w:ascii="Calibri" w:hAnsi="Calibri" w:cs="Times New Roman"/>
          <w:sz w:val="22"/>
        </w:rPr>
        <w:t>o</w:t>
      </w:r>
      <w:r w:rsidR="00501456" w:rsidRPr="001D02C1">
        <w:rPr>
          <w:rFonts w:ascii="Calibri" w:hAnsi="Calibri" w:cs="Times New Roman"/>
          <w:sz w:val="22"/>
        </w:rPr>
        <w:t xml:space="preserve">ptimalni </w:t>
      </w:r>
      <w:r w:rsidR="00514EA7" w:rsidRPr="001D02C1">
        <w:rPr>
          <w:rFonts w:ascii="Calibri" w:hAnsi="Calibri" w:cs="Times New Roman"/>
          <w:sz w:val="22"/>
        </w:rPr>
        <w:t xml:space="preserve">tržišni udio, </w:t>
      </w:r>
      <w:r w:rsidR="00501456" w:rsidRPr="001D02C1">
        <w:rPr>
          <w:rFonts w:ascii="Calibri" w:hAnsi="Calibri" w:cs="Times New Roman"/>
          <w:sz w:val="22"/>
        </w:rPr>
        <w:t>planira</w:t>
      </w:r>
      <w:r w:rsidR="00514EA7" w:rsidRPr="001D02C1">
        <w:rPr>
          <w:rFonts w:ascii="Calibri" w:hAnsi="Calibri" w:cs="Times New Roman"/>
          <w:sz w:val="22"/>
        </w:rPr>
        <w:t>nu stopu rasta prihoda i profita, očekivanu stopu povrata od investiranih finansijskih sredstava, ulaganja u unapređenje i modernizaciju poslovnih prostora, konkurentsku sposobnost preduzeća,</w:t>
      </w:r>
      <w:r w:rsidR="00C74BA3" w:rsidRPr="001D02C1">
        <w:rPr>
          <w:rFonts w:ascii="Calibri" w:hAnsi="Calibri" w:cs="Times New Roman"/>
          <w:sz w:val="22"/>
        </w:rPr>
        <w:t xml:space="preserve"> </w:t>
      </w:r>
      <w:r w:rsidR="00514EA7" w:rsidRPr="001D02C1">
        <w:rPr>
          <w:rFonts w:ascii="Calibri" w:hAnsi="Calibri" w:cs="Times New Roman"/>
          <w:sz w:val="22"/>
        </w:rPr>
        <w:t>stopu zadovol</w:t>
      </w:r>
      <w:r w:rsidR="00501456" w:rsidRPr="001D02C1">
        <w:rPr>
          <w:rFonts w:ascii="Calibri" w:hAnsi="Calibri" w:cs="Times New Roman"/>
          <w:sz w:val="22"/>
        </w:rPr>
        <w:t>jstva zakupaca i druga područja;</w:t>
      </w:r>
    </w:p>
    <w:p w:rsidR="00501456" w:rsidRPr="001D02C1" w:rsidRDefault="00501456" w:rsidP="001A0486">
      <w:pPr>
        <w:jc w:val="both"/>
        <w:rPr>
          <w:rFonts w:ascii="Calibri" w:hAnsi="Calibri" w:cs="Times New Roman"/>
          <w:sz w:val="22"/>
        </w:rPr>
      </w:pPr>
      <w:r w:rsidRPr="001D02C1">
        <w:rPr>
          <w:rFonts w:ascii="Calibri" w:hAnsi="Calibri" w:cs="Times New Roman"/>
          <w:sz w:val="22"/>
        </w:rPr>
        <w:t>-   Učešće na globalnom tržištu hartija od vrijednosti;</w:t>
      </w:r>
    </w:p>
    <w:p w:rsidR="00514EA7" w:rsidRPr="00900300" w:rsidRDefault="001A0486" w:rsidP="001A0486">
      <w:pPr>
        <w:rPr>
          <w:rFonts w:ascii="Calibri" w:hAnsi="Calibri" w:cs="Times New Roman"/>
          <w:sz w:val="22"/>
        </w:rPr>
      </w:pPr>
      <w:r w:rsidRPr="001D02C1">
        <w:rPr>
          <w:rFonts w:ascii="Calibri" w:hAnsi="Calibri" w:cs="Times New Roman"/>
          <w:sz w:val="22"/>
        </w:rPr>
        <w:t xml:space="preserve">-   </w:t>
      </w:r>
      <w:r w:rsidR="00514EA7" w:rsidRPr="001D02C1">
        <w:rPr>
          <w:rFonts w:ascii="Calibri" w:hAnsi="Calibri" w:cs="Times New Roman"/>
          <w:sz w:val="22"/>
        </w:rPr>
        <w:t xml:space="preserve">Održavanje  poslovanja u području pozitivnog rezultata i </w:t>
      </w:r>
      <w:r w:rsidR="00501456" w:rsidRPr="001D02C1">
        <w:rPr>
          <w:rFonts w:ascii="Calibri" w:hAnsi="Calibri" w:cs="Times New Roman"/>
          <w:sz w:val="22"/>
        </w:rPr>
        <w:t>uspostava dugotrajne održivosti;</w:t>
      </w:r>
    </w:p>
    <w:p w:rsidR="00606710" w:rsidRPr="00294660" w:rsidRDefault="00606710" w:rsidP="001A0486">
      <w:pPr>
        <w:rPr>
          <w:rFonts w:ascii="Calibri" w:hAnsi="Calibri" w:cs="Times New Roman"/>
          <w:sz w:val="22"/>
          <w:highlight w:val="yellow"/>
        </w:rPr>
      </w:pPr>
    </w:p>
    <w:p w:rsidR="007D71A4" w:rsidRPr="00606710" w:rsidRDefault="007D71A4" w:rsidP="00606710">
      <w:pPr>
        <w:numPr>
          <w:ilvl w:val="0"/>
          <w:numId w:val="5"/>
        </w:numPr>
        <w:spacing w:after="120"/>
        <w:jc w:val="both"/>
        <w:rPr>
          <w:rFonts w:ascii="Calibri" w:hAnsi="Calibri"/>
          <w:b/>
          <w:i/>
          <w:iCs/>
          <w:sz w:val="22"/>
          <w:szCs w:val="22"/>
          <w:u w:val="single"/>
        </w:rPr>
      </w:pPr>
      <w:r w:rsidRPr="00606710">
        <w:rPr>
          <w:rFonts w:ascii="Calibri" w:hAnsi="Calibri"/>
          <w:b/>
          <w:i/>
          <w:iCs/>
          <w:sz w:val="22"/>
          <w:szCs w:val="22"/>
          <w:u w:val="single"/>
        </w:rPr>
        <w:t xml:space="preserve">Analiza </w:t>
      </w:r>
      <w:r w:rsidR="00BD3FF4" w:rsidRPr="00606710">
        <w:rPr>
          <w:rFonts w:ascii="Calibri" w:hAnsi="Calibri"/>
          <w:b/>
          <w:i/>
          <w:sz w:val="22"/>
          <w:u w:val="single"/>
          <w:lang w:val="ru-RU"/>
        </w:rPr>
        <w:t xml:space="preserve">rezultata poslovanja i finansijskog položaja </w:t>
      </w:r>
      <w:r w:rsidR="00BD3FF4" w:rsidRPr="00606710">
        <w:rPr>
          <w:rFonts w:ascii="Calibri" w:hAnsi="Calibri"/>
          <w:b/>
          <w:i/>
          <w:sz w:val="22"/>
          <w:u w:val="single"/>
          <w:lang w:val="sr-Latn-BA"/>
        </w:rPr>
        <w:t>D</w:t>
      </w:r>
      <w:r w:rsidR="00BD3FF4" w:rsidRPr="00606710">
        <w:rPr>
          <w:rFonts w:ascii="Calibri" w:hAnsi="Calibri"/>
          <w:b/>
          <w:i/>
          <w:sz w:val="22"/>
          <w:u w:val="single"/>
          <w:lang w:val="ru-RU"/>
        </w:rPr>
        <w:t>ruštva</w:t>
      </w:r>
    </w:p>
    <w:p w:rsidR="007D71A4" w:rsidRDefault="007D71A4" w:rsidP="001A0486">
      <w:pPr>
        <w:spacing w:after="120"/>
        <w:jc w:val="both"/>
        <w:rPr>
          <w:rFonts w:ascii="Calibri" w:hAnsi="Calibri"/>
          <w:iCs/>
          <w:sz w:val="22"/>
          <w:szCs w:val="22"/>
        </w:rPr>
      </w:pPr>
      <w:r w:rsidRPr="001E3215">
        <w:rPr>
          <w:rFonts w:ascii="Calibri" w:hAnsi="Calibri"/>
          <w:iCs/>
          <w:sz w:val="22"/>
          <w:szCs w:val="22"/>
        </w:rPr>
        <w:t xml:space="preserve">U ovom izvještaju su date skraćene šeme bilansnih pozicija aktive i pasive, obzirom da je u skupštinskom materijalu kompletan set finansijskih izvještaja na propisanim obrascima i Izvještaj nezavisnog revizora </w:t>
      </w:r>
      <w:r w:rsidR="00BD3FF4">
        <w:rPr>
          <w:rFonts w:ascii="Calibri" w:hAnsi="Calibri"/>
          <w:iCs/>
          <w:sz w:val="22"/>
          <w:szCs w:val="22"/>
        </w:rPr>
        <w:t xml:space="preserve">o </w:t>
      </w:r>
      <w:r w:rsidR="00BD3FF4" w:rsidRPr="009D6209">
        <w:rPr>
          <w:rFonts w:ascii="Calibri" w:hAnsi="Calibri"/>
          <w:iCs/>
          <w:sz w:val="22"/>
          <w:szCs w:val="22"/>
        </w:rPr>
        <w:t xml:space="preserve">reviziji </w:t>
      </w:r>
      <w:r w:rsidRPr="009D6209">
        <w:rPr>
          <w:rFonts w:ascii="Calibri" w:hAnsi="Calibri"/>
          <w:iCs/>
          <w:sz w:val="22"/>
          <w:szCs w:val="22"/>
        </w:rPr>
        <w:t xml:space="preserve">finansijskih izvještaja </w:t>
      </w:r>
      <w:r w:rsidR="00BD3FF4" w:rsidRPr="009D6209">
        <w:rPr>
          <w:rFonts w:ascii="Calibri" w:hAnsi="Calibri"/>
          <w:iCs/>
          <w:sz w:val="22"/>
          <w:szCs w:val="22"/>
        </w:rPr>
        <w:t xml:space="preserve">Društva </w:t>
      </w:r>
      <w:r w:rsidRPr="009D6209">
        <w:rPr>
          <w:rFonts w:ascii="Calibri" w:hAnsi="Calibri"/>
          <w:iCs/>
          <w:sz w:val="22"/>
          <w:szCs w:val="22"/>
        </w:rPr>
        <w:t>za 20</w:t>
      </w:r>
      <w:r w:rsidR="00D904A0">
        <w:rPr>
          <w:rFonts w:ascii="Calibri" w:hAnsi="Calibri"/>
          <w:iCs/>
          <w:sz w:val="22"/>
          <w:szCs w:val="22"/>
        </w:rPr>
        <w:t>2</w:t>
      </w:r>
      <w:r w:rsidR="001D2209">
        <w:rPr>
          <w:rFonts w:ascii="Calibri" w:hAnsi="Calibri"/>
          <w:iCs/>
          <w:sz w:val="22"/>
          <w:szCs w:val="22"/>
        </w:rPr>
        <w:t>3</w:t>
      </w:r>
      <w:r w:rsidRPr="009D6209">
        <w:rPr>
          <w:rFonts w:ascii="Calibri" w:hAnsi="Calibri"/>
          <w:iCs/>
          <w:sz w:val="22"/>
          <w:szCs w:val="22"/>
        </w:rPr>
        <w:t xml:space="preserve">. </w:t>
      </w:r>
      <w:r w:rsidR="00EB09BD">
        <w:rPr>
          <w:rFonts w:ascii="Calibri" w:hAnsi="Calibri"/>
          <w:iCs/>
          <w:sz w:val="22"/>
          <w:szCs w:val="22"/>
        </w:rPr>
        <w:t>g</w:t>
      </w:r>
      <w:r w:rsidRPr="009D6209">
        <w:rPr>
          <w:rFonts w:ascii="Calibri" w:hAnsi="Calibri"/>
          <w:iCs/>
          <w:sz w:val="22"/>
          <w:szCs w:val="22"/>
        </w:rPr>
        <w:t>odinu</w:t>
      </w:r>
      <w:r w:rsidR="00631262">
        <w:rPr>
          <w:rFonts w:ascii="Calibri" w:hAnsi="Calibri"/>
          <w:iCs/>
          <w:sz w:val="22"/>
          <w:szCs w:val="22"/>
        </w:rPr>
        <w:t>.</w:t>
      </w:r>
    </w:p>
    <w:p w:rsidR="00566F39" w:rsidRPr="005409CF" w:rsidRDefault="008E483E" w:rsidP="001459CA">
      <w:pPr>
        <w:pStyle w:val="Heading2"/>
        <w:numPr>
          <w:ilvl w:val="0"/>
          <w:numId w:val="0"/>
        </w:numPr>
        <w:spacing w:before="120" w:after="120"/>
        <w:rPr>
          <w:rFonts w:ascii="Calibri" w:hAnsi="Calibri"/>
          <w:i/>
          <w:sz w:val="22"/>
          <w:szCs w:val="22"/>
          <w:u w:val="single"/>
        </w:rPr>
      </w:pPr>
      <w:r w:rsidRPr="005409CF">
        <w:rPr>
          <w:rFonts w:ascii="Calibri" w:hAnsi="Calibri"/>
          <w:i/>
          <w:sz w:val="22"/>
          <w:szCs w:val="22"/>
        </w:rPr>
        <w:t>3</w:t>
      </w:r>
      <w:r w:rsidR="00566F39" w:rsidRPr="005409CF">
        <w:rPr>
          <w:rFonts w:ascii="Calibri" w:hAnsi="Calibri"/>
          <w:i/>
          <w:sz w:val="22"/>
          <w:szCs w:val="22"/>
        </w:rPr>
        <w:t>.1. Analiza imovinskog položaja Društva</w:t>
      </w:r>
    </w:p>
    <w:p w:rsidR="00566F39" w:rsidRPr="001E3215" w:rsidRDefault="00566F39" w:rsidP="00566F39">
      <w:pPr>
        <w:spacing w:after="120"/>
        <w:rPr>
          <w:rFonts w:ascii="Calibri" w:hAnsi="Calibri"/>
          <w:sz w:val="22"/>
          <w:szCs w:val="22"/>
          <w:lang w:val="sr-Latn-BA"/>
        </w:rPr>
      </w:pPr>
      <w:r w:rsidRPr="001E3215">
        <w:rPr>
          <w:rFonts w:ascii="Calibri" w:hAnsi="Calibri"/>
          <w:sz w:val="22"/>
          <w:szCs w:val="22"/>
          <w:lang w:val="sr-Latn-BA"/>
        </w:rPr>
        <w:t>Bilansne pozicije aktive, u uporednim periodima, imaju sljedeće vrijednosti:</w:t>
      </w:r>
    </w:p>
    <w:tbl>
      <w:tblPr>
        <w:tblW w:w="9394" w:type="dxa"/>
        <w:jc w:val="center"/>
        <w:tblLook w:val="04A0" w:firstRow="1" w:lastRow="0" w:firstColumn="1" w:lastColumn="0" w:noHBand="0" w:noVBand="1"/>
      </w:tblPr>
      <w:tblGrid>
        <w:gridCol w:w="3795"/>
        <w:gridCol w:w="1220"/>
        <w:gridCol w:w="850"/>
        <w:gridCol w:w="1108"/>
        <w:gridCol w:w="783"/>
        <w:gridCol w:w="1638"/>
      </w:tblGrid>
      <w:tr w:rsidR="00E124D3" w:rsidRPr="000173D9" w:rsidTr="00E124D3">
        <w:trPr>
          <w:trHeight w:val="112"/>
          <w:jc w:val="center"/>
        </w:trPr>
        <w:tc>
          <w:tcPr>
            <w:tcW w:w="4098" w:type="dxa"/>
            <w:vMerge w:val="restart"/>
            <w:tcBorders>
              <w:top w:val="single" w:sz="4" w:space="0" w:color="auto"/>
              <w:left w:val="single" w:sz="4" w:space="0" w:color="auto"/>
              <w:right w:val="single" w:sz="4" w:space="0" w:color="auto"/>
            </w:tcBorders>
            <w:vAlign w:val="center"/>
            <w:hideMark/>
          </w:tcPr>
          <w:p w:rsidR="00E124D3" w:rsidRPr="000173D9" w:rsidRDefault="00E124D3" w:rsidP="00AE0816">
            <w:pPr>
              <w:jc w:val="center"/>
              <w:rPr>
                <w:rFonts w:ascii="Calibri" w:hAnsi="Calibri" w:cs="Calibri"/>
                <w:sz w:val="22"/>
                <w:szCs w:val="22"/>
              </w:rPr>
            </w:pPr>
            <w:r w:rsidRPr="000173D9">
              <w:rPr>
                <w:rFonts w:ascii="Calibri" w:hAnsi="Calibri" w:cs="Calibri"/>
                <w:sz w:val="22"/>
                <w:szCs w:val="22"/>
              </w:rPr>
              <w:t>P O Z I C I J A</w:t>
            </w:r>
          </w:p>
        </w:tc>
        <w:tc>
          <w:tcPr>
            <w:tcW w:w="1984" w:type="dxa"/>
            <w:gridSpan w:val="2"/>
            <w:tcBorders>
              <w:top w:val="single" w:sz="4" w:space="0" w:color="auto"/>
              <w:left w:val="nil"/>
              <w:bottom w:val="single" w:sz="4" w:space="0" w:color="auto"/>
              <w:right w:val="single" w:sz="4" w:space="0" w:color="auto"/>
            </w:tcBorders>
            <w:vAlign w:val="center"/>
          </w:tcPr>
          <w:p w:rsidR="00E124D3" w:rsidRPr="000173D9" w:rsidRDefault="00E124D3" w:rsidP="005F058A">
            <w:pPr>
              <w:jc w:val="center"/>
              <w:rPr>
                <w:rFonts w:ascii="Calibri" w:hAnsi="Calibri" w:cs="Calibri"/>
                <w:sz w:val="22"/>
                <w:szCs w:val="22"/>
              </w:rPr>
            </w:pPr>
            <w:r w:rsidRPr="000173D9">
              <w:rPr>
                <w:rFonts w:ascii="Calibri" w:hAnsi="Calibri" w:cs="Calibri"/>
                <w:sz w:val="22"/>
                <w:szCs w:val="22"/>
              </w:rPr>
              <w:t>2022.</w:t>
            </w:r>
          </w:p>
        </w:tc>
        <w:tc>
          <w:tcPr>
            <w:tcW w:w="1869" w:type="dxa"/>
            <w:gridSpan w:val="2"/>
            <w:tcBorders>
              <w:top w:val="single" w:sz="4" w:space="0" w:color="auto"/>
              <w:left w:val="nil"/>
              <w:bottom w:val="single" w:sz="4" w:space="0" w:color="auto"/>
              <w:right w:val="single" w:sz="4" w:space="0" w:color="auto"/>
            </w:tcBorders>
            <w:vAlign w:val="center"/>
          </w:tcPr>
          <w:p w:rsidR="00E124D3" w:rsidRPr="000173D9" w:rsidRDefault="00E124D3" w:rsidP="001F4FEC">
            <w:pPr>
              <w:jc w:val="center"/>
              <w:rPr>
                <w:rFonts w:ascii="Calibri" w:hAnsi="Calibri" w:cs="Calibri"/>
                <w:sz w:val="22"/>
                <w:szCs w:val="22"/>
              </w:rPr>
            </w:pPr>
            <w:r w:rsidRPr="000173D9">
              <w:rPr>
                <w:rFonts w:ascii="Calibri" w:hAnsi="Calibri" w:cs="Calibri"/>
                <w:sz w:val="22"/>
                <w:szCs w:val="22"/>
              </w:rPr>
              <w:t>2023.</w:t>
            </w:r>
          </w:p>
        </w:tc>
        <w:tc>
          <w:tcPr>
            <w:tcW w:w="1443" w:type="dxa"/>
            <w:tcBorders>
              <w:top w:val="single" w:sz="4" w:space="0" w:color="auto"/>
              <w:left w:val="nil"/>
              <w:bottom w:val="single" w:sz="4" w:space="0" w:color="auto"/>
              <w:right w:val="single" w:sz="4" w:space="0" w:color="auto"/>
            </w:tcBorders>
          </w:tcPr>
          <w:p w:rsidR="00E124D3" w:rsidRPr="000173D9" w:rsidRDefault="00E124D3" w:rsidP="001F4FEC">
            <w:pPr>
              <w:jc w:val="center"/>
              <w:rPr>
                <w:rFonts w:ascii="Calibri" w:hAnsi="Calibri" w:cs="Calibri"/>
                <w:sz w:val="22"/>
                <w:szCs w:val="22"/>
              </w:rPr>
            </w:pPr>
            <w:r w:rsidRPr="000173D9">
              <w:rPr>
                <w:rFonts w:ascii="Calibri" w:hAnsi="Calibri" w:cs="Calibri"/>
                <w:sz w:val="22"/>
                <w:szCs w:val="22"/>
              </w:rPr>
              <w:t>Inde</w:t>
            </w:r>
            <w:r w:rsidR="00AA2B30" w:rsidRPr="000173D9">
              <w:rPr>
                <w:rFonts w:ascii="Calibri" w:hAnsi="Calibri" w:cs="Calibri"/>
                <w:sz w:val="22"/>
                <w:szCs w:val="22"/>
              </w:rPr>
              <w:t>ks 2023/2022*100</w:t>
            </w:r>
          </w:p>
        </w:tc>
      </w:tr>
      <w:tr w:rsidR="00E124D3" w:rsidRPr="000173D9" w:rsidTr="00E124D3">
        <w:trPr>
          <w:trHeight w:val="112"/>
          <w:jc w:val="center"/>
        </w:trPr>
        <w:tc>
          <w:tcPr>
            <w:tcW w:w="4098" w:type="dxa"/>
            <w:vMerge/>
            <w:tcBorders>
              <w:left w:val="single" w:sz="4" w:space="0" w:color="auto"/>
              <w:bottom w:val="single" w:sz="4" w:space="0" w:color="auto"/>
              <w:right w:val="single" w:sz="4" w:space="0" w:color="auto"/>
            </w:tcBorders>
            <w:vAlign w:val="center"/>
            <w:hideMark/>
          </w:tcPr>
          <w:p w:rsidR="00E124D3" w:rsidRPr="000173D9" w:rsidRDefault="00E124D3" w:rsidP="00AE0816">
            <w:pPr>
              <w:jc w:val="center"/>
              <w:rPr>
                <w:rFonts w:ascii="Calibri" w:hAnsi="Calibri" w:cs="Calibri"/>
                <w:sz w:val="22"/>
                <w:szCs w:val="22"/>
              </w:rPr>
            </w:pPr>
          </w:p>
        </w:tc>
        <w:tc>
          <w:tcPr>
            <w:tcW w:w="1134" w:type="dxa"/>
            <w:tcBorders>
              <w:top w:val="single" w:sz="4" w:space="0" w:color="auto"/>
              <w:left w:val="nil"/>
              <w:bottom w:val="single" w:sz="4" w:space="0" w:color="auto"/>
              <w:right w:val="single" w:sz="4" w:space="0" w:color="auto"/>
            </w:tcBorders>
            <w:vAlign w:val="center"/>
          </w:tcPr>
          <w:p w:rsidR="00E124D3" w:rsidRPr="000173D9" w:rsidRDefault="00E124D3" w:rsidP="00AE0816">
            <w:pPr>
              <w:jc w:val="center"/>
              <w:rPr>
                <w:rFonts w:ascii="Calibri" w:hAnsi="Calibri" w:cs="Calibri"/>
                <w:sz w:val="22"/>
                <w:szCs w:val="22"/>
              </w:rPr>
            </w:pPr>
            <w:r w:rsidRPr="000173D9">
              <w:rPr>
                <w:rFonts w:ascii="Calibri" w:hAnsi="Calibri" w:cs="Calibri"/>
                <w:sz w:val="22"/>
                <w:szCs w:val="22"/>
              </w:rPr>
              <w:t>KM</w:t>
            </w:r>
          </w:p>
        </w:tc>
        <w:tc>
          <w:tcPr>
            <w:tcW w:w="850" w:type="dxa"/>
            <w:tcBorders>
              <w:top w:val="single" w:sz="4" w:space="0" w:color="auto"/>
              <w:left w:val="nil"/>
              <w:bottom w:val="single" w:sz="4" w:space="0" w:color="auto"/>
              <w:right w:val="single" w:sz="4" w:space="0" w:color="auto"/>
            </w:tcBorders>
            <w:vAlign w:val="center"/>
          </w:tcPr>
          <w:p w:rsidR="00E124D3" w:rsidRPr="000173D9" w:rsidRDefault="00E124D3" w:rsidP="00AE0816">
            <w:pPr>
              <w:jc w:val="center"/>
              <w:rPr>
                <w:rFonts w:ascii="Calibri" w:hAnsi="Calibri" w:cs="Calibri"/>
                <w:sz w:val="22"/>
                <w:szCs w:val="22"/>
              </w:rPr>
            </w:pPr>
            <w:r w:rsidRPr="000173D9">
              <w:rPr>
                <w:rFonts w:ascii="Calibri" w:hAnsi="Calibri" w:cs="Calibri"/>
                <w:sz w:val="22"/>
                <w:szCs w:val="22"/>
              </w:rPr>
              <w:t>%</w:t>
            </w:r>
          </w:p>
        </w:tc>
        <w:tc>
          <w:tcPr>
            <w:tcW w:w="1077" w:type="dxa"/>
            <w:tcBorders>
              <w:top w:val="single" w:sz="4" w:space="0" w:color="auto"/>
              <w:left w:val="nil"/>
              <w:bottom w:val="single" w:sz="4" w:space="0" w:color="auto"/>
              <w:right w:val="single" w:sz="4" w:space="0" w:color="auto"/>
            </w:tcBorders>
            <w:vAlign w:val="center"/>
          </w:tcPr>
          <w:p w:rsidR="00E124D3" w:rsidRPr="000173D9" w:rsidRDefault="00E124D3" w:rsidP="00AE0816">
            <w:pPr>
              <w:jc w:val="center"/>
              <w:rPr>
                <w:rFonts w:ascii="Calibri" w:hAnsi="Calibri" w:cs="Calibri"/>
                <w:sz w:val="22"/>
                <w:szCs w:val="22"/>
              </w:rPr>
            </w:pPr>
            <w:r w:rsidRPr="000173D9">
              <w:rPr>
                <w:rFonts w:ascii="Calibri" w:hAnsi="Calibri" w:cs="Calibri"/>
                <w:sz w:val="22"/>
                <w:szCs w:val="22"/>
              </w:rPr>
              <w:t>KM</w:t>
            </w:r>
          </w:p>
        </w:tc>
        <w:tc>
          <w:tcPr>
            <w:tcW w:w="792" w:type="dxa"/>
            <w:tcBorders>
              <w:top w:val="single" w:sz="4" w:space="0" w:color="auto"/>
              <w:left w:val="nil"/>
              <w:bottom w:val="single" w:sz="4" w:space="0" w:color="auto"/>
              <w:right w:val="single" w:sz="4" w:space="0" w:color="auto"/>
            </w:tcBorders>
            <w:vAlign w:val="center"/>
          </w:tcPr>
          <w:p w:rsidR="00E124D3" w:rsidRPr="000173D9" w:rsidRDefault="00E124D3" w:rsidP="00AE0816">
            <w:pPr>
              <w:jc w:val="center"/>
              <w:rPr>
                <w:rFonts w:ascii="Calibri" w:hAnsi="Calibri" w:cs="Calibri"/>
                <w:sz w:val="22"/>
                <w:szCs w:val="22"/>
              </w:rPr>
            </w:pPr>
            <w:r w:rsidRPr="000173D9">
              <w:rPr>
                <w:rFonts w:ascii="Calibri" w:hAnsi="Calibri" w:cs="Calibri"/>
                <w:sz w:val="22"/>
                <w:szCs w:val="22"/>
              </w:rPr>
              <w:t>%</w:t>
            </w:r>
          </w:p>
        </w:tc>
        <w:tc>
          <w:tcPr>
            <w:tcW w:w="1443" w:type="dxa"/>
            <w:tcBorders>
              <w:top w:val="single" w:sz="4" w:space="0" w:color="auto"/>
              <w:left w:val="nil"/>
              <w:bottom w:val="single" w:sz="4" w:space="0" w:color="auto"/>
              <w:right w:val="single" w:sz="4" w:space="0" w:color="auto"/>
            </w:tcBorders>
          </w:tcPr>
          <w:p w:rsidR="00E124D3" w:rsidRPr="000173D9" w:rsidRDefault="00E124D3" w:rsidP="00AE0816">
            <w:pPr>
              <w:jc w:val="center"/>
              <w:rPr>
                <w:rFonts w:ascii="Calibri" w:hAnsi="Calibri" w:cs="Calibri"/>
                <w:sz w:val="22"/>
                <w:szCs w:val="22"/>
              </w:rPr>
            </w:pPr>
          </w:p>
        </w:tc>
      </w:tr>
      <w:tr w:rsidR="00E124D3" w:rsidRPr="000173D9" w:rsidTr="00E124D3">
        <w:trPr>
          <w:jc w:val="center"/>
        </w:trPr>
        <w:tc>
          <w:tcPr>
            <w:tcW w:w="4098" w:type="dxa"/>
            <w:tcBorders>
              <w:top w:val="nil"/>
              <w:left w:val="single" w:sz="4" w:space="0" w:color="auto"/>
              <w:bottom w:val="single" w:sz="4" w:space="0" w:color="auto"/>
              <w:right w:val="single" w:sz="4" w:space="0" w:color="auto"/>
            </w:tcBorders>
            <w:shd w:val="clear" w:color="auto" w:fill="D6E3BC"/>
            <w:vAlign w:val="bottom"/>
            <w:hideMark/>
          </w:tcPr>
          <w:p w:rsidR="00E124D3" w:rsidRPr="000173D9" w:rsidRDefault="00E124D3" w:rsidP="00AE0816">
            <w:pPr>
              <w:rPr>
                <w:rFonts w:ascii="Calibri" w:hAnsi="Calibri" w:cs="Calibri"/>
                <w:bCs/>
                <w:sz w:val="22"/>
                <w:szCs w:val="22"/>
              </w:rPr>
            </w:pPr>
            <w:r w:rsidRPr="000173D9">
              <w:rPr>
                <w:rFonts w:ascii="Calibri" w:hAnsi="Calibri" w:cs="Calibri"/>
                <w:bCs/>
                <w:sz w:val="22"/>
                <w:szCs w:val="22"/>
              </w:rPr>
              <w:t>Stalna imovina</w:t>
            </w:r>
          </w:p>
        </w:tc>
        <w:tc>
          <w:tcPr>
            <w:tcW w:w="1134" w:type="dxa"/>
            <w:tcBorders>
              <w:top w:val="nil"/>
              <w:left w:val="nil"/>
              <w:bottom w:val="single" w:sz="4" w:space="0" w:color="auto"/>
              <w:right w:val="single" w:sz="4" w:space="0" w:color="auto"/>
            </w:tcBorders>
            <w:shd w:val="clear" w:color="auto" w:fill="D6E3BC"/>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8.641.197</w:t>
            </w:r>
          </w:p>
        </w:tc>
        <w:tc>
          <w:tcPr>
            <w:tcW w:w="850" w:type="dxa"/>
            <w:tcBorders>
              <w:top w:val="nil"/>
              <w:left w:val="nil"/>
              <w:bottom w:val="single" w:sz="4" w:space="0" w:color="auto"/>
              <w:right w:val="single" w:sz="4" w:space="0" w:color="auto"/>
            </w:tcBorders>
            <w:shd w:val="clear" w:color="auto" w:fill="D6E3BC"/>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81.09</w:t>
            </w:r>
          </w:p>
        </w:tc>
        <w:tc>
          <w:tcPr>
            <w:tcW w:w="1077" w:type="dxa"/>
            <w:tcBorders>
              <w:top w:val="nil"/>
              <w:left w:val="nil"/>
              <w:bottom w:val="single" w:sz="4" w:space="0" w:color="auto"/>
              <w:right w:val="single" w:sz="4" w:space="0" w:color="auto"/>
            </w:tcBorders>
            <w:shd w:val="clear" w:color="auto" w:fill="D6E3BC"/>
            <w:vAlign w:val="center"/>
          </w:tcPr>
          <w:p w:rsidR="00E124D3" w:rsidRPr="000173D9" w:rsidRDefault="00E124D3" w:rsidP="0014302E">
            <w:pPr>
              <w:jc w:val="right"/>
              <w:rPr>
                <w:rFonts w:ascii="Calibri" w:hAnsi="Calibri" w:cs="Calibri"/>
                <w:bCs/>
                <w:sz w:val="22"/>
                <w:szCs w:val="22"/>
              </w:rPr>
            </w:pPr>
            <w:r w:rsidRPr="000173D9">
              <w:rPr>
                <w:rFonts w:ascii="Calibri" w:hAnsi="Calibri" w:cs="Calibri"/>
                <w:bCs/>
                <w:sz w:val="22"/>
                <w:szCs w:val="22"/>
              </w:rPr>
              <w:t>4.559.039</w:t>
            </w:r>
          </w:p>
        </w:tc>
        <w:tc>
          <w:tcPr>
            <w:tcW w:w="792" w:type="dxa"/>
            <w:tcBorders>
              <w:top w:val="nil"/>
              <w:left w:val="nil"/>
              <w:bottom w:val="single" w:sz="4" w:space="0" w:color="auto"/>
              <w:right w:val="single" w:sz="4" w:space="0" w:color="auto"/>
            </w:tcBorders>
            <w:shd w:val="clear" w:color="auto" w:fill="D6E3BC"/>
            <w:vAlign w:val="center"/>
          </w:tcPr>
          <w:p w:rsidR="00E124D3" w:rsidRPr="000173D9" w:rsidRDefault="00E124D3" w:rsidP="00FC128B">
            <w:pPr>
              <w:jc w:val="right"/>
              <w:rPr>
                <w:rFonts w:ascii="Calibri" w:hAnsi="Calibri" w:cs="Calibri"/>
                <w:bCs/>
                <w:sz w:val="22"/>
                <w:szCs w:val="22"/>
              </w:rPr>
            </w:pPr>
            <w:r w:rsidRPr="000173D9">
              <w:rPr>
                <w:rFonts w:ascii="Calibri" w:hAnsi="Calibri" w:cs="Calibri"/>
                <w:bCs/>
                <w:sz w:val="22"/>
                <w:szCs w:val="22"/>
              </w:rPr>
              <w:t>57.05</w:t>
            </w:r>
          </w:p>
        </w:tc>
        <w:tc>
          <w:tcPr>
            <w:tcW w:w="1443" w:type="dxa"/>
            <w:tcBorders>
              <w:top w:val="nil"/>
              <w:left w:val="nil"/>
              <w:bottom w:val="single" w:sz="4" w:space="0" w:color="auto"/>
              <w:right w:val="single" w:sz="4" w:space="0" w:color="auto"/>
            </w:tcBorders>
            <w:shd w:val="clear" w:color="auto" w:fill="D6E3BC"/>
          </w:tcPr>
          <w:p w:rsidR="00E124D3" w:rsidRPr="000173D9" w:rsidRDefault="007E526C" w:rsidP="00FC128B">
            <w:pPr>
              <w:jc w:val="right"/>
              <w:rPr>
                <w:rFonts w:ascii="Calibri" w:hAnsi="Calibri" w:cs="Calibri"/>
                <w:bCs/>
                <w:sz w:val="22"/>
                <w:szCs w:val="22"/>
              </w:rPr>
            </w:pPr>
            <w:r w:rsidRPr="000173D9">
              <w:rPr>
                <w:rFonts w:ascii="Calibri" w:hAnsi="Calibri" w:cs="Calibri"/>
                <w:bCs/>
                <w:sz w:val="22"/>
                <w:szCs w:val="22"/>
              </w:rPr>
              <w:t>52,75</w:t>
            </w:r>
          </w:p>
        </w:tc>
      </w:tr>
      <w:tr w:rsidR="00E124D3" w:rsidRPr="000173D9" w:rsidTr="00E124D3">
        <w:trPr>
          <w:jc w:val="center"/>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E124D3" w:rsidRPr="000173D9" w:rsidRDefault="00E124D3" w:rsidP="00AE0816">
            <w:pPr>
              <w:rPr>
                <w:rFonts w:ascii="Calibri" w:hAnsi="Calibri" w:cs="Calibri"/>
                <w:sz w:val="22"/>
                <w:szCs w:val="22"/>
              </w:rPr>
            </w:pPr>
            <w:r w:rsidRPr="000173D9">
              <w:rPr>
                <w:rFonts w:ascii="Calibri" w:hAnsi="Calibri" w:cs="Calibri"/>
                <w:sz w:val="22"/>
                <w:szCs w:val="22"/>
              </w:rPr>
              <w:t>Nematerijalna ulaganja</w:t>
            </w:r>
          </w:p>
        </w:tc>
        <w:tc>
          <w:tcPr>
            <w:tcW w:w="1134" w:type="dxa"/>
            <w:tcBorders>
              <w:top w:val="nil"/>
              <w:left w:val="nil"/>
              <w:bottom w:val="single" w:sz="4" w:space="0" w:color="auto"/>
              <w:right w:val="single" w:sz="4" w:space="0" w:color="auto"/>
            </w:tcBorders>
            <w:shd w:val="clear" w:color="auto" w:fill="auto"/>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0</w:t>
            </w:r>
          </w:p>
        </w:tc>
        <w:tc>
          <w:tcPr>
            <w:tcW w:w="850" w:type="dxa"/>
            <w:tcBorders>
              <w:top w:val="nil"/>
              <w:left w:val="nil"/>
              <w:bottom w:val="single" w:sz="4" w:space="0" w:color="auto"/>
              <w:right w:val="single" w:sz="4" w:space="0" w:color="auto"/>
            </w:tcBorders>
            <w:shd w:val="clear" w:color="auto" w:fill="auto"/>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0</w:t>
            </w:r>
          </w:p>
        </w:tc>
        <w:tc>
          <w:tcPr>
            <w:tcW w:w="1077" w:type="dxa"/>
            <w:tcBorders>
              <w:top w:val="nil"/>
              <w:left w:val="nil"/>
              <w:bottom w:val="single" w:sz="4" w:space="0" w:color="auto"/>
              <w:right w:val="single" w:sz="4" w:space="0" w:color="auto"/>
            </w:tcBorders>
            <w:shd w:val="clear" w:color="auto" w:fill="auto"/>
            <w:vAlign w:val="center"/>
          </w:tcPr>
          <w:p w:rsidR="00E124D3" w:rsidRPr="000173D9" w:rsidRDefault="00E124D3">
            <w:pPr>
              <w:jc w:val="right"/>
              <w:rPr>
                <w:rFonts w:ascii="Calibri" w:hAnsi="Calibri" w:cs="Calibri"/>
                <w:bCs/>
                <w:sz w:val="22"/>
                <w:szCs w:val="22"/>
              </w:rPr>
            </w:pPr>
            <w:r w:rsidRPr="000173D9">
              <w:rPr>
                <w:rFonts w:ascii="Calibri" w:hAnsi="Calibri" w:cs="Calibri"/>
                <w:bCs/>
                <w:sz w:val="22"/>
                <w:szCs w:val="22"/>
              </w:rPr>
              <w:t>0</w:t>
            </w:r>
          </w:p>
        </w:tc>
        <w:tc>
          <w:tcPr>
            <w:tcW w:w="792" w:type="dxa"/>
            <w:tcBorders>
              <w:top w:val="nil"/>
              <w:left w:val="nil"/>
              <w:bottom w:val="single" w:sz="4" w:space="0" w:color="auto"/>
              <w:right w:val="single" w:sz="4" w:space="0" w:color="auto"/>
            </w:tcBorders>
            <w:shd w:val="clear" w:color="auto" w:fill="auto"/>
            <w:vAlign w:val="center"/>
          </w:tcPr>
          <w:p w:rsidR="00E124D3" w:rsidRPr="000173D9" w:rsidRDefault="00E124D3" w:rsidP="00FC128B">
            <w:pPr>
              <w:jc w:val="right"/>
              <w:rPr>
                <w:rFonts w:ascii="Calibri" w:hAnsi="Calibri" w:cs="Calibri"/>
                <w:bCs/>
                <w:sz w:val="22"/>
                <w:szCs w:val="22"/>
              </w:rPr>
            </w:pPr>
            <w:r w:rsidRPr="000173D9">
              <w:rPr>
                <w:rFonts w:ascii="Calibri" w:hAnsi="Calibri" w:cs="Calibri"/>
                <w:bCs/>
                <w:sz w:val="22"/>
                <w:szCs w:val="22"/>
              </w:rPr>
              <w:t>0</w:t>
            </w:r>
          </w:p>
        </w:tc>
        <w:tc>
          <w:tcPr>
            <w:tcW w:w="1443" w:type="dxa"/>
            <w:tcBorders>
              <w:top w:val="nil"/>
              <w:left w:val="nil"/>
              <w:bottom w:val="single" w:sz="4" w:space="0" w:color="auto"/>
              <w:right w:val="single" w:sz="4" w:space="0" w:color="auto"/>
            </w:tcBorders>
          </w:tcPr>
          <w:p w:rsidR="00E124D3" w:rsidRPr="000173D9" w:rsidRDefault="007E526C" w:rsidP="00FC128B">
            <w:pPr>
              <w:jc w:val="right"/>
              <w:rPr>
                <w:rFonts w:ascii="Calibri" w:hAnsi="Calibri" w:cs="Calibri"/>
                <w:bCs/>
                <w:sz w:val="22"/>
                <w:szCs w:val="22"/>
              </w:rPr>
            </w:pPr>
            <w:r w:rsidRPr="000173D9">
              <w:rPr>
                <w:rFonts w:ascii="Calibri" w:hAnsi="Calibri" w:cs="Calibri"/>
                <w:bCs/>
                <w:sz w:val="22"/>
                <w:szCs w:val="22"/>
              </w:rPr>
              <w:t>0</w:t>
            </w:r>
          </w:p>
        </w:tc>
      </w:tr>
      <w:tr w:rsidR="00E124D3" w:rsidRPr="000173D9" w:rsidTr="00E124D3">
        <w:trPr>
          <w:jc w:val="center"/>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E124D3" w:rsidRPr="000173D9" w:rsidRDefault="00E124D3" w:rsidP="00AE0816">
            <w:pPr>
              <w:rPr>
                <w:rFonts w:ascii="Calibri" w:hAnsi="Calibri" w:cs="Calibri"/>
                <w:sz w:val="22"/>
                <w:szCs w:val="22"/>
              </w:rPr>
            </w:pPr>
            <w:r w:rsidRPr="000173D9">
              <w:rPr>
                <w:rFonts w:ascii="Calibri" w:hAnsi="Calibri" w:cs="Calibri"/>
                <w:sz w:val="22"/>
                <w:szCs w:val="22"/>
              </w:rPr>
              <w:t>Nekretnine, postrojenja, oprema i investicione nekretnine</w:t>
            </w:r>
          </w:p>
        </w:tc>
        <w:tc>
          <w:tcPr>
            <w:tcW w:w="1134" w:type="dxa"/>
            <w:tcBorders>
              <w:top w:val="nil"/>
              <w:left w:val="nil"/>
              <w:bottom w:val="single" w:sz="4" w:space="0" w:color="auto"/>
              <w:right w:val="single" w:sz="4" w:space="0" w:color="auto"/>
            </w:tcBorders>
            <w:shd w:val="clear" w:color="auto" w:fill="auto"/>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1.612</w:t>
            </w:r>
          </w:p>
        </w:tc>
        <w:tc>
          <w:tcPr>
            <w:tcW w:w="850" w:type="dxa"/>
            <w:tcBorders>
              <w:top w:val="nil"/>
              <w:left w:val="nil"/>
              <w:bottom w:val="single" w:sz="4" w:space="0" w:color="auto"/>
              <w:right w:val="single" w:sz="4" w:space="0" w:color="auto"/>
            </w:tcBorders>
            <w:shd w:val="clear" w:color="auto" w:fill="auto"/>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0,015</w:t>
            </w:r>
          </w:p>
        </w:tc>
        <w:tc>
          <w:tcPr>
            <w:tcW w:w="1077" w:type="dxa"/>
            <w:tcBorders>
              <w:top w:val="nil"/>
              <w:left w:val="nil"/>
              <w:bottom w:val="single" w:sz="4" w:space="0" w:color="auto"/>
              <w:right w:val="single" w:sz="4" w:space="0" w:color="auto"/>
            </w:tcBorders>
            <w:shd w:val="clear" w:color="auto" w:fill="auto"/>
            <w:vAlign w:val="center"/>
          </w:tcPr>
          <w:p w:rsidR="00E124D3" w:rsidRPr="000173D9" w:rsidRDefault="00E124D3">
            <w:pPr>
              <w:jc w:val="right"/>
              <w:rPr>
                <w:rFonts w:ascii="Calibri" w:hAnsi="Calibri" w:cs="Calibri"/>
                <w:bCs/>
                <w:sz w:val="22"/>
                <w:szCs w:val="22"/>
              </w:rPr>
            </w:pPr>
            <w:r w:rsidRPr="000173D9">
              <w:rPr>
                <w:rFonts w:ascii="Calibri" w:hAnsi="Calibri" w:cs="Calibri"/>
                <w:bCs/>
                <w:sz w:val="22"/>
                <w:szCs w:val="22"/>
              </w:rPr>
              <w:t>1.161</w:t>
            </w:r>
          </w:p>
        </w:tc>
        <w:tc>
          <w:tcPr>
            <w:tcW w:w="792" w:type="dxa"/>
            <w:tcBorders>
              <w:top w:val="nil"/>
              <w:left w:val="nil"/>
              <w:bottom w:val="single" w:sz="4" w:space="0" w:color="auto"/>
              <w:right w:val="single" w:sz="4" w:space="0" w:color="auto"/>
            </w:tcBorders>
            <w:shd w:val="clear" w:color="auto" w:fill="auto"/>
            <w:vAlign w:val="center"/>
          </w:tcPr>
          <w:p w:rsidR="00E124D3" w:rsidRPr="000173D9" w:rsidRDefault="00E124D3" w:rsidP="00FC128B">
            <w:pPr>
              <w:jc w:val="right"/>
              <w:rPr>
                <w:rFonts w:ascii="Calibri" w:hAnsi="Calibri" w:cs="Calibri"/>
                <w:bCs/>
                <w:sz w:val="22"/>
                <w:szCs w:val="22"/>
              </w:rPr>
            </w:pPr>
            <w:r w:rsidRPr="000173D9">
              <w:rPr>
                <w:rFonts w:ascii="Calibri" w:hAnsi="Calibri" w:cs="Calibri"/>
                <w:bCs/>
                <w:sz w:val="22"/>
                <w:szCs w:val="22"/>
              </w:rPr>
              <w:t>0,01</w:t>
            </w:r>
          </w:p>
        </w:tc>
        <w:tc>
          <w:tcPr>
            <w:tcW w:w="1443" w:type="dxa"/>
            <w:tcBorders>
              <w:top w:val="nil"/>
              <w:left w:val="nil"/>
              <w:bottom w:val="single" w:sz="4" w:space="0" w:color="auto"/>
              <w:right w:val="single" w:sz="4" w:space="0" w:color="auto"/>
            </w:tcBorders>
          </w:tcPr>
          <w:p w:rsidR="00E124D3" w:rsidRPr="000173D9" w:rsidRDefault="00E124D3" w:rsidP="00FC128B">
            <w:pPr>
              <w:jc w:val="right"/>
              <w:rPr>
                <w:rFonts w:ascii="Calibri" w:hAnsi="Calibri" w:cs="Calibri"/>
                <w:bCs/>
                <w:sz w:val="22"/>
                <w:szCs w:val="22"/>
              </w:rPr>
            </w:pPr>
          </w:p>
          <w:p w:rsidR="007E526C" w:rsidRPr="000173D9" w:rsidRDefault="007E526C" w:rsidP="00FC128B">
            <w:pPr>
              <w:jc w:val="right"/>
              <w:rPr>
                <w:rFonts w:ascii="Calibri" w:hAnsi="Calibri" w:cs="Calibri"/>
                <w:bCs/>
                <w:sz w:val="22"/>
                <w:szCs w:val="22"/>
              </w:rPr>
            </w:pPr>
            <w:r w:rsidRPr="000173D9">
              <w:rPr>
                <w:rFonts w:ascii="Calibri" w:hAnsi="Calibri" w:cs="Calibri"/>
                <w:bCs/>
                <w:sz w:val="22"/>
                <w:szCs w:val="22"/>
              </w:rPr>
              <w:t>72,02</w:t>
            </w:r>
          </w:p>
        </w:tc>
      </w:tr>
      <w:tr w:rsidR="00E124D3" w:rsidRPr="000173D9" w:rsidTr="00E124D3">
        <w:trPr>
          <w:jc w:val="center"/>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E124D3" w:rsidRPr="000173D9" w:rsidRDefault="00E124D3" w:rsidP="00AE0816">
            <w:pPr>
              <w:rPr>
                <w:rFonts w:ascii="Calibri" w:hAnsi="Calibri" w:cs="Calibri"/>
                <w:sz w:val="22"/>
                <w:szCs w:val="22"/>
              </w:rPr>
            </w:pPr>
            <w:r w:rsidRPr="000173D9">
              <w:rPr>
                <w:rFonts w:ascii="Calibri" w:hAnsi="Calibri" w:cs="Calibri"/>
                <w:sz w:val="22"/>
                <w:szCs w:val="22"/>
              </w:rPr>
              <w:t>Dugoročni finansijski plasmani</w:t>
            </w:r>
          </w:p>
        </w:tc>
        <w:tc>
          <w:tcPr>
            <w:tcW w:w="1134" w:type="dxa"/>
            <w:tcBorders>
              <w:top w:val="nil"/>
              <w:left w:val="nil"/>
              <w:bottom w:val="single" w:sz="4" w:space="0" w:color="auto"/>
              <w:right w:val="single" w:sz="4" w:space="0" w:color="auto"/>
            </w:tcBorders>
            <w:shd w:val="clear" w:color="auto" w:fill="auto"/>
            <w:noWrap/>
            <w:vAlign w:val="center"/>
          </w:tcPr>
          <w:p w:rsidR="00E124D3" w:rsidRPr="000173D9" w:rsidRDefault="00E124D3" w:rsidP="00236B9C">
            <w:pPr>
              <w:jc w:val="right"/>
              <w:rPr>
                <w:rFonts w:ascii="Calibri" w:hAnsi="Calibri" w:cs="Calibri"/>
                <w:bCs/>
                <w:sz w:val="22"/>
                <w:szCs w:val="22"/>
              </w:rPr>
            </w:pPr>
            <w:r w:rsidRPr="000173D9">
              <w:rPr>
                <w:rFonts w:ascii="Calibri" w:hAnsi="Calibri" w:cs="Calibri"/>
                <w:bCs/>
                <w:sz w:val="22"/>
                <w:szCs w:val="22"/>
              </w:rPr>
              <w:t>8.639.585</w:t>
            </w:r>
          </w:p>
        </w:tc>
        <w:tc>
          <w:tcPr>
            <w:tcW w:w="850" w:type="dxa"/>
            <w:tcBorders>
              <w:top w:val="nil"/>
              <w:left w:val="nil"/>
              <w:bottom w:val="single" w:sz="4" w:space="0" w:color="auto"/>
              <w:right w:val="single" w:sz="4" w:space="0" w:color="auto"/>
            </w:tcBorders>
            <w:shd w:val="clear" w:color="auto" w:fill="auto"/>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81.08</w:t>
            </w:r>
          </w:p>
        </w:tc>
        <w:tc>
          <w:tcPr>
            <w:tcW w:w="1077" w:type="dxa"/>
            <w:tcBorders>
              <w:top w:val="nil"/>
              <w:left w:val="nil"/>
              <w:bottom w:val="single" w:sz="4" w:space="0" w:color="auto"/>
              <w:right w:val="single" w:sz="4" w:space="0" w:color="auto"/>
            </w:tcBorders>
            <w:shd w:val="clear" w:color="auto" w:fill="auto"/>
            <w:vAlign w:val="center"/>
          </w:tcPr>
          <w:p w:rsidR="00E124D3" w:rsidRPr="000173D9" w:rsidRDefault="00E124D3" w:rsidP="009160B3">
            <w:pPr>
              <w:jc w:val="center"/>
              <w:rPr>
                <w:rFonts w:ascii="Calibri" w:hAnsi="Calibri" w:cs="Calibri"/>
                <w:bCs/>
                <w:sz w:val="22"/>
                <w:szCs w:val="22"/>
              </w:rPr>
            </w:pPr>
            <w:r w:rsidRPr="000173D9">
              <w:rPr>
                <w:rFonts w:ascii="Calibri" w:hAnsi="Calibri" w:cs="Calibri"/>
                <w:bCs/>
                <w:sz w:val="22"/>
                <w:szCs w:val="22"/>
              </w:rPr>
              <w:t>4.557.878</w:t>
            </w:r>
          </w:p>
        </w:tc>
        <w:tc>
          <w:tcPr>
            <w:tcW w:w="792" w:type="dxa"/>
            <w:tcBorders>
              <w:top w:val="nil"/>
              <w:left w:val="nil"/>
              <w:bottom w:val="single" w:sz="4" w:space="0" w:color="auto"/>
              <w:right w:val="single" w:sz="4" w:space="0" w:color="auto"/>
            </w:tcBorders>
            <w:shd w:val="clear" w:color="auto" w:fill="auto"/>
            <w:vAlign w:val="center"/>
          </w:tcPr>
          <w:p w:rsidR="00E124D3" w:rsidRPr="000173D9" w:rsidRDefault="00E124D3" w:rsidP="00FC128B">
            <w:pPr>
              <w:jc w:val="right"/>
              <w:rPr>
                <w:rFonts w:ascii="Calibri" w:hAnsi="Calibri" w:cs="Calibri"/>
                <w:bCs/>
                <w:sz w:val="22"/>
                <w:szCs w:val="22"/>
              </w:rPr>
            </w:pPr>
            <w:r w:rsidRPr="000173D9">
              <w:rPr>
                <w:rFonts w:ascii="Calibri" w:hAnsi="Calibri" w:cs="Calibri"/>
                <w:bCs/>
                <w:sz w:val="22"/>
                <w:szCs w:val="22"/>
              </w:rPr>
              <w:t>57.03</w:t>
            </w:r>
          </w:p>
        </w:tc>
        <w:tc>
          <w:tcPr>
            <w:tcW w:w="1443" w:type="dxa"/>
            <w:tcBorders>
              <w:top w:val="nil"/>
              <w:left w:val="nil"/>
              <w:bottom w:val="single" w:sz="4" w:space="0" w:color="auto"/>
              <w:right w:val="single" w:sz="4" w:space="0" w:color="auto"/>
            </w:tcBorders>
          </w:tcPr>
          <w:p w:rsidR="00E124D3" w:rsidRPr="000173D9" w:rsidRDefault="009A4B43" w:rsidP="00FC128B">
            <w:pPr>
              <w:jc w:val="right"/>
              <w:rPr>
                <w:rFonts w:ascii="Calibri" w:hAnsi="Calibri" w:cs="Calibri"/>
                <w:bCs/>
                <w:sz w:val="22"/>
                <w:szCs w:val="22"/>
              </w:rPr>
            </w:pPr>
            <w:r w:rsidRPr="000173D9">
              <w:rPr>
                <w:rFonts w:ascii="Calibri" w:hAnsi="Calibri" w:cs="Calibri"/>
                <w:bCs/>
                <w:sz w:val="22"/>
                <w:szCs w:val="22"/>
              </w:rPr>
              <w:t>52,75</w:t>
            </w:r>
          </w:p>
        </w:tc>
      </w:tr>
      <w:tr w:rsidR="00E124D3" w:rsidRPr="000173D9" w:rsidTr="00E124D3">
        <w:trPr>
          <w:jc w:val="center"/>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E124D3" w:rsidRPr="000173D9" w:rsidRDefault="00E124D3" w:rsidP="00AE0816">
            <w:pPr>
              <w:rPr>
                <w:rFonts w:ascii="Calibri" w:hAnsi="Calibri" w:cs="Calibri"/>
                <w:sz w:val="22"/>
                <w:szCs w:val="22"/>
              </w:rPr>
            </w:pPr>
            <w:r w:rsidRPr="000173D9">
              <w:rPr>
                <w:rFonts w:ascii="Calibri" w:hAnsi="Calibri" w:cs="Calibri"/>
                <w:sz w:val="22"/>
                <w:szCs w:val="22"/>
              </w:rPr>
              <w:t>Odložena poreska sredstva</w:t>
            </w:r>
          </w:p>
        </w:tc>
        <w:tc>
          <w:tcPr>
            <w:tcW w:w="1134" w:type="dxa"/>
            <w:tcBorders>
              <w:top w:val="nil"/>
              <w:left w:val="nil"/>
              <w:bottom w:val="single" w:sz="4" w:space="0" w:color="auto"/>
              <w:right w:val="single" w:sz="4" w:space="0" w:color="auto"/>
            </w:tcBorders>
            <w:shd w:val="clear" w:color="auto" w:fill="auto"/>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0</w:t>
            </w:r>
          </w:p>
        </w:tc>
        <w:tc>
          <w:tcPr>
            <w:tcW w:w="850" w:type="dxa"/>
            <w:tcBorders>
              <w:top w:val="nil"/>
              <w:left w:val="nil"/>
              <w:bottom w:val="single" w:sz="4" w:space="0" w:color="auto"/>
              <w:right w:val="single" w:sz="4" w:space="0" w:color="auto"/>
            </w:tcBorders>
            <w:shd w:val="clear" w:color="auto" w:fill="auto"/>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0</w:t>
            </w:r>
          </w:p>
        </w:tc>
        <w:tc>
          <w:tcPr>
            <w:tcW w:w="1077" w:type="dxa"/>
            <w:tcBorders>
              <w:top w:val="nil"/>
              <w:left w:val="nil"/>
              <w:bottom w:val="single" w:sz="4" w:space="0" w:color="auto"/>
              <w:right w:val="single" w:sz="4" w:space="0" w:color="auto"/>
            </w:tcBorders>
            <w:shd w:val="clear" w:color="auto" w:fill="auto"/>
            <w:vAlign w:val="center"/>
          </w:tcPr>
          <w:p w:rsidR="00E124D3" w:rsidRPr="000173D9" w:rsidRDefault="00E124D3">
            <w:pPr>
              <w:jc w:val="right"/>
              <w:rPr>
                <w:rFonts w:ascii="Calibri" w:hAnsi="Calibri" w:cs="Calibri"/>
                <w:bCs/>
                <w:sz w:val="22"/>
                <w:szCs w:val="22"/>
              </w:rPr>
            </w:pPr>
            <w:r w:rsidRPr="000173D9">
              <w:rPr>
                <w:rFonts w:ascii="Calibri" w:hAnsi="Calibri" w:cs="Calibri"/>
                <w:bCs/>
                <w:sz w:val="22"/>
                <w:szCs w:val="22"/>
              </w:rPr>
              <w:t>0</w:t>
            </w:r>
          </w:p>
        </w:tc>
        <w:tc>
          <w:tcPr>
            <w:tcW w:w="792" w:type="dxa"/>
            <w:tcBorders>
              <w:top w:val="nil"/>
              <w:left w:val="nil"/>
              <w:bottom w:val="single" w:sz="4" w:space="0" w:color="auto"/>
              <w:right w:val="single" w:sz="4" w:space="0" w:color="auto"/>
            </w:tcBorders>
            <w:shd w:val="clear" w:color="auto" w:fill="auto"/>
            <w:vAlign w:val="center"/>
          </w:tcPr>
          <w:p w:rsidR="00E124D3" w:rsidRPr="000173D9" w:rsidRDefault="00E124D3" w:rsidP="00FC128B">
            <w:pPr>
              <w:jc w:val="right"/>
              <w:rPr>
                <w:rFonts w:ascii="Calibri" w:hAnsi="Calibri" w:cs="Calibri"/>
                <w:bCs/>
                <w:sz w:val="22"/>
                <w:szCs w:val="22"/>
              </w:rPr>
            </w:pPr>
            <w:r w:rsidRPr="000173D9">
              <w:rPr>
                <w:rFonts w:ascii="Calibri" w:hAnsi="Calibri" w:cs="Calibri"/>
                <w:bCs/>
                <w:sz w:val="22"/>
                <w:szCs w:val="22"/>
              </w:rPr>
              <w:t>0</w:t>
            </w:r>
          </w:p>
        </w:tc>
        <w:tc>
          <w:tcPr>
            <w:tcW w:w="1443" w:type="dxa"/>
            <w:tcBorders>
              <w:top w:val="nil"/>
              <w:left w:val="nil"/>
              <w:bottom w:val="single" w:sz="4" w:space="0" w:color="auto"/>
              <w:right w:val="single" w:sz="4" w:space="0" w:color="auto"/>
            </w:tcBorders>
          </w:tcPr>
          <w:p w:rsidR="00E124D3" w:rsidRPr="000173D9" w:rsidRDefault="00521E0F" w:rsidP="00FC128B">
            <w:pPr>
              <w:jc w:val="right"/>
              <w:rPr>
                <w:rFonts w:ascii="Calibri" w:hAnsi="Calibri" w:cs="Calibri"/>
                <w:bCs/>
                <w:sz w:val="22"/>
                <w:szCs w:val="22"/>
              </w:rPr>
            </w:pPr>
            <w:r w:rsidRPr="000173D9">
              <w:rPr>
                <w:rFonts w:ascii="Calibri" w:hAnsi="Calibri" w:cs="Calibri"/>
                <w:bCs/>
                <w:sz w:val="22"/>
                <w:szCs w:val="22"/>
              </w:rPr>
              <w:t>0</w:t>
            </w:r>
          </w:p>
        </w:tc>
      </w:tr>
      <w:tr w:rsidR="00E124D3" w:rsidRPr="000173D9" w:rsidTr="00E124D3">
        <w:trPr>
          <w:jc w:val="center"/>
        </w:trPr>
        <w:tc>
          <w:tcPr>
            <w:tcW w:w="4098" w:type="dxa"/>
            <w:tcBorders>
              <w:top w:val="nil"/>
              <w:left w:val="single" w:sz="4" w:space="0" w:color="auto"/>
              <w:bottom w:val="single" w:sz="4" w:space="0" w:color="auto"/>
              <w:right w:val="single" w:sz="4" w:space="0" w:color="auto"/>
            </w:tcBorders>
            <w:shd w:val="clear" w:color="auto" w:fill="D6E3BC"/>
            <w:vAlign w:val="bottom"/>
            <w:hideMark/>
          </w:tcPr>
          <w:p w:rsidR="00E124D3" w:rsidRPr="000173D9" w:rsidRDefault="00E124D3" w:rsidP="00AE0816">
            <w:pPr>
              <w:rPr>
                <w:rFonts w:ascii="Calibri" w:hAnsi="Calibri" w:cs="Calibri"/>
                <w:bCs/>
                <w:sz w:val="22"/>
                <w:szCs w:val="22"/>
              </w:rPr>
            </w:pPr>
            <w:r w:rsidRPr="000173D9">
              <w:rPr>
                <w:rFonts w:ascii="Calibri" w:hAnsi="Calibri" w:cs="Calibri"/>
                <w:bCs/>
                <w:sz w:val="22"/>
                <w:szCs w:val="22"/>
              </w:rPr>
              <w:lastRenderedPageBreak/>
              <w:t>Tekuća imovina</w:t>
            </w:r>
          </w:p>
        </w:tc>
        <w:tc>
          <w:tcPr>
            <w:tcW w:w="1134" w:type="dxa"/>
            <w:tcBorders>
              <w:top w:val="nil"/>
              <w:left w:val="nil"/>
              <w:bottom w:val="single" w:sz="4" w:space="0" w:color="auto"/>
              <w:right w:val="single" w:sz="4" w:space="0" w:color="auto"/>
            </w:tcBorders>
            <w:shd w:val="clear" w:color="auto" w:fill="D6E3BC"/>
            <w:noWrap/>
            <w:vAlign w:val="center"/>
          </w:tcPr>
          <w:p w:rsidR="00E124D3" w:rsidRPr="000173D9" w:rsidRDefault="00E124D3" w:rsidP="00236B9C">
            <w:pPr>
              <w:jc w:val="right"/>
              <w:rPr>
                <w:rFonts w:ascii="Calibri" w:hAnsi="Calibri" w:cs="Calibri"/>
                <w:bCs/>
                <w:sz w:val="22"/>
                <w:szCs w:val="22"/>
              </w:rPr>
            </w:pPr>
            <w:r w:rsidRPr="000173D9">
              <w:rPr>
                <w:rFonts w:ascii="Calibri" w:hAnsi="Calibri" w:cs="Calibri"/>
                <w:bCs/>
                <w:sz w:val="22"/>
                <w:szCs w:val="22"/>
              </w:rPr>
              <w:t>2.014.268</w:t>
            </w:r>
          </w:p>
        </w:tc>
        <w:tc>
          <w:tcPr>
            <w:tcW w:w="850" w:type="dxa"/>
            <w:tcBorders>
              <w:top w:val="nil"/>
              <w:left w:val="nil"/>
              <w:bottom w:val="single" w:sz="4" w:space="0" w:color="auto"/>
              <w:right w:val="single" w:sz="4" w:space="0" w:color="auto"/>
            </w:tcBorders>
            <w:shd w:val="clear" w:color="auto" w:fill="D6E3BC"/>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18.90</w:t>
            </w:r>
          </w:p>
        </w:tc>
        <w:tc>
          <w:tcPr>
            <w:tcW w:w="1077" w:type="dxa"/>
            <w:tcBorders>
              <w:top w:val="nil"/>
              <w:left w:val="nil"/>
              <w:bottom w:val="single" w:sz="4" w:space="0" w:color="auto"/>
              <w:right w:val="single" w:sz="4" w:space="0" w:color="auto"/>
            </w:tcBorders>
            <w:shd w:val="clear" w:color="auto" w:fill="D6E3BC"/>
            <w:vAlign w:val="center"/>
          </w:tcPr>
          <w:p w:rsidR="00E124D3" w:rsidRPr="000173D9" w:rsidRDefault="00E124D3" w:rsidP="00BB6780">
            <w:pPr>
              <w:jc w:val="right"/>
              <w:rPr>
                <w:rFonts w:ascii="Calibri" w:hAnsi="Calibri" w:cs="Calibri"/>
                <w:bCs/>
                <w:sz w:val="22"/>
                <w:szCs w:val="22"/>
              </w:rPr>
            </w:pPr>
            <w:r w:rsidRPr="000173D9">
              <w:rPr>
                <w:rFonts w:ascii="Calibri" w:hAnsi="Calibri" w:cs="Calibri"/>
                <w:bCs/>
                <w:sz w:val="22"/>
                <w:szCs w:val="22"/>
              </w:rPr>
              <w:t>3.431.737</w:t>
            </w:r>
          </w:p>
        </w:tc>
        <w:tc>
          <w:tcPr>
            <w:tcW w:w="792" w:type="dxa"/>
            <w:tcBorders>
              <w:top w:val="nil"/>
              <w:left w:val="nil"/>
              <w:bottom w:val="single" w:sz="4" w:space="0" w:color="auto"/>
              <w:right w:val="single" w:sz="4" w:space="0" w:color="auto"/>
            </w:tcBorders>
            <w:shd w:val="clear" w:color="auto" w:fill="D6E3BC"/>
            <w:vAlign w:val="center"/>
          </w:tcPr>
          <w:p w:rsidR="00E124D3" w:rsidRPr="000173D9" w:rsidRDefault="00E124D3" w:rsidP="00FC128B">
            <w:pPr>
              <w:jc w:val="right"/>
              <w:rPr>
                <w:rFonts w:ascii="Calibri" w:hAnsi="Calibri" w:cs="Calibri"/>
                <w:bCs/>
                <w:sz w:val="22"/>
                <w:szCs w:val="22"/>
              </w:rPr>
            </w:pPr>
            <w:r w:rsidRPr="000173D9">
              <w:rPr>
                <w:rFonts w:ascii="Calibri" w:hAnsi="Calibri" w:cs="Calibri"/>
                <w:bCs/>
                <w:sz w:val="22"/>
                <w:szCs w:val="22"/>
              </w:rPr>
              <w:t>42,94</w:t>
            </w:r>
          </w:p>
        </w:tc>
        <w:tc>
          <w:tcPr>
            <w:tcW w:w="1443" w:type="dxa"/>
            <w:tcBorders>
              <w:top w:val="nil"/>
              <w:left w:val="nil"/>
              <w:bottom w:val="single" w:sz="4" w:space="0" w:color="auto"/>
              <w:right w:val="single" w:sz="4" w:space="0" w:color="auto"/>
            </w:tcBorders>
            <w:shd w:val="clear" w:color="auto" w:fill="D6E3BC"/>
          </w:tcPr>
          <w:p w:rsidR="00E124D3" w:rsidRPr="000173D9" w:rsidRDefault="00612AF0" w:rsidP="00FC128B">
            <w:pPr>
              <w:jc w:val="right"/>
              <w:rPr>
                <w:rFonts w:ascii="Calibri" w:hAnsi="Calibri" w:cs="Calibri"/>
                <w:bCs/>
                <w:sz w:val="22"/>
                <w:szCs w:val="22"/>
              </w:rPr>
            </w:pPr>
            <w:r w:rsidRPr="000173D9">
              <w:rPr>
                <w:rFonts w:ascii="Calibri" w:hAnsi="Calibri" w:cs="Calibri"/>
                <w:bCs/>
                <w:sz w:val="22"/>
                <w:szCs w:val="22"/>
              </w:rPr>
              <w:t>170,37</w:t>
            </w:r>
          </w:p>
        </w:tc>
      </w:tr>
      <w:tr w:rsidR="00E124D3" w:rsidRPr="000173D9" w:rsidTr="00E124D3">
        <w:trPr>
          <w:jc w:val="center"/>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E124D3" w:rsidRPr="000173D9" w:rsidRDefault="00E124D3" w:rsidP="00AE0816">
            <w:pPr>
              <w:rPr>
                <w:rFonts w:ascii="Calibri" w:hAnsi="Calibri" w:cs="Calibri"/>
                <w:bCs/>
                <w:sz w:val="22"/>
                <w:szCs w:val="22"/>
              </w:rPr>
            </w:pPr>
            <w:r w:rsidRPr="000173D9">
              <w:rPr>
                <w:rFonts w:ascii="Calibri" w:hAnsi="Calibri" w:cs="Calibri"/>
                <w:bCs/>
                <w:sz w:val="22"/>
                <w:szCs w:val="22"/>
              </w:rPr>
              <w:t>Poslovna aktiva</w:t>
            </w:r>
          </w:p>
        </w:tc>
        <w:tc>
          <w:tcPr>
            <w:tcW w:w="1134" w:type="dxa"/>
            <w:tcBorders>
              <w:top w:val="nil"/>
              <w:left w:val="nil"/>
              <w:bottom w:val="single" w:sz="4" w:space="0" w:color="auto"/>
              <w:right w:val="single" w:sz="4" w:space="0" w:color="auto"/>
            </w:tcBorders>
            <w:shd w:val="clear" w:color="auto" w:fill="auto"/>
            <w:noWrap/>
            <w:vAlign w:val="center"/>
          </w:tcPr>
          <w:p w:rsidR="00E124D3" w:rsidRPr="000173D9" w:rsidRDefault="00E124D3" w:rsidP="00236B9C">
            <w:pPr>
              <w:jc w:val="right"/>
              <w:rPr>
                <w:rFonts w:ascii="Calibri" w:hAnsi="Calibri" w:cs="Calibri"/>
                <w:bCs/>
                <w:sz w:val="22"/>
                <w:szCs w:val="22"/>
              </w:rPr>
            </w:pPr>
            <w:r w:rsidRPr="000173D9">
              <w:rPr>
                <w:rFonts w:ascii="Calibri" w:hAnsi="Calibri" w:cs="Calibri"/>
                <w:bCs/>
                <w:sz w:val="22"/>
                <w:szCs w:val="22"/>
              </w:rPr>
              <w:t>10.655.465</w:t>
            </w:r>
          </w:p>
        </w:tc>
        <w:tc>
          <w:tcPr>
            <w:tcW w:w="850" w:type="dxa"/>
            <w:tcBorders>
              <w:top w:val="nil"/>
              <w:left w:val="nil"/>
              <w:bottom w:val="single" w:sz="4" w:space="0" w:color="auto"/>
              <w:right w:val="single" w:sz="4" w:space="0" w:color="auto"/>
            </w:tcBorders>
            <w:shd w:val="clear" w:color="auto" w:fill="auto"/>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100</w:t>
            </w:r>
          </w:p>
        </w:tc>
        <w:tc>
          <w:tcPr>
            <w:tcW w:w="1077" w:type="dxa"/>
            <w:tcBorders>
              <w:top w:val="nil"/>
              <w:left w:val="nil"/>
              <w:bottom w:val="single" w:sz="4" w:space="0" w:color="auto"/>
              <w:right w:val="single" w:sz="4" w:space="0" w:color="auto"/>
            </w:tcBorders>
            <w:shd w:val="clear" w:color="auto" w:fill="auto"/>
            <w:vAlign w:val="center"/>
          </w:tcPr>
          <w:p w:rsidR="00E124D3" w:rsidRPr="000173D9" w:rsidRDefault="00E124D3" w:rsidP="00BB6780">
            <w:pPr>
              <w:jc w:val="right"/>
              <w:rPr>
                <w:rFonts w:ascii="Calibri" w:hAnsi="Calibri" w:cs="Calibri"/>
                <w:bCs/>
                <w:sz w:val="22"/>
                <w:szCs w:val="22"/>
              </w:rPr>
            </w:pPr>
            <w:r w:rsidRPr="000173D9">
              <w:rPr>
                <w:rFonts w:ascii="Calibri" w:hAnsi="Calibri" w:cs="Calibri"/>
                <w:bCs/>
                <w:sz w:val="22"/>
                <w:szCs w:val="22"/>
              </w:rPr>
              <w:t>7.990.776</w:t>
            </w:r>
          </w:p>
        </w:tc>
        <w:tc>
          <w:tcPr>
            <w:tcW w:w="792" w:type="dxa"/>
            <w:tcBorders>
              <w:top w:val="nil"/>
              <w:left w:val="nil"/>
              <w:bottom w:val="single" w:sz="4" w:space="0" w:color="auto"/>
              <w:right w:val="single" w:sz="4" w:space="0" w:color="auto"/>
            </w:tcBorders>
            <w:shd w:val="clear" w:color="auto" w:fill="auto"/>
            <w:vAlign w:val="center"/>
          </w:tcPr>
          <w:p w:rsidR="00E124D3" w:rsidRPr="000173D9" w:rsidRDefault="00E124D3" w:rsidP="00FC128B">
            <w:pPr>
              <w:jc w:val="right"/>
              <w:rPr>
                <w:rFonts w:ascii="Calibri" w:hAnsi="Calibri" w:cs="Calibri"/>
                <w:bCs/>
                <w:sz w:val="22"/>
                <w:szCs w:val="22"/>
              </w:rPr>
            </w:pPr>
            <w:r w:rsidRPr="000173D9">
              <w:rPr>
                <w:rFonts w:ascii="Calibri" w:hAnsi="Calibri" w:cs="Calibri"/>
                <w:bCs/>
                <w:sz w:val="22"/>
                <w:szCs w:val="22"/>
              </w:rPr>
              <w:t>100</w:t>
            </w:r>
          </w:p>
        </w:tc>
        <w:tc>
          <w:tcPr>
            <w:tcW w:w="1443" w:type="dxa"/>
            <w:tcBorders>
              <w:top w:val="nil"/>
              <w:left w:val="nil"/>
              <w:bottom w:val="single" w:sz="4" w:space="0" w:color="auto"/>
              <w:right w:val="single" w:sz="4" w:space="0" w:color="auto"/>
            </w:tcBorders>
          </w:tcPr>
          <w:p w:rsidR="00E124D3" w:rsidRPr="000173D9" w:rsidRDefault="009716F6" w:rsidP="00FC128B">
            <w:pPr>
              <w:jc w:val="right"/>
              <w:rPr>
                <w:rFonts w:ascii="Calibri" w:hAnsi="Calibri" w:cs="Calibri"/>
                <w:bCs/>
                <w:sz w:val="22"/>
                <w:szCs w:val="22"/>
              </w:rPr>
            </w:pPr>
            <w:r w:rsidRPr="000173D9">
              <w:rPr>
                <w:rFonts w:ascii="Calibri" w:hAnsi="Calibri" w:cs="Calibri"/>
                <w:bCs/>
                <w:sz w:val="22"/>
                <w:szCs w:val="22"/>
              </w:rPr>
              <w:t>7</w:t>
            </w:r>
            <w:r w:rsidR="005877AE" w:rsidRPr="000173D9">
              <w:rPr>
                <w:rFonts w:ascii="Calibri" w:hAnsi="Calibri" w:cs="Calibri"/>
                <w:bCs/>
                <w:sz w:val="22"/>
                <w:szCs w:val="22"/>
              </w:rPr>
              <w:t>5</w:t>
            </w:r>
            <w:r w:rsidRPr="000173D9">
              <w:rPr>
                <w:rFonts w:ascii="Calibri" w:hAnsi="Calibri" w:cs="Calibri"/>
                <w:bCs/>
                <w:sz w:val="22"/>
                <w:szCs w:val="22"/>
              </w:rPr>
              <w:t>,</w:t>
            </w:r>
            <w:r w:rsidR="005877AE" w:rsidRPr="000173D9">
              <w:rPr>
                <w:rFonts w:ascii="Calibri" w:hAnsi="Calibri" w:cs="Calibri"/>
                <w:bCs/>
                <w:sz w:val="22"/>
                <w:szCs w:val="22"/>
              </w:rPr>
              <w:t>00</w:t>
            </w:r>
          </w:p>
        </w:tc>
      </w:tr>
      <w:tr w:rsidR="00E124D3" w:rsidRPr="000173D9" w:rsidTr="00E124D3">
        <w:trPr>
          <w:jc w:val="center"/>
        </w:trPr>
        <w:tc>
          <w:tcPr>
            <w:tcW w:w="4098" w:type="dxa"/>
            <w:tcBorders>
              <w:top w:val="nil"/>
              <w:left w:val="single" w:sz="4" w:space="0" w:color="auto"/>
              <w:bottom w:val="single" w:sz="4" w:space="0" w:color="auto"/>
              <w:right w:val="single" w:sz="4" w:space="0" w:color="auto"/>
            </w:tcBorders>
            <w:shd w:val="clear" w:color="auto" w:fill="D6E3BC"/>
            <w:vAlign w:val="bottom"/>
            <w:hideMark/>
          </w:tcPr>
          <w:p w:rsidR="00E124D3" w:rsidRPr="000173D9" w:rsidRDefault="00E124D3" w:rsidP="00AE0816">
            <w:pPr>
              <w:rPr>
                <w:rFonts w:ascii="Calibri" w:hAnsi="Calibri" w:cs="Calibri"/>
                <w:bCs/>
                <w:sz w:val="22"/>
                <w:szCs w:val="22"/>
              </w:rPr>
            </w:pPr>
            <w:r w:rsidRPr="000173D9">
              <w:rPr>
                <w:rFonts w:ascii="Calibri" w:hAnsi="Calibri" w:cs="Calibri"/>
                <w:bCs/>
                <w:sz w:val="22"/>
                <w:szCs w:val="22"/>
              </w:rPr>
              <w:t>Ukupna aktiva</w:t>
            </w:r>
          </w:p>
        </w:tc>
        <w:tc>
          <w:tcPr>
            <w:tcW w:w="1134" w:type="dxa"/>
            <w:tcBorders>
              <w:top w:val="nil"/>
              <w:left w:val="nil"/>
              <w:bottom w:val="single" w:sz="4" w:space="0" w:color="auto"/>
              <w:right w:val="single" w:sz="4" w:space="0" w:color="auto"/>
            </w:tcBorders>
            <w:shd w:val="clear" w:color="auto" w:fill="D6E3BC"/>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10.655.465</w:t>
            </w:r>
          </w:p>
        </w:tc>
        <w:tc>
          <w:tcPr>
            <w:tcW w:w="850" w:type="dxa"/>
            <w:tcBorders>
              <w:top w:val="nil"/>
              <w:left w:val="nil"/>
              <w:bottom w:val="single" w:sz="4" w:space="0" w:color="auto"/>
              <w:right w:val="single" w:sz="4" w:space="0" w:color="auto"/>
            </w:tcBorders>
            <w:shd w:val="clear" w:color="auto" w:fill="D6E3BC"/>
            <w:noWrap/>
            <w:vAlign w:val="center"/>
          </w:tcPr>
          <w:p w:rsidR="00E124D3" w:rsidRPr="000173D9" w:rsidRDefault="00E124D3" w:rsidP="004C1F46">
            <w:pPr>
              <w:jc w:val="right"/>
              <w:rPr>
                <w:rFonts w:ascii="Calibri" w:hAnsi="Calibri" w:cs="Calibri"/>
                <w:bCs/>
                <w:sz w:val="22"/>
                <w:szCs w:val="22"/>
              </w:rPr>
            </w:pPr>
            <w:r w:rsidRPr="000173D9">
              <w:rPr>
                <w:rFonts w:ascii="Calibri" w:hAnsi="Calibri" w:cs="Calibri"/>
                <w:bCs/>
                <w:sz w:val="22"/>
                <w:szCs w:val="22"/>
              </w:rPr>
              <w:t>100</w:t>
            </w:r>
          </w:p>
        </w:tc>
        <w:tc>
          <w:tcPr>
            <w:tcW w:w="1077" w:type="dxa"/>
            <w:tcBorders>
              <w:top w:val="nil"/>
              <w:left w:val="nil"/>
              <w:bottom w:val="single" w:sz="4" w:space="0" w:color="auto"/>
              <w:right w:val="single" w:sz="4" w:space="0" w:color="auto"/>
            </w:tcBorders>
            <w:shd w:val="clear" w:color="auto" w:fill="D6E3BC"/>
            <w:vAlign w:val="center"/>
          </w:tcPr>
          <w:p w:rsidR="00E124D3" w:rsidRPr="000173D9" w:rsidRDefault="00E124D3" w:rsidP="009160B3">
            <w:pPr>
              <w:jc w:val="right"/>
              <w:rPr>
                <w:rFonts w:ascii="Calibri" w:hAnsi="Calibri" w:cs="Calibri"/>
                <w:bCs/>
                <w:sz w:val="22"/>
                <w:szCs w:val="22"/>
              </w:rPr>
            </w:pPr>
            <w:r w:rsidRPr="000173D9">
              <w:rPr>
                <w:rFonts w:ascii="Calibri" w:hAnsi="Calibri" w:cs="Calibri"/>
                <w:bCs/>
                <w:sz w:val="22"/>
                <w:szCs w:val="22"/>
              </w:rPr>
              <w:t>7.990.776</w:t>
            </w:r>
          </w:p>
        </w:tc>
        <w:tc>
          <w:tcPr>
            <w:tcW w:w="792" w:type="dxa"/>
            <w:tcBorders>
              <w:top w:val="nil"/>
              <w:left w:val="nil"/>
              <w:bottom w:val="single" w:sz="4" w:space="0" w:color="auto"/>
              <w:right w:val="single" w:sz="4" w:space="0" w:color="auto"/>
            </w:tcBorders>
            <w:shd w:val="clear" w:color="auto" w:fill="D6E3BC"/>
            <w:vAlign w:val="center"/>
          </w:tcPr>
          <w:p w:rsidR="00E124D3" w:rsidRPr="000173D9" w:rsidRDefault="00E124D3">
            <w:pPr>
              <w:jc w:val="right"/>
              <w:rPr>
                <w:rFonts w:ascii="Calibri" w:hAnsi="Calibri" w:cs="Calibri"/>
                <w:bCs/>
                <w:sz w:val="22"/>
                <w:szCs w:val="22"/>
              </w:rPr>
            </w:pPr>
            <w:r w:rsidRPr="000173D9">
              <w:rPr>
                <w:rFonts w:ascii="Calibri" w:hAnsi="Calibri" w:cs="Calibri"/>
                <w:bCs/>
                <w:sz w:val="22"/>
                <w:szCs w:val="22"/>
              </w:rPr>
              <w:t>100</w:t>
            </w:r>
          </w:p>
        </w:tc>
        <w:tc>
          <w:tcPr>
            <w:tcW w:w="1443" w:type="dxa"/>
            <w:tcBorders>
              <w:top w:val="nil"/>
              <w:left w:val="nil"/>
              <w:bottom w:val="single" w:sz="4" w:space="0" w:color="auto"/>
              <w:right w:val="single" w:sz="4" w:space="0" w:color="auto"/>
            </w:tcBorders>
            <w:shd w:val="clear" w:color="auto" w:fill="D6E3BC"/>
          </w:tcPr>
          <w:p w:rsidR="00E124D3" w:rsidRPr="000173D9" w:rsidRDefault="00FC128B">
            <w:pPr>
              <w:jc w:val="right"/>
              <w:rPr>
                <w:rFonts w:ascii="Calibri" w:hAnsi="Calibri" w:cs="Calibri"/>
                <w:bCs/>
                <w:sz w:val="22"/>
                <w:szCs w:val="22"/>
              </w:rPr>
            </w:pPr>
            <w:r w:rsidRPr="000173D9">
              <w:rPr>
                <w:rFonts w:ascii="Calibri" w:hAnsi="Calibri" w:cs="Calibri"/>
                <w:bCs/>
                <w:sz w:val="22"/>
                <w:szCs w:val="22"/>
              </w:rPr>
              <w:t>74,99</w:t>
            </w:r>
          </w:p>
        </w:tc>
      </w:tr>
    </w:tbl>
    <w:p w:rsidR="00566F39" w:rsidRDefault="00566F39" w:rsidP="00566F39">
      <w:pPr>
        <w:spacing w:before="120" w:after="120"/>
        <w:jc w:val="both"/>
        <w:rPr>
          <w:rFonts w:ascii="Calibri" w:hAnsi="Calibri"/>
          <w:sz w:val="22"/>
          <w:szCs w:val="22"/>
          <w:lang w:val="sr-Latn-BA"/>
        </w:rPr>
      </w:pPr>
      <w:r w:rsidRPr="005217DB">
        <w:rPr>
          <w:rFonts w:ascii="Calibri" w:hAnsi="Calibri"/>
          <w:sz w:val="22"/>
          <w:szCs w:val="22"/>
          <w:lang w:val="sr-Latn-BA"/>
        </w:rPr>
        <w:t xml:space="preserve"> </w:t>
      </w:r>
      <w:r w:rsidR="00C74BA3" w:rsidRPr="00EF28C1">
        <w:rPr>
          <w:rFonts w:ascii="Calibri" w:hAnsi="Calibri"/>
          <w:sz w:val="22"/>
          <w:szCs w:val="22"/>
          <w:lang w:val="sr-Latn-BA"/>
        </w:rPr>
        <w:t>Stalna imovina</w:t>
      </w:r>
      <w:r w:rsidR="00061781" w:rsidRPr="00EF28C1">
        <w:rPr>
          <w:rFonts w:ascii="Calibri" w:hAnsi="Calibri"/>
          <w:sz w:val="22"/>
          <w:szCs w:val="22"/>
          <w:lang w:val="sr-Latn-BA"/>
        </w:rPr>
        <w:t xml:space="preserve"> s</w:t>
      </w:r>
      <w:r w:rsidR="00751FCC" w:rsidRPr="00EF28C1">
        <w:rPr>
          <w:rFonts w:ascii="Calibri" w:hAnsi="Calibri"/>
          <w:sz w:val="22"/>
          <w:szCs w:val="22"/>
          <w:lang w:val="sr-Latn-BA"/>
        </w:rPr>
        <w:t>e smanjila</w:t>
      </w:r>
      <w:r w:rsidR="00C74BA3" w:rsidRPr="00EF28C1">
        <w:rPr>
          <w:rFonts w:ascii="Calibri" w:hAnsi="Calibri"/>
          <w:sz w:val="22"/>
          <w:szCs w:val="22"/>
          <w:lang w:val="sr-Latn-BA"/>
        </w:rPr>
        <w:t xml:space="preserve"> u odnosu na 2</w:t>
      </w:r>
      <w:r w:rsidR="00405078" w:rsidRPr="00EF28C1">
        <w:rPr>
          <w:rFonts w:ascii="Calibri" w:hAnsi="Calibri"/>
          <w:sz w:val="22"/>
          <w:szCs w:val="22"/>
          <w:lang w:val="sr-Latn-BA"/>
        </w:rPr>
        <w:t>02</w:t>
      </w:r>
      <w:r w:rsidR="001459CA" w:rsidRPr="00EF28C1">
        <w:rPr>
          <w:rFonts w:ascii="Calibri" w:hAnsi="Calibri"/>
          <w:sz w:val="22"/>
          <w:szCs w:val="22"/>
          <w:lang w:val="sr-Latn-BA"/>
        </w:rPr>
        <w:t>2</w:t>
      </w:r>
      <w:r w:rsidR="00C74BA3" w:rsidRPr="00EF28C1">
        <w:rPr>
          <w:rFonts w:ascii="Calibri" w:hAnsi="Calibri"/>
          <w:sz w:val="22"/>
          <w:szCs w:val="22"/>
          <w:lang w:val="sr-Latn-BA"/>
        </w:rPr>
        <w:t xml:space="preserve">. </w:t>
      </w:r>
      <w:r w:rsidR="00CB4DD8" w:rsidRPr="00EF28C1">
        <w:rPr>
          <w:rFonts w:ascii="Calibri" w:hAnsi="Calibri"/>
          <w:sz w:val="22"/>
          <w:szCs w:val="22"/>
          <w:lang w:val="sr-Latn-BA"/>
        </w:rPr>
        <w:t>g</w:t>
      </w:r>
      <w:r w:rsidR="00C74BA3" w:rsidRPr="00EF28C1">
        <w:rPr>
          <w:rFonts w:ascii="Calibri" w:hAnsi="Calibri"/>
          <w:sz w:val="22"/>
          <w:szCs w:val="22"/>
          <w:lang w:val="sr-Latn-BA"/>
        </w:rPr>
        <w:t>odinu</w:t>
      </w:r>
      <w:r w:rsidR="001459CA" w:rsidRPr="00EF28C1">
        <w:rPr>
          <w:rFonts w:ascii="Calibri" w:hAnsi="Calibri"/>
          <w:sz w:val="22"/>
          <w:szCs w:val="22"/>
          <w:lang w:val="sr-Latn-BA"/>
        </w:rPr>
        <w:t xml:space="preserve"> za </w:t>
      </w:r>
      <w:r w:rsidR="005877AE">
        <w:rPr>
          <w:rFonts w:ascii="Calibri" w:hAnsi="Calibri"/>
          <w:sz w:val="22"/>
          <w:szCs w:val="22"/>
          <w:lang w:val="sr-Latn-BA"/>
        </w:rPr>
        <w:t>47,</w:t>
      </w:r>
      <w:r w:rsidR="00EF28C1" w:rsidRPr="00EF28C1">
        <w:rPr>
          <w:rFonts w:ascii="Calibri" w:hAnsi="Calibri"/>
          <w:sz w:val="22"/>
          <w:szCs w:val="22"/>
          <w:lang w:val="sr-Latn-BA"/>
        </w:rPr>
        <w:t>2</w:t>
      </w:r>
      <w:r w:rsidR="001459CA" w:rsidRPr="00EF28C1">
        <w:rPr>
          <w:rFonts w:ascii="Calibri" w:hAnsi="Calibri"/>
          <w:sz w:val="22"/>
          <w:szCs w:val="22"/>
          <w:lang w:val="sr-Latn-BA"/>
        </w:rPr>
        <w:t>5%</w:t>
      </w:r>
      <w:r w:rsidR="00061781" w:rsidRPr="00EF28C1">
        <w:rPr>
          <w:rFonts w:ascii="Calibri" w:hAnsi="Calibri"/>
          <w:sz w:val="22"/>
          <w:szCs w:val="22"/>
          <w:lang w:val="sr-Latn-BA"/>
        </w:rPr>
        <w:t>.</w:t>
      </w:r>
      <w:r w:rsidR="00405078" w:rsidRPr="00EF28C1">
        <w:rPr>
          <w:rFonts w:ascii="Calibri" w:hAnsi="Calibri"/>
          <w:sz w:val="22"/>
          <w:szCs w:val="22"/>
          <w:lang w:val="sr-Latn-BA"/>
        </w:rPr>
        <w:t xml:space="preserve"> </w:t>
      </w:r>
      <w:r w:rsidR="00751FCC" w:rsidRPr="00EF28C1">
        <w:rPr>
          <w:rFonts w:ascii="Calibri" w:hAnsi="Calibri"/>
          <w:sz w:val="22"/>
          <w:szCs w:val="22"/>
          <w:lang w:val="sr-Latn-BA"/>
        </w:rPr>
        <w:t>D</w:t>
      </w:r>
      <w:r w:rsidR="00103AB8" w:rsidRPr="00EF28C1">
        <w:rPr>
          <w:rFonts w:ascii="Calibri" w:hAnsi="Calibri"/>
          <w:sz w:val="22"/>
          <w:szCs w:val="22"/>
          <w:lang w:val="sr-Latn-BA"/>
        </w:rPr>
        <w:t>ugoročni finansijski plasmani</w:t>
      </w:r>
      <w:r w:rsidR="00751FCC" w:rsidRPr="00EF28C1">
        <w:rPr>
          <w:rFonts w:ascii="Calibri" w:hAnsi="Calibri"/>
          <w:sz w:val="22"/>
          <w:szCs w:val="22"/>
          <w:lang w:val="sr-Latn-BA"/>
        </w:rPr>
        <w:t xml:space="preserve"> su se </w:t>
      </w:r>
      <w:r w:rsidR="00CB4DD8" w:rsidRPr="00EF28C1">
        <w:rPr>
          <w:rFonts w:ascii="Calibri" w:hAnsi="Calibri"/>
          <w:sz w:val="22"/>
          <w:szCs w:val="22"/>
          <w:lang w:val="sr-Latn-BA"/>
        </w:rPr>
        <w:t>takođe smanjili</w:t>
      </w:r>
      <w:r w:rsidR="00EF28C1" w:rsidRPr="00EF28C1">
        <w:rPr>
          <w:rFonts w:ascii="Calibri" w:hAnsi="Calibri"/>
          <w:sz w:val="22"/>
          <w:szCs w:val="22"/>
          <w:lang w:val="sr-Latn-BA"/>
        </w:rPr>
        <w:t xml:space="preserve"> za isti procenat iz razloga prodaje udjela u Gama holding i knjiženja obezvređenja ulaganja po osnovu procjene kod TC Zenit i Jahorinska dvorišta u iznosu od 2.576.008KM. </w:t>
      </w:r>
      <w:r w:rsidR="005877AE">
        <w:rPr>
          <w:rFonts w:ascii="Calibri" w:hAnsi="Calibri"/>
          <w:sz w:val="22"/>
          <w:szCs w:val="22"/>
          <w:lang w:val="sr-Latn-BA"/>
        </w:rPr>
        <w:t>Tekuća imovina se povećala</w:t>
      </w:r>
      <w:r w:rsidR="00BF6C1F" w:rsidRPr="00EF28C1">
        <w:rPr>
          <w:rFonts w:ascii="Calibri" w:hAnsi="Calibri"/>
          <w:sz w:val="22"/>
          <w:szCs w:val="22"/>
          <w:lang w:val="sr-Latn-BA"/>
        </w:rPr>
        <w:t xml:space="preserve"> </w:t>
      </w:r>
      <w:r w:rsidR="005877AE">
        <w:rPr>
          <w:rFonts w:ascii="Calibri" w:hAnsi="Calibri"/>
          <w:sz w:val="22"/>
          <w:szCs w:val="22"/>
          <w:lang w:val="sr-Latn-BA"/>
        </w:rPr>
        <w:t xml:space="preserve">za  70,37%.  </w:t>
      </w:r>
      <w:r w:rsidR="00BF6C1F" w:rsidRPr="00EF28C1">
        <w:rPr>
          <w:rFonts w:ascii="Calibri" w:hAnsi="Calibri"/>
          <w:sz w:val="22"/>
          <w:szCs w:val="22"/>
          <w:lang w:val="sr-Latn-BA"/>
        </w:rPr>
        <w:t>P</w:t>
      </w:r>
      <w:r w:rsidR="00C74BA3" w:rsidRPr="00EF28C1">
        <w:rPr>
          <w:rFonts w:ascii="Calibri" w:hAnsi="Calibri"/>
          <w:sz w:val="22"/>
          <w:szCs w:val="22"/>
          <w:lang w:val="sr-Latn-BA"/>
        </w:rPr>
        <w:t>oslovna aktiva</w:t>
      </w:r>
      <w:r w:rsidR="009D6209" w:rsidRPr="00EF28C1">
        <w:rPr>
          <w:rFonts w:ascii="Calibri" w:hAnsi="Calibri"/>
          <w:sz w:val="22"/>
          <w:szCs w:val="22"/>
          <w:lang w:val="sr-Latn-BA"/>
        </w:rPr>
        <w:t xml:space="preserve"> </w:t>
      </w:r>
      <w:r w:rsidR="00CB4DD8" w:rsidRPr="00EF28C1">
        <w:rPr>
          <w:rFonts w:ascii="Calibri" w:hAnsi="Calibri"/>
          <w:sz w:val="22"/>
          <w:szCs w:val="22"/>
          <w:lang w:val="sr-Latn-BA"/>
        </w:rPr>
        <w:t>se</w:t>
      </w:r>
      <w:r w:rsidR="009D6209" w:rsidRPr="00EF28C1">
        <w:rPr>
          <w:rFonts w:ascii="Calibri" w:hAnsi="Calibri"/>
          <w:sz w:val="22"/>
          <w:szCs w:val="22"/>
          <w:lang w:val="sr-Latn-BA"/>
        </w:rPr>
        <w:t xml:space="preserve"> smanj</w:t>
      </w:r>
      <w:r w:rsidR="00CB4DD8" w:rsidRPr="00EF28C1">
        <w:rPr>
          <w:rFonts w:ascii="Calibri" w:hAnsi="Calibri"/>
          <w:sz w:val="22"/>
          <w:szCs w:val="22"/>
          <w:lang w:val="sr-Latn-BA"/>
        </w:rPr>
        <w:t>ila</w:t>
      </w:r>
      <w:r w:rsidR="0037635F" w:rsidRPr="00EF28C1">
        <w:rPr>
          <w:rFonts w:ascii="Calibri" w:hAnsi="Calibri"/>
          <w:sz w:val="22"/>
          <w:szCs w:val="22"/>
          <w:lang w:val="sr-Latn-BA"/>
        </w:rPr>
        <w:t xml:space="preserve"> za </w:t>
      </w:r>
      <w:r w:rsidR="00EF28C1" w:rsidRPr="00EF28C1">
        <w:rPr>
          <w:rFonts w:ascii="Calibri" w:hAnsi="Calibri"/>
          <w:sz w:val="22"/>
          <w:szCs w:val="22"/>
          <w:lang w:val="sr-Latn-BA"/>
        </w:rPr>
        <w:t>25</w:t>
      </w:r>
      <w:r w:rsidR="00BF6C1F" w:rsidRPr="00EF28C1">
        <w:rPr>
          <w:rFonts w:ascii="Calibri" w:hAnsi="Calibri"/>
          <w:sz w:val="22"/>
          <w:szCs w:val="22"/>
          <w:lang w:val="sr-Latn-BA"/>
        </w:rPr>
        <w:t>% u odnosu na 20</w:t>
      </w:r>
      <w:r w:rsidR="00DD2B79" w:rsidRPr="00EF28C1">
        <w:rPr>
          <w:rFonts w:ascii="Calibri" w:hAnsi="Calibri"/>
          <w:sz w:val="22"/>
          <w:szCs w:val="22"/>
          <w:lang w:val="sr-Latn-BA"/>
        </w:rPr>
        <w:t>2</w:t>
      </w:r>
      <w:r w:rsidR="00EF28C1" w:rsidRPr="00EF28C1">
        <w:rPr>
          <w:rFonts w:ascii="Calibri" w:hAnsi="Calibri"/>
          <w:sz w:val="22"/>
          <w:szCs w:val="22"/>
          <w:lang w:val="sr-Latn-BA"/>
        </w:rPr>
        <w:t>2</w:t>
      </w:r>
      <w:r w:rsidR="00103AB8" w:rsidRPr="00EF28C1">
        <w:rPr>
          <w:rFonts w:ascii="Calibri" w:hAnsi="Calibri"/>
          <w:sz w:val="22"/>
          <w:szCs w:val="22"/>
          <w:lang w:val="sr-Latn-BA"/>
        </w:rPr>
        <w:t>. godinu.</w:t>
      </w:r>
    </w:p>
    <w:p w:rsidR="000976C0" w:rsidRDefault="000976C0" w:rsidP="00566F39">
      <w:pPr>
        <w:spacing w:before="120" w:after="120"/>
        <w:jc w:val="both"/>
        <w:rPr>
          <w:rFonts w:ascii="Arial" w:hAnsi="Arial"/>
          <w:sz w:val="16"/>
          <w:szCs w:val="18"/>
          <w:lang w:val="es-CL"/>
        </w:rPr>
      </w:pPr>
    </w:p>
    <w:p w:rsidR="000976C0" w:rsidRDefault="000976C0" w:rsidP="00566F39">
      <w:pPr>
        <w:spacing w:before="120" w:after="120"/>
        <w:jc w:val="both"/>
        <w:rPr>
          <w:rFonts w:ascii="Arial" w:hAnsi="Arial"/>
          <w:sz w:val="16"/>
          <w:szCs w:val="18"/>
          <w:lang w:val="es-CL"/>
        </w:rPr>
      </w:pPr>
    </w:p>
    <w:p w:rsidR="00566F39" w:rsidRPr="005409CF" w:rsidRDefault="008E483E" w:rsidP="00EF28C1">
      <w:pPr>
        <w:spacing w:after="120"/>
        <w:jc w:val="both"/>
        <w:rPr>
          <w:rFonts w:ascii="Calibri" w:hAnsi="Calibri"/>
          <w:b/>
          <w:i/>
          <w:sz w:val="22"/>
          <w:szCs w:val="22"/>
          <w:lang w:val="sr-Latn-BA"/>
        </w:rPr>
      </w:pPr>
      <w:r w:rsidRPr="005409CF">
        <w:rPr>
          <w:rFonts w:ascii="Calibri" w:hAnsi="Calibri"/>
          <w:b/>
          <w:i/>
          <w:sz w:val="22"/>
          <w:szCs w:val="22"/>
          <w:lang w:val="sr-Latn-BA"/>
        </w:rPr>
        <w:t>3</w:t>
      </w:r>
      <w:r w:rsidR="00566F39" w:rsidRPr="005409CF">
        <w:rPr>
          <w:rFonts w:ascii="Calibri" w:hAnsi="Calibri"/>
          <w:b/>
          <w:i/>
          <w:sz w:val="22"/>
          <w:szCs w:val="22"/>
          <w:lang w:val="sr-Latn-BA"/>
        </w:rPr>
        <w:t>.2. Analiza likvidnosti</w:t>
      </w:r>
    </w:p>
    <w:tbl>
      <w:tblPr>
        <w:tblW w:w="9648" w:type="dxa"/>
        <w:tblInd w:w="98" w:type="dxa"/>
        <w:tblLook w:val="04A0" w:firstRow="1" w:lastRow="0" w:firstColumn="1" w:lastColumn="0" w:noHBand="0" w:noVBand="1"/>
      </w:tblPr>
      <w:tblGrid>
        <w:gridCol w:w="578"/>
        <w:gridCol w:w="6092"/>
        <w:gridCol w:w="1170"/>
        <w:gridCol w:w="1115"/>
        <w:gridCol w:w="831"/>
      </w:tblGrid>
      <w:tr w:rsidR="009D6209" w:rsidRPr="000173D9" w:rsidTr="00423953">
        <w:tc>
          <w:tcPr>
            <w:tcW w:w="578" w:type="dxa"/>
            <w:tcBorders>
              <w:top w:val="single" w:sz="8" w:space="0" w:color="auto"/>
              <w:left w:val="single" w:sz="8" w:space="0" w:color="auto"/>
              <w:bottom w:val="single" w:sz="8" w:space="0" w:color="auto"/>
              <w:right w:val="single" w:sz="8" w:space="0" w:color="auto"/>
            </w:tcBorders>
            <w:vAlign w:val="bottom"/>
            <w:hideMark/>
          </w:tcPr>
          <w:p w:rsidR="00791545" w:rsidRPr="000173D9" w:rsidRDefault="00791545" w:rsidP="00AE0816">
            <w:pPr>
              <w:jc w:val="center"/>
              <w:rPr>
                <w:rFonts w:ascii="Calibri" w:hAnsi="Calibri" w:cs="Calibri"/>
                <w:b/>
                <w:bCs/>
                <w:sz w:val="22"/>
                <w:szCs w:val="22"/>
              </w:rPr>
            </w:pPr>
            <w:r w:rsidRPr="000173D9">
              <w:rPr>
                <w:rFonts w:ascii="Calibri" w:hAnsi="Calibri" w:cs="Calibri"/>
                <w:b/>
                <w:bCs/>
                <w:sz w:val="22"/>
                <w:szCs w:val="22"/>
              </w:rPr>
              <w:t>R/b</w:t>
            </w:r>
          </w:p>
        </w:tc>
        <w:tc>
          <w:tcPr>
            <w:tcW w:w="6092" w:type="dxa"/>
            <w:tcBorders>
              <w:top w:val="single" w:sz="8" w:space="0" w:color="auto"/>
              <w:left w:val="single" w:sz="8" w:space="0" w:color="auto"/>
              <w:bottom w:val="single" w:sz="8" w:space="0" w:color="auto"/>
              <w:right w:val="single" w:sz="8" w:space="0" w:color="auto"/>
            </w:tcBorders>
            <w:noWrap/>
            <w:vAlign w:val="bottom"/>
            <w:hideMark/>
          </w:tcPr>
          <w:p w:rsidR="00791545" w:rsidRPr="000173D9" w:rsidRDefault="00791545" w:rsidP="00AE0816">
            <w:pPr>
              <w:jc w:val="center"/>
              <w:rPr>
                <w:rFonts w:ascii="Calibri" w:hAnsi="Calibri" w:cs="Calibri"/>
                <w:b/>
                <w:bCs/>
                <w:sz w:val="22"/>
                <w:szCs w:val="22"/>
              </w:rPr>
            </w:pPr>
            <w:r w:rsidRPr="000173D9">
              <w:rPr>
                <w:rFonts w:ascii="Calibri" w:hAnsi="Calibri" w:cs="Calibri"/>
                <w:b/>
                <w:sz w:val="22"/>
                <w:szCs w:val="22"/>
              </w:rPr>
              <w:t>P O Z I C I J A</w:t>
            </w:r>
          </w:p>
        </w:tc>
        <w:tc>
          <w:tcPr>
            <w:tcW w:w="1170" w:type="dxa"/>
            <w:tcBorders>
              <w:top w:val="single" w:sz="8" w:space="0" w:color="auto"/>
              <w:left w:val="nil"/>
              <w:bottom w:val="single" w:sz="8" w:space="0" w:color="auto"/>
              <w:right w:val="single" w:sz="8" w:space="0" w:color="auto"/>
            </w:tcBorders>
            <w:noWrap/>
            <w:vAlign w:val="bottom"/>
          </w:tcPr>
          <w:p w:rsidR="00791545" w:rsidRPr="000173D9" w:rsidRDefault="0029772B" w:rsidP="0091063E">
            <w:pPr>
              <w:jc w:val="center"/>
              <w:rPr>
                <w:rFonts w:ascii="Calibri" w:hAnsi="Calibri" w:cs="Calibri"/>
                <w:b/>
                <w:bCs/>
                <w:sz w:val="22"/>
                <w:szCs w:val="22"/>
              </w:rPr>
            </w:pPr>
            <w:r w:rsidRPr="000173D9">
              <w:rPr>
                <w:rFonts w:ascii="Calibri" w:hAnsi="Calibri" w:cs="Calibri"/>
                <w:b/>
                <w:bCs/>
                <w:sz w:val="22"/>
                <w:szCs w:val="22"/>
              </w:rPr>
              <w:t>20</w:t>
            </w:r>
            <w:r w:rsidR="00A70B7A" w:rsidRPr="000173D9">
              <w:rPr>
                <w:rFonts w:ascii="Calibri" w:hAnsi="Calibri" w:cs="Calibri"/>
                <w:b/>
                <w:bCs/>
                <w:sz w:val="22"/>
                <w:szCs w:val="22"/>
              </w:rPr>
              <w:t>2</w:t>
            </w:r>
            <w:r w:rsidR="00E85557" w:rsidRPr="000173D9">
              <w:rPr>
                <w:rFonts w:ascii="Calibri" w:hAnsi="Calibri" w:cs="Calibri"/>
                <w:b/>
                <w:bCs/>
                <w:sz w:val="22"/>
                <w:szCs w:val="22"/>
              </w:rPr>
              <w:t>2</w:t>
            </w:r>
          </w:p>
        </w:tc>
        <w:tc>
          <w:tcPr>
            <w:tcW w:w="1033" w:type="dxa"/>
            <w:tcBorders>
              <w:top w:val="single" w:sz="8" w:space="0" w:color="auto"/>
              <w:left w:val="single" w:sz="8" w:space="0" w:color="auto"/>
              <w:bottom w:val="single" w:sz="8" w:space="0" w:color="auto"/>
              <w:right w:val="single" w:sz="8" w:space="0" w:color="auto"/>
            </w:tcBorders>
            <w:vAlign w:val="bottom"/>
            <w:hideMark/>
          </w:tcPr>
          <w:p w:rsidR="00791545" w:rsidRPr="000173D9" w:rsidRDefault="00791545" w:rsidP="0029772B">
            <w:pPr>
              <w:jc w:val="center"/>
              <w:rPr>
                <w:rFonts w:ascii="Calibri" w:hAnsi="Calibri" w:cs="Calibri"/>
                <w:b/>
                <w:bCs/>
                <w:sz w:val="22"/>
                <w:szCs w:val="22"/>
              </w:rPr>
            </w:pPr>
            <w:r w:rsidRPr="000173D9">
              <w:rPr>
                <w:rFonts w:ascii="Calibri" w:hAnsi="Calibri" w:cs="Calibri"/>
                <w:b/>
                <w:bCs/>
                <w:sz w:val="22"/>
                <w:szCs w:val="22"/>
              </w:rPr>
              <w:t>20</w:t>
            </w:r>
            <w:r w:rsidR="0029772B" w:rsidRPr="000173D9">
              <w:rPr>
                <w:rFonts w:ascii="Calibri" w:hAnsi="Calibri" w:cs="Calibri"/>
                <w:b/>
                <w:bCs/>
                <w:sz w:val="22"/>
                <w:szCs w:val="22"/>
              </w:rPr>
              <w:t>2</w:t>
            </w:r>
            <w:r w:rsidR="00E85557" w:rsidRPr="000173D9">
              <w:rPr>
                <w:rFonts w:ascii="Calibri" w:hAnsi="Calibri" w:cs="Calibri"/>
                <w:b/>
                <w:bCs/>
                <w:sz w:val="22"/>
                <w:szCs w:val="22"/>
              </w:rPr>
              <w:t>3</w:t>
            </w:r>
          </w:p>
        </w:tc>
        <w:tc>
          <w:tcPr>
            <w:tcW w:w="775" w:type="dxa"/>
            <w:tcBorders>
              <w:top w:val="single" w:sz="8" w:space="0" w:color="auto"/>
              <w:left w:val="single" w:sz="8" w:space="0" w:color="auto"/>
              <w:bottom w:val="single" w:sz="8" w:space="0" w:color="auto"/>
              <w:right w:val="single" w:sz="8" w:space="0" w:color="auto"/>
            </w:tcBorders>
          </w:tcPr>
          <w:p w:rsidR="00791545" w:rsidRPr="000173D9" w:rsidRDefault="00BD6975" w:rsidP="00BD6975">
            <w:pPr>
              <w:rPr>
                <w:rFonts w:ascii="Calibri" w:hAnsi="Calibri" w:cs="Calibri"/>
                <w:b/>
                <w:bCs/>
                <w:sz w:val="22"/>
                <w:szCs w:val="22"/>
              </w:rPr>
            </w:pPr>
            <w:r w:rsidRPr="000173D9">
              <w:rPr>
                <w:rFonts w:ascii="Calibri" w:hAnsi="Calibri" w:cs="Calibri"/>
                <w:b/>
                <w:bCs/>
                <w:sz w:val="22"/>
                <w:szCs w:val="22"/>
              </w:rPr>
              <w:t>Index</w:t>
            </w:r>
          </w:p>
        </w:tc>
      </w:tr>
      <w:tr w:rsidR="00E87839" w:rsidRPr="000173D9" w:rsidTr="00CC4EAE">
        <w:tc>
          <w:tcPr>
            <w:tcW w:w="578" w:type="dxa"/>
            <w:tcBorders>
              <w:top w:val="single" w:sz="2" w:space="0" w:color="auto"/>
              <w:left w:val="single" w:sz="8" w:space="0" w:color="auto"/>
              <w:bottom w:val="single" w:sz="2" w:space="0" w:color="auto"/>
              <w:right w:val="single" w:sz="8" w:space="0" w:color="auto"/>
            </w:tcBorders>
            <w:noWrap/>
            <w:vAlign w:val="center"/>
            <w:hideMark/>
          </w:tcPr>
          <w:p w:rsidR="00E87839" w:rsidRPr="000173D9" w:rsidRDefault="00E87839" w:rsidP="00566F39">
            <w:pPr>
              <w:pStyle w:val="ListParagraph"/>
              <w:numPr>
                <w:ilvl w:val="0"/>
                <w:numId w:val="8"/>
              </w:numPr>
              <w:ind w:left="186" w:hanging="186"/>
              <w:jc w:val="center"/>
              <w:rPr>
                <w:rFonts w:ascii="Calibri" w:hAnsi="Calibri" w:cs="Calibri"/>
                <w:sz w:val="22"/>
                <w:szCs w:val="22"/>
              </w:rPr>
            </w:pPr>
          </w:p>
        </w:tc>
        <w:tc>
          <w:tcPr>
            <w:tcW w:w="6092" w:type="dxa"/>
            <w:tcBorders>
              <w:top w:val="dotted" w:sz="4" w:space="0" w:color="auto"/>
              <w:left w:val="nil"/>
              <w:bottom w:val="single" w:sz="2" w:space="0" w:color="auto"/>
              <w:right w:val="single" w:sz="8" w:space="0" w:color="auto"/>
            </w:tcBorders>
            <w:noWrap/>
            <w:vAlign w:val="bottom"/>
            <w:hideMark/>
          </w:tcPr>
          <w:p w:rsidR="00E87839" w:rsidRPr="000173D9" w:rsidRDefault="00E87839" w:rsidP="00AE0816">
            <w:pPr>
              <w:rPr>
                <w:rFonts w:ascii="Calibri" w:hAnsi="Calibri" w:cs="Calibri"/>
                <w:sz w:val="22"/>
                <w:szCs w:val="22"/>
              </w:rPr>
            </w:pPr>
            <w:r w:rsidRPr="000173D9">
              <w:rPr>
                <w:rFonts w:ascii="Calibri" w:hAnsi="Calibri" w:cs="Calibri"/>
                <w:sz w:val="22"/>
                <w:szCs w:val="22"/>
              </w:rPr>
              <w:t>Zalihe, stalna sredstva i sredstva obustavljenog poslovanja namijenjena prodaji</w:t>
            </w:r>
          </w:p>
        </w:tc>
        <w:tc>
          <w:tcPr>
            <w:tcW w:w="1170" w:type="dxa"/>
            <w:tcBorders>
              <w:top w:val="nil"/>
              <w:left w:val="nil"/>
              <w:bottom w:val="single" w:sz="2" w:space="0" w:color="auto"/>
              <w:right w:val="single" w:sz="8" w:space="0" w:color="auto"/>
            </w:tcBorders>
            <w:noWrap/>
          </w:tcPr>
          <w:p w:rsidR="00E87839" w:rsidRPr="000173D9" w:rsidRDefault="00E85557" w:rsidP="00E85557">
            <w:pPr>
              <w:jc w:val="center"/>
              <w:rPr>
                <w:rFonts w:ascii="Calibri" w:hAnsi="Calibri" w:cs="Calibri"/>
                <w:sz w:val="22"/>
                <w:szCs w:val="22"/>
              </w:rPr>
            </w:pPr>
            <w:r w:rsidRPr="000173D9">
              <w:rPr>
                <w:rFonts w:ascii="Calibri" w:hAnsi="Calibri" w:cs="Calibri"/>
                <w:sz w:val="22"/>
                <w:szCs w:val="22"/>
              </w:rPr>
              <w:t>0</w:t>
            </w:r>
          </w:p>
        </w:tc>
        <w:tc>
          <w:tcPr>
            <w:tcW w:w="1033" w:type="dxa"/>
            <w:tcBorders>
              <w:top w:val="nil"/>
              <w:left w:val="single" w:sz="8" w:space="0" w:color="auto"/>
              <w:bottom w:val="single" w:sz="2" w:space="0" w:color="auto"/>
              <w:right w:val="single" w:sz="8" w:space="0" w:color="auto"/>
            </w:tcBorders>
          </w:tcPr>
          <w:p w:rsidR="00E87839" w:rsidRPr="000173D9" w:rsidRDefault="00C04C7F" w:rsidP="00C04C7F">
            <w:pPr>
              <w:jc w:val="center"/>
              <w:rPr>
                <w:rFonts w:ascii="Calibri" w:hAnsi="Calibri" w:cs="Calibri"/>
                <w:sz w:val="22"/>
                <w:szCs w:val="22"/>
              </w:rPr>
            </w:pPr>
            <w:r w:rsidRPr="000173D9">
              <w:rPr>
                <w:rFonts w:ascii="Calibri" w:hAnsi="Calibri" w:cs="Calibri"/>
                <w:sz w:val="22"/>
                <w:szCs w:val="22"/>
              </w:rPr>
              <w:t>0</w:t>
            </w:r>
          </w:p>
        </w:tc>
        <w:tc>
          <w:tcPr>
            <w:tcW w:w="775" w:type="dxa"/>
            <w:tcBorders>
              <w:top w:val="nil"/>
              <w:left w:val="single" w:sz="8" w:space="0" w:color="auto"/>
              <w:bottom w:val="single" w:sz="2" w:space="0" w:color="auto"/>
              <w:right w:val="single" w:sz="8" w:space="0" w:color="auto"/>
            </w:tcBorders>
            <w:vAlign w:val="bottom"/>
          </w:tcPr>
          <w:p w:rsidR="00E87839" w:rsidRPr="000173D9" w:rsidRDefault="009503C5" w:rsidP="000173D9">
            <w:pPr>
              <w:rPr>
                <w:rFonts w:ascii="Calibri" w:hAnsi="Calibri" w:cs="Calibri"/>
                <w:sz w:val="22"/>
                <w:szCs w:val="22"/>
              </w:rPr>
            </w:pPr>
            <w:r w:rsidRPr="000173D9">
              <w:rPr>
                <w:rFonts w:ascii="Calibri" w:hAnsi="Calibri" w:cs="Calibri"/>
                <w:sz w:val="22"/>
                <w:szCs w:val="22"/>
              </w:rPr>
              <w:t>0</w:t>
            </w:r>
          </w:p>
        </w:tc>
      </w:tr>
      <w:tr w:rsidR="00E87839" w:rsidRPr="000173D9" w:rsidTr="009D0A0C">
        <w:tc>
          <w:tcPr>
            <w:tcW w:w="578" w:type="dxa"/>
            <w:tcBorders>
              <w:top w:val="single" w:sz="2" w:space="0" w:color="auto"/>
              <w:left w:val="single" w:sz="8" w:space="0" w:color="auto"/>
              <w:bottom w:val="single" w:sz="2" w:space="0" w:color="auto"/>
              <w:right w:val="single" w:sz="8" w:space="0" w:color="auto"/>
            </w:tcBorders>
            <w:noWrap/>
            <w:vAlign w:val="bottom"/>
            <w:hideMark/>
          </w:tcPr>
          <w:p w:rsidR="00E87839" w:rsidRPr="000173D9" w:rsidRDefault="00E87839" w:rsidP="00566F39">
            <w:pPr>
              <w:pStyle w:val="ListParagraph"/>
              <w:numPr>
                <w:ilvl w:val="0"/>
                <w:numId w:val="8"/>
              </w:numPr>
              <w:ind w:left="186" w:hanging="186"/>
              <w:jc w:val="center"/>
              <w:rPr>
                <w:rFonts w:ascii="Calibri" w:hAnsi="Calibri" w:cs="Calibri"/>
                <w:sz w:val="22"/>
                <w:szCs w:val="22"/>
              </w:rPr>
            </w:pPr>
          </w:p>
        </w:tc>
        <w:tc>
          <w:tcPr>
            <w:tcW w:w="6092" w:type="dxa"/>
            <w:tcBorders>
              <w:top w:val="single" w:sz="2" w:space="0" w:color="auto"/>
              <w:left w:val="nil"/>
              <w:bottom w:val="single" w:sz="2" w:space="0" w:color="auto"/>
              <w:right w:val="single" w:sz="8" w:space="0" w:color="auto"/>
            </w:tcBorders>
            <w:vAlign w:val="bottom"/>
            <w:hideMark/>
          </w:tcPr>
          <w:p w:rsidR="00E87839" w:rsidRPr="000173D9" w:rsidRDefault="00E87839" w:rsidP="00AE0816">
            <w:pPr>
              <w:rPr>
                <w:rFonts w:ascii="Calibri" w:hAnsi="Calibri" w:cs="Calibri"/>
                <w:sz w:val="22"/>
                <w:szCs w:val="22"/>
              </w:rPr>
            </w:pPr>
            <w:r w:rsidRPr="000173D9">
              <w:rPr>
                <w:rFonts w:ascii="Calibri" w:hAnsi="Calibri" w:cs="Calibri"/>
                <w:sz w:val="22"/>
                <w:szCs w:val="22"/>
              </w:rPr>
              <w:t>Gotovina i ekvivalenti</w:t>
            </w:r>
          </w:p>
        </w:tc>
        <w:tc>
          <w:tcPr>
            <w:tcW w:w="1170" w:type="dxa"/>
            <w:tcBorders>
              <w:top w:val="single" w:sz="2" w:space="0" w:color="auto"/>
              <w:left w:val="nil"/>
              <w:bottom w:val="single" w:sz="2" w:space="0" w:color="auto"/>
              <w:right w:val="single" w:sz="8" w:space="0" w:color="auto"/>
            </w:tcBorders>
            <w:noWrap/>
          </w:tcPr>
          <w:p w:rsidR="00E87839" w:rsidRPr="000173D9" w:rsidRDefault="002E52D0" w:rsidP="00C04C7F">
            <w:pPr>
              <w:jc w:val="center"/>
              <w:rPr>
                <w:rFonts w:ascii="Calibri" w:hAnsi="Calibri" w:cs="Calibri"/>
                <w:sz w:val="22"/>
                <w:szCs w:val="22"/>
              </w:rPr>
            </w:pPr>
            <w:r w:rsidRPr="000173D9">
              <w:rPr>
                <w:rFonts w:ascii="Calibri" w:hAnsi="Calibri" w:cs="Calibri"/>
                <w:sz w:val="22"/>
                <w:szCs w:val="22"/>
              </w:rPr>
              <w:t xml:space="preserve">   </w:t>
            </w:r>
            <w:r w:rsidR="00E85557" w:rsidRPr="000173D9">
              <w:rPr>
                <w:rFonts w:ascii="Calibri" w:hAnsi="Calibri" w:cs="Calibri"/>
                <w:sz w:val="22"/>
                <w:szCs w:val="22"/>
              </w:rPr>
              <w:t>932</w:t>
            </w:r>
            <w:r w:rsidR="00C04C7F" w:rsidRPr="000173D9">
              <w:rPr>
                <w:rFonts w:ascii="Calibri" w:hAnsi="Calibri" w:cs="Calibri"/>
                <w:sz w:val="22"/>
                <w:szCs w:val="22"/>
              </w:rPr>
              <w:t>.</w:t>
            </w:r>
            <w:r w:rsidR="00E85557" w:rsidRPr="000173D9">
              <w:rPr>
                <w:rFonts w:ascii="Calibri" w:hAnsi="Calibri" w:cs="Calibri"/>
                <w:sz w:val="22"/>
                <w:szCs w:val="22"/>
              </w:rPr>
              <w:t>076</w:t>
            </w:r>
          </w:p>
        </w:tc>
        <w:tc>
          <w:tcPr>
            <w:tcW w:w="1033" w:type="dxa"/>
            <w:tcBorders>
              <w:top w:val="single" w:sz="2" w:space="0" w:color="auto"/>
              <w:left w:val="single" w:sz="8" w:space="0" w:color="auto"/>
              <w:bottom w:val="single" w:sz="2" w:space="0" w:color="auto"/>
              <w:right w:val="single" w:sz="8" w:space="0" w:color="auto"/>
            </w:tcBorders>
          </w:tcPr>
          <w:p w:rsidR="00E87839" w:rsidRPr="000173D9" w:rsidRDefault="007A675E">
            <w:pPr>
              <w:jc w:val="right"/>
              <w:rPr>
                <w:rFonts w:ascii="Calibri" w:hAnsi="Calibri" w:cs="Calibri"/>
                <w:sz w:val="22"/>
                <w:szCs w:val="22"/>
              </w:rPr>
            </w:pPr>
            <w:r w:rsidRPr="000173D9">
              <w:rPr>
                <w:rFonts w:ascii="Calibri" w:hAnsi="Calibri" w:cs="Calibri"/>
                <w:sz w:val="22"/>
                <w:szCs w:val="22"/>
              </w:rPr>
              <w:t>1.078</w:t>
            </w:r>
            <w:r w:rsidR="008D271F" w:rsidRPr="000173D9">
              <w:rPr>
                <w:rFonts w:ascii="Calibri" w:hAnsi="Calibri" w:cs="Calibri"/>
                <w:sz w:val="22"/>
                <w:szCs w:val="22"/>
              </w:rPr>
              <w:t>.</w:t>
            </w:r>
            <w:r w:rsidRPr="000173D9">
              <w:rPr>
                <w:rFonts w:ascii="Calibri" w:hAnsi="Calibri" w:cs="Calibri"/>
                <w:sz w:val="22"/>
                <w:szCs w:val="22"/>
              </w:rPr>
              <w:t>814</w:t>
            </w:r>
          </w:p>
        </w:tc>
        <w:tc>
          <w:tcPr>
            <w:tcW w:w="775" w:type="dxa"/>
            <w:tcBorders>
              <w:top w:val="single" w:sz="2" w:space="0" w:color="auto"/>
              <w:left w:val="single" w:sz="8" w:space="0" w:color="auto"/>
              <w:bottom w:val="single" w:sz="2" w:space="0" w:color="auto"/>
              <w:right w:val="single" w:sz="8" w:space="0" w:color="auto"/>
            </w:tcBorders>
            <w:vAlign w:val="bottom"/>
          </w:tcPr>
          <w:p w:rsidR="00E87839" w:rsidRPr="000173D9" w:rsidRDefault="007A675E">
            <w:pPr>
              <w:jc w:val="right"/>
              <w:rPr>
                <w:rFonts w:ascii="Calibri" w:hAnsi="Calibri" w:cs="Calibri"/>
                <w:sz w:val="22"/>
                <w:szCs w:val="22"/>
              </w:rPr>
            </w:pPr>
            <w:r w:rsidRPr="000173D9">
              <w:rPr>
                <w:rFonts w:ascii="Calibri" w:hAnsi="Calibri" w:cs="Calibri"/>
                <w:sz w:val="22"/>
                <w:szCs w:val="22"/>
              </w:rPr>
              <w:t>115</w:t>
            </w:r>
            <w:r w:rsidR="00547BFF" w:rsidRPr="000173D9">
              <w:rPr>
                <w:rFonts w:ascii="Calibri" w:hAnsi="Calibri" w:cs="Calibri"/>
                <w:sz w:val="22"/>
                <w:szCs w:val="22"/>
              </w:rPr>
              <w:t>,</w:t>
            </w:r>
            <w:r w:rsidRPr="000173D9">
              <w:rPr>
                <w:rFonts w:ascii="Calibri" w:hAnsi="Calibri" w:cs="Calibri"/>
                <w:sz w:val="22"/>
                <w:szCs w:val="22"/>
              </w:rPr>
              <w:t>7</w:t>
            </w:r>
            <w:r w:rsidR="00547BFF" w:rsidRPr="000173D9">
              <w:rPr>
                <w:rFonts w:ascii="Calibri" w:hAnsi="Calibri" w:cs="Calibri"/>
                <w:sz w:val="22"/>
                <w:szCs w:val="22"/>
              </w:rPr>
              <w:t>4</w:t>
            </w:r>
          </w:p>
        </w:tc>
      </w:tr>
      <w:tr w:rsidR="00E87839" w:rsidRPr="000173D9" w:rsidTr="009D0A0C">
        <w:tc>
          <w:tcPr>
            <w:tcW w:w="578" w:type="dxa"/>
            <w:tcBorders>
              <w:top w:val="single" w:sz="2" w:space="0" w:color="auto"/>
              <w:left w:val="single" w:sz="8" w:space="0" w:color="auto"/>
              <w:bottom w:val="single" w:sz="2" w:space="0" w:color="auto"/>
              <w:right w:val="single" w:sz="8" w:space="0" w:color="auto"/>
            </w:tcBorders>
            <w:noWrap/>
            <w:vAlign w:val="bottom"/>
            <w:hideMark/>
          </w:tcPr>
          <w:p w:rsidR="00E87839" w:rsidRPr="000173D9" w:rsidRDefault="00E87839" w:rsidP="00566F39">
            <w:pPr>
              <w:pStyle w:val="ListParagraph"/>
              <w:numPr>
                <w:ilvl w:val="0"/>
                <w:numId w:val="8"/>
              </w:numPr>
              <w:ind w:left="186" w:hanging="186"/>
              <w:jc w:val="center"/>
              <w:rPr>
                <w:rFonts w:ascii="Calibri" w:hAnsi="Calibri" w:cs="Calibri"/>
                <w:sz w:val="22"/>
                <w:szCs w:val="22"/>
              </w:rPr>
            </w:pPr>
          </w:p>
        </w:tc>
        <w:tc>
          <w:tcPr>
            <w:tcW w:w="6092" w:type="dxa"/>
            <w:tcBorders>
              <w:top w:val="single" w:sz="2" w:space="0" w:color="auto"/>
              <w:left w:val="nil"/>
              <w:bottom w:val="single" w:sz="2" w:space="0" w:color="auto"/>
              <w:right w:val="single" w:sz="8" w:space="0" w:color="auto"/>
            </w:tcBorders>
            <w:vAlign w:val="bottom"/>
            <w:hideMark/>
          </w:tcPr>
          <w:p w:rsidR="00E87839" w:rsidRPr="000173D9" w:rsidRDefault="00E87839" w:rsidP="00AE0816">
            <w:pPr>
              <w:rPr>
                <w:rFonts w:ascii="Calibri" w:hAnsi="Calibri" w:cs="Calibri"/>
                <w:sz w:val="22"/>
                <w:szCs w:val="22"/>
              </w:rPr>
            </w:pPr>
            <w:r w:rsidRPr="000173D9">
              <w:rPr>
                <w:rFonts w:ascii="Calibri" w:hAnsi="Calibri" w:cs="Calibri"/>
                <w:sz w:val="22"/>
                <w:szCs w:val="22"/>
              </w:rPr>
              <w:t>Kratkoročna potraživanja</w:t>
            </w:r>
          </w:p>
        </w:tc>
        <w:tc>
          <w:tcPr>
            <w:tcW w:w="1170" w:type="dxa"/>
            <w:tcBorders>
              <w:top w:val="single" w:sz="2" w:space="0" w:color="auto"/>
              <w:left w:val="nil"/>
              <w:bottom w:val="single" w:sz="2" w:space="0" w:color="auto"/>
              <w:right w:val="single" w:sz="8" w:space="0" w:color="auto"/>
            </w:tcBorders>
            <w:noWrap/>
          </w:tcPr>
          <w:p w:rsidR="00E87839" w:rsidRPr="000173D9" w:rsidRDefault="002E52D0" w:rsidP="00C04C7F">
            <w:pPr>
              <w:jc w:val="center"/>
              <w:rPr>
                <w:rFonts w:ascii="Calibri" w:hAnsi="Calibri" w:cs="Calibri"/>
                <w:sz w:val="22"/>
                <w:szCs w:val="22"/>
              </w:rPr>
            </w:pPr>
            <w:r w:rsidRPr="000173D9">
              <w:rPr>
                <w:rFonts w:ascii="Calibri" w:hAnsi="Calibri" w:cs="Calibri"/>
                <w:sz w:val="22"/>
                <w:szCs w:val="22"/>
              </w:rPr>
              <w:t xml:space="preserve">      </w:t>
            </w:r>
            <w:r w:rsidR="00E85557" w:rsidRPr="000173D9">
              <w:rPr>
                <w:rFonts w:ascii="Calibri" w:hAnsi="Calibri" w:cs="Calibri"/>
                <w:sz w:val="22"/>
                <w:szCs w:val="22"/>
              </w:rPr>
              <w:t>705</w:t>
            </w:r>
            <w:r w:rsidR="00C04C7F" w:rsidRPr="000173D9">
              <w:rPr>
                <w:rFonts w:ascii="Calibri" w:hAnsi="Calibri" w:cs="Calibri"/>
                <w:sz w:val="22"/>
                <w:szCs w:val="22"/>
              </w:rPr>
              <w:t>.</w:t>
            </w:r>
            <w:r w:rsidR="00E85557" w:rsidRPr="000173D9">
              <w:rPr>
                <w:rFonts w:ascii="Calibri" w:hAnsi="Calibri" w:cs="Calibri"/>
                <w:sz w:val="22"/>
                <w:szCs w:val="22"/>
              </w:rPr>
              <w:t>366</w:t>
            </w:r>
          </w:p>
        </w:tc>
        <w:tc>
          <w:tcPr>
            <w:tcW w:w="1033" w:type="dxa"/>
            <w:tcBorders>
              <w:top w:val="single" w:sz="2" w:space="0" w:color="auto"/>
              <w:left w:val="single" w:sz="8" w:space="0" w:color="auto"/>
              <w:bottom w:val="single" w:sz="2" w:space="0" w:color="auto"/>
              <w:right w:val="single" w:sz="8" w:space="0" w:color="auto"/>
            </w:tcBorders>
          </w:tcPr>
          <w:p w:rsidR="000173D9" w:rsidRDefault="000173D9" w:rsidP="00DB3318">
            <w:pPr>
              <w:jc w:val="center"/>
              <w:rPr>
                <w:rFonts w:ascii="Calibri" w:hAnsi="Calibri" w:cs="Calibri"/>
                <w:sz w:val="22"/>
                <w:szCs w:val="22"/>
              </w:rPr>
            </w:pPr>
          </w:p>
          <w:p w:rsidR="00E87839" w:rsidRPr="000173D9" w:rsidRDefault="00DB3318" w:rsidP="00DB3318">
            <w:pPr>
              <w:jc w:val="center"/>
              <w:rPr>
                <w:rFonts w:ascii="Calibri" w:hAnsi="Calibri" w:cs="Calibri"/>
                <w:sz w:val="22"/>
                <w:szCs w:val="22"/>
              </w:rPr>
            </w:pPr>
            <w:r w:rsidRPr="000173D9">
              <w:rPr>
                <w:rFonts w:ascii="Calibri" w:hAnsi="Calibri" w:cs="Calibri"/>
                <w:sz w:val="22"/>
                <w:szCs w:val="22"/>
              </w:rPr>
              <w:t>1.319.532</w:t>
            </w:r>
          </w:p>
        </w:tc>
        <w:tc>
          <w:tcPr>
            <w:tcW w:w="775" w:type="dxa"/>
            <w:tcBorders>
              <w:top w:val="single" w:sz="2" w:space="0" w:color="auto"/>
              <w:left w:val="single" w:sz="8" w:space="0" w:color="auto"/>
              <w:bottom w:val="single" w:sz="2" w:space="0" w:color="auto"/>
              <w:right w:val="single" w:sz="8" w:space="0" w:color="auto"/>
            </w:tcBorders>
            <w:vAlign w:val="bottom"/>
          </w:tcPr>
          <w:p w:rsidR="00E87839" w:rsidRPr="000173D9" w:rsidRDefault="00DB3318" w:rsidP="002C3203">
            <w:pPr>
              <w:jc w:val="center"/>
              <w:rPr>
                <w:rFonts w:ascii="Calibri" w:hAnsi="Calibri" w:cs="Calibri"/>
                <w:sz w:val="22"/>
                <w:szCs w:val="22"/>
              </w:rPr>
            </w:pPr>
            <w:r w:rsidRPr="000173D9">
              <w:rPr>
                <w:rFonts w:ascii="Calibri" w:hAnsi="Calibri" w:cs="Calibri"/>
                <w:sz w:val="22"/>
                <w:szCs w:val="22"/>
              </w:rPr>
              <w:t>187</w:t>
            </w:r>
            <w:r w:rsidR="00405C2F" w:rsidRPr="000173D9">
              <w:rPr>
                <w:rFonts w:ascii="Calibri" w:hAnsi="Calibri" w:cs="Calibri"/>
                <w:sz w:val="22"/>
                <w:szCs w:val="22"/>
              </w:rPr>
              <w:t>,</w:t>
            </w:r>
            <w:r w:rsidR="00F41E59" w:rsidRPr="000173D9">
              <w:rPr>
                <w:rFonts w:ascii="Calibri" w:hAnsi="Calibri" w:cs="Calibri"/>
                <w:sz w:val="22"/>
                <w:szCs w:val="22"/>
              </w:rPr>
              <w:t>0</w:t>
            </w:r>
            <w:r w:rsidR="00405C2F" w:rsidRPr="000173D9">
              <w:rPr>
                <w:rFonts w:ascii="Calibri" w:hAnsi="Calibri" w:cs="Calibri"/>
                <w:sz w:val="22"/>
                <w:szCs w:val="22"/>
              </w:rPr>
              <w:t>7</w:t>
            </w:r>
          </w:p>
        </w:tc>
      </w:tr>
      <w:tr w:rsidR="00E87839" w:rsidRPr="000173D9" w:rsidTr="009D0A0C">
        <w:tc>
          <w:tcPr>
            <w:tcW w:w="578" w:type="dxa"/>
            <w:tcBorders>
              <w:top w:val="single" w:sz="2" w:space="0" w:color="auto"/>
              <w:left w:val="single" w:sz="8" w:space="0" w:color="auto"/>
              <w:bottom w:val="single" w:sz="2" w:space="0" w:color="auto"/>
              <w:right w:val="single" w:sz="8" w:space="0" w:color="auto"/>
            </w:tcBorders>
            <w:noWrap/>
            <w:vAlign w:val="bottom"/>
            <w:hideMark/>
          </w:tcPr>
          <w:p w:rsidR="00E87839" w:rsidRPr="000173D9" w:rsidRDefault="00E87839" w:rsidP="00566F39">
            <w:pPr>
              <w:pStyle w:val="ListParagraph"/>
              <w:numPr>
                <w:ilvl w:val="0"/>
                <w:numId w:val="8"/>
              </w:numPr>
              <w:ind w:left="186" w:hanging="186"/>
              <w:jc w:val="center"/>
              <w:rPr>
                <w:rFonts w:ascii="Calibri" w:hAnsi="Calibri" w:cs="Calibri"/>
                <w:sz w:val="22"/>
                <w:szCs w:val="22"/>
              </w:rPr>
            </w:pPr>
          </w:p>
        </w:tc>
        <w:tc>
          <w:tcPr>
            <w:tcW w:w="6092" w:type="dxa"/>
            <w:tcBorders>
              <w:top w:val="single" w:sz="2" w:space="0" w:color="auto"/>
              <w:left w:val="nil"/>
              <w:bottom w:val="single" w:sz="2" w:space="0" w:color="auto"/>
              <w:right w:val="single" w:sz="8" w:space="0" w:color="auto"/>
            </w:tcBorders>
            <w:vAlign w:val="bottom"/>
            <w:hideMark/>
          </w:tcPr>
          <w:p w:rsidR="00E87839" w:rsidRPr="000173D9" w:rsidRDefault="00E87839" w:rsidP="00AE0816">
            <w:pPr>
              <w:rPr>
                <w:rFonts w:ascii="Calibri" w:hAnsi="Calibri" w:cs="Calibri"/>
                <w:sz w:val="22"/>
                <w:szCs w:val="22"/>
              </w:rPr>
            </w:pPr>
            <w:r w:rsidRPr="000173D9">
              <w:rPr>
                <w:rFonts w:ascii="Calibri" w:hAnsi="Calibri" w:cs="Calibri"/>
                <w:sz w:val="22"/>
                <w:szCs w:val="22"/>
              </w:rPr>
              <w:t>Kratkoročni finansijski plasmani</w:t>
            </w:r>
          </w:p>
        </w:tc>
        <w:tc>
          <w:tcPr>
            <w:tcW w:w="1170" w:type="dxa"/>
            <w:tcBorders>
              <w:top w:val="single" w:sz="2" w:space="0" w:color="auto"/>
              <w:left w:val="nil"/>
              <w:bottom w:val="dotted" w:sz="4" w:space="0" w:color="auto"/>
              <w:right w:val="single" w:sz="8" w:space="0" w:color="auto"/>
            </w:tcBorders>
            <w:noWrap/>
          </w:tcPr>
          <w:p w:rsidR="00E87839" w:rsidRPr="000173D9" w:rsidRDefault="00E85557" w:rsidP="004C1F46">
            <w:pPr>
              <w:jc w:val="right"/>
              <w:rPr>
                <w:rFonts w:ascii="Calibri" w:hAnsi="Calibri" w:cs="Calibri"/>
                <w:sz w:val="22"/>
                <w:szCs w:val="22"/>
              </w:rPr>
            </w:pPr>
            <w:r w:rsidRPr="000173D9">
              <w:rPr>
                <w:rFonts w:ascii="Calibri" w:hAnsi="Calibri" w:cs="Calibri"/>
                <w:sz w:val="22"/>
                <w:szCs w:val="22"/>
              </w:rPr>
              <w:t>376</w:t>
            </w:r>
            <w:r w:rsidR="00C04C7F" w:rsidRPr="000173D9">
              <w:rPr>
                <w:rFonts w:ascii="Calibri" w:hAnsi="Calibri" w:cs="Calibri"/>
                <w:sz w:val="22"/>
                <w:szCs w:val="22"/>
              </w:rPr>
              <w:t>.</w:t>
            </w:r>
            <w:r w:rsidRPr="000173D9">
              <w:rPr>
                <w:rFonts w:ascii="Calibri" w:hAnsi="Calibri" w:cs="Calibri"/>
                <w:sz w:val="22"/>
                <w:szCs w:val="22"/>
              </w:rPr>
              <w:t>826</w:t>
            </w:r>
          </w:p>
        </w:tc>
        <w:tc>
          <w:tcPr>
            <w:tcW w:w="1033" w:type="dxa"/>
            <w:tcBorders>
              <w:top w:val="single" w:sz="2" w:space="0" w:color="auto"/>
              <w:left w:val="single" w:sz="8" w:space="0" w:color="auto"/>
              <w:bottom w:val="dotted" w:sz="4" w:space="0" w:color="auto"/>
              <w:right w:val="single" w:sz="8" w:space="0" w:color="auto"/>
            </w:tcBorders>
          </w:tcPr>
          <w:p w:rsidR="00E87839" w:rsidRPr="000173D9" w:rsidRDefault="003D4282">
            <w:pPr>
              <w:jc w:val="right"/>
              <w:rPr>
                <w:rFonts w:ascii="Calibri" w:hAnsi="Calibri" w:cs="Calibri"/>
                <w:sz w:val="22"/>
                <w:szCs w:val="22"/>
              </w:rPr>
            </w:pPr>
            <w:r w:rsidRPr="000173D9">
              <w:rPr>
                <w:rFonts w:ascii="Calibri" w:hAnsi="Calibri" w:cs="Calibri"/>
                <w:sz w:val="22"/>
                <w:szCs w:val="22"/>
              </w:rPr>
              <w:t>1.032.041</w:t>
            </w:r>
          </w:p>
        </w:tc>
        <w:tc>
          <w:tcPr>
            <w:tcW w:w="775" w:type="dxa"/>
            <w:tcBorders>
              <w:top w:val="single" w:sz="2" w:space="0" w:color="auto"/>
              <w:left w:val="single" w:sz="8" w:space="0" w:color="auto"/>
              <w:bottom w:val="dotted" w:sz="4" w:space="0" w:color="auto"/>
              <w:right w:val="single" w:sz="8" w:space="0" w:color="auto"/>
            </w:tcBorders>
            <w:vAlign w:val="bottom"/>
          </w:tcPr>
          <w:p w:rsidR="00E87839" w:rsidRPr="000173D9" w:rsidRDefault="0063670C">
            <w:pPr>
              <w:jc w:val="right"/>
              <w:rPr>
                <w:rFonts w:ascii="Calibri" w:hAnsi="Calibri" w:cs="Calibri"/>
                <w:sz w:val="22"/>
                <w:szCs w:val="22"/>
              </w:rPr>
            </w:pPr>
            <w:r w:rsidRPr="000173D9">
              <w:rPr>
                <w:rFonts w:ascii="Calibri" w:hAnsi="Calibri" w:cs="Calibri"/>
                <w:sz w:val="22"/>
                <w:szCs w:val="22"/>
              </w:rPr>
              <w:t>2</w:t>
            </w:r>
            <w:r w:rsidR="00F41E59" w:rsidRPr="000173D9">
              <w:rPr>
                <w:rFonts w:ascii="Calibri" w:hAnsi="Calibri" w:cs="Calibri"/>
                <w:sz w:val="22"/>
                <w:szCs w:val="22"/>
              </w:rPr>
              <w:t>73</w:t>
            </w:r>
            <w:r w:rsidR="00F96CF0" w:rsidRPr="000173D9">
              <w:rPr>
                <w:rFonts w:ascii="Calibri" w:hAnsi="Calibri" w:cs="Calibri"/>
                <w:sz w:val="22"/>
                <w:szCs w:val="22"/>
              </w:rPr>
              <w:t>,</w:t>
            </w:r>
            <w:r w:rsidR="00F41E59" w:rsidRPr="000173D9">
              <w:rPr>
                <w:rFonts w:ascii="Calibri" w:hAnsi="Calibri" w:cs="Calibri"/>
                <w:sz w:val="22"/>
                <w:szCs w:val="22"/>
              </w:rPr>
              <w:t>8</w:t>
            </w:r>
            <w:r w:rsidR="00F96CF0" w:rsidRPr="000173D9">
              <w:rPr>
                <w:rFonts w:ascii="Calibri" w:hAnsi="Calibri" w:cs="Calibri"/>
                <w:sz w:val="22"/>
                <w:szCs w:val="22"/>
              </w:rPr>
              <w:t>7</w:t>
            </w:r>
          </w:p>
        </w:tc>
      </w:tr>
      <w:tr w:rsidR="00E87839" w:rsidRPr="000173D9" w:rsidTr="009D0A0C">
        <w:tc>
          <w:tcPr>
            <w:tcW w:w="578" w:type="dxa"/>
            <w:tcBorders>
              <w:top w:val="single" w:sz="2" w:space="0" w:color="auto"/>
              <w:left w:val="single" w:sz="8" w:space="0" w:color="auto"/>
              <w:bottom w:val="single" w:sz="2" w:space="0" w:color="auto"/>
              <w:right w:val="single" w:sz="8" w:space="0" w:color="auto"/>
            </w:tcBorders>
            <w:noWrap/>
            <w:vAlign w:val="bottom"/>
            <w:hideMark/>
          </w:tcPr>
          <w:p w:rsidR="00E87839" w:rsidRPr="000173D9" w:rsidRDefault="00E87839" w:rsidP="00566F39">
            <w:pPr>
              <w:pStyle w:val="ListParagraph"/>
              <w:numPr>
                <w:ilvl w:val="0"/>
                <w:numId w:val="8"/>
              </w:numPr>
              <w:ind w:left="186" w:hanging="186"/>
              <w:jc w:val="center"/>
              <w:rPr>
                <w:rFonts w:ascii="Calibri" w:hAnsi="Calibri" w:cs="Calibri"/>
                <w:sz w:val="22"/>
                <w:szCs w:val="22"/>
              </w:rPr>
            </w:pPr>
          </w:p>
        </w:tc>
        <w:tc>
          <w:tcPr>
            <w:tcW w:w="6092" w:type="dxa"/>
            <w:tcBorders>
              <w:top w:val="single" w:sz="2" w:space="0" w:color="auto"/>
              <w:left w:val="nil"/>
              <w:bottom w:val="single" w:sz="2" w:space="0" w:color="auto"/>
              <w:right w:val="single" w:sz="8" w:space="0" w:color="auto"/>
            </w:tcBorders>
            <w:noWrap/>
            <w:vAlign w:val="bottom"/>
            <w:hideMark/>
          </w:tcPr>
          <w:p w:rsidR="00E87839" w:rsidRPr="000173D9" w:rsidRDefault="00E87839" w:rsidP="00271CC9">
            <w:pPr>
              <w:rPr>
                <w:rFonts w:ascii="Calibri" w:hAnsi="Calibri" w:cs="Calibri"/>
                <w:b/>
                <w:bCs/>
                <w:sz w:val="22"/>
                <w:szCs w:val="22"/>
              </w:rPr>
            </w:pPr>
            <w:r w:rsidRPr="000173D9">
              <w:rPr>
                <w:rFonts w:ascii="Calibri" w:hAnsi="Calibri" w:cs="Calibri"/>
                <w:b/>
                <w:bCs/>
                <w:sz w:val="22"/>
                <w:szCs w:val="22"/>
              </w:rPr>
              <w:t>Kratkoročno vezana sredstva (1 do 4)</w:t>
            </w:r>
          </w:p>
        </w:tc>
        <w:tc>
          <w:tcPr>
            <w:tcW w:w="1170" w:type="dxa"/>
            <w:tcBorders>
              <w:top w:val="single" w:sz="2" w:space="0" w:color="auto"/>
              <w:left w:val="nil"/>
              <w:bottom w:val="single" w:sz="2" w:space="0" w:color="auto"/>
              <w:right w:val="single" w:sz="8" w:space="0" w:color="auto"/>
            </w:tcBorders>
            <w:noWrap/>
          </w:tcPr>
          <w:p w:rsidR="00E87839" w:rsidRPr="000173D9" w:rsidRDefault="00C04C7F" w:rsidP="00C04C7F">
            <w:pPr>
              <w:jc w:val="center"/>
              <w:rPr>
                <w:rFonts w:ascii="Calibri" w:hAnsi="Calibri" w:cs="Calibri"/>
                <w:b/>
                <w:bCs/>
                <w:sz w:val="22"/>
                <w:szCs w:val="22"/>
              </w:rPr>
            </w:pPr>
            <w:r w:rsidRPr="000173D9">
              <w:rPr>
                <w:rFonts w:ascii="Calibri" w:hAnsi="Calibri" w:cs="Calibri"/>
                <w:b/>
                <w:bCs/>
                <w:sz w:val="22"/>
                <w:szCs w:val="22"/>
              </w:rPr>
              <w:t>2.</w:t>
            </w:r>
            <w:r w:rsidR="00E85557" w:rsidRPr="000173D9">
              <w:rPr>
                <w:rFonts w:ascii="Calibri" w:hAnsi="Calibri" w:cs="Calibri"/>
                <w:b/>
                <w:bCs/>
                <w:sz w:val="22"/>
                <w:szCs w:val="22"/>
              </w:rPr>
              <w:t>014</w:t>
            </w:r>
            <w:r w:rsidRPr="000173D9">
              <w:rPr>
                <w:rFonts w:ascii="Calibri" w:hAnsi="Calibri" w:cs="Calibri"/>
                <w:b/>
                <w:bCs/>
                <w:sz w:val="22"/>
                <w:szCs w:val="22"/>
              </w:rPr>
              <w:t>.</w:t>
            </w:r>
            <w:r w:rsidR="00E85557" w:rsidRPr="000173D9">
              <w:rPr>
                <w:rFonts w:ascii="Calibri" w:hAnsi="Calibri" w:cs="Calibri"/>
                <w:b/>
                <w:bCs/>
                <w:sz w:val="22"/>
                <w:szCs w:val="22"/>
              </w:rPr>
              <w:t>268</w:t>
            </w:r>
          </w:p>
        </w:tc>
        <w:tc>
          <w:tcPr>
            <w:tcW w:w="1033" w:type="dxa"/>
            <w:tcBorders>
              <w:top w:val="single" w:sz="2" w:space="0" w:color="auto"/>
              <w:left w:val="single" w:sz="8" w:space="0" w:color="auto"/>
              <w:bottom w:val="single" w:sz="2" w:space="0" w:color="auto"/>
              <w:right w:val="single" w:sz="8" w:space="0" w:color="auto"/>
            </w:tcBorders>
          </w:tcPr>
          <w:p w:rsidR="00E87839" w:rsidRPr="000173D9" w:rsidRDefault="00F41E59">
            <w:pPr>
              <w:jc w:val="right"/>
              <w:rPr>
                <w:rFonts w:ascii="Calibri" w:hAnsi="Calibri" w:cs="Calibri"/>
                <w:b/>
                <w:bCs/>
                <w:sz w:val="22"/>
                <w:szCs w:val="22"/>
              </w:rPr>
            </w:pPr>
            <w:r w:rsidRPr="000173D9">
              <w:rPr>
                <w:rFonts w:ascii="Calibri" w:hAnsi="Calibri" w:cs="Calibri"/>
                <w:b/>
                <w:bCs/>
                <w:sz w:val="22"/>
                <w:szCs w:val="22"/>
              </w:rPr>
              <w:t>3.430.387</w:t>
            </w:r>
          </w:p>
        </w:tc>
        <w:tc>
          <w:tcPr>
            <w:tcW w:w="775" w:type="dxa"/>
            <w:tcBorders>
              <w:top w:val="single" w:sz="2" w:space="0" w:color="auto"/>
              <w:left w:val="single" w:sz="8" w:space="0" w:color="auto"/>
              <w:bottom w:val="single" w:sz="2" w:space="0" w:color="auto"/>
              <w:right w:val="single" w:sz="8" w:space="0" w:color="auto"/>
            </w:tcBorders>
            <w:vAlign w:val="bottom"/>
          </w:tcPr>
          <w:p w:rsidR="00E87839" w:rsidRPr="000173D9" w:rsidRDefault="00F41E59" w:rsidP="00A37BA9">
            <w:pPr>
              <w:jc w:val="right"/>
              <w:rPr>
                <w:rFonts w:ascii="Calibri" w:hAnsi="Calibri" w:cs="Calibri"/>
                <w:b/>
                <w:bCs/>
                <w:sz w:val="22"/>
                <w:szCs w:val="22"/>
              </w:rPr>
            </w:pPr>
            <w:r w:rsidRPr="000173D9">
              <w:rPr>
                <w:rFonts w:ascii="Calibri" w:hAnsi="Calibri" w:cs="Calibri"/>
                <w:b/>
                <w:bCs/>
                <w:sz w:val="22"/>
                <w:szCs w:val="22"/>
              </w:rPr>
              <w:t>170</w:t>
            </w:r>
            <w:r w:rsidR="0035604D" w:rsidRPr="000173D9">
              <w:rPr>
                <w:rFonts w:ascii="Calibri" w:hAnsi="Calibri" w:cs="Calibri"/>
                <w:b/>
                <w:bCs/>
                <w:sz w:val="22"/>
                <w:szCs w:val="22"/>
              </w:rPr>
              <w:t>,</w:t>
            </w:r>
            <w:r w:rsidRPr="000173D9">
              <w:rPr>
                <w:rFonts w:ascii="Calibri" w:hAnsi="Calibri" w:cs="Calibri"/>
                <w:b/>
                <w:bCs/>
                <w:sz w:val="22"/>
                <w:szCs w:val="22"/>
              </w:rPr>
              <w:t>3</w:t>
            </w:r>
            <w:r w:rsidR="0035604D" w:rsidRPr="000173D9">
              <w:rPr>
                <w:rFonts w:ascii="Calibri" w:hAnsi="Calibri" w:cs="Calibri"/>
                <w:b/>
                <w:bCs/>
                <w:sz w:val="22"/>
                <w:szCs w:val="22"/>
              </w:rPr>
              <w:t>0</w:t>
            </w:r>
          </w:p>
        </w:tc>
      </w:tr>
      <w:tr w:rsidR="00E87839" w:rsidRPr="000173D9" w:rsidTr="009D0A0C">
        <w:tc>
          <w:tcPr>
            <w:tcW w:w="578" w:type="dxa"/>
            <w:tcBorders>
              <w:top w:val="single" w:sz="2" w:space="0" w:color="auto"/>
              <w:left w:val="single" w:sz="8" w:space="0" w:color="auto"/>
              <w:bottom w:val="single" w:sz="2" w:space="0" w:color="auto"/>
              <w:right w:val="single" w:sz="8" w:space="0" w:color="auto"/>
            </w:tcBorders>
            <w:noWrap/>
            <w:vAlign w:val="bottom"/>
            <w:hideMark/>
          </w:tcPr>
          <w:p w:rsidR="00E87839" w:rsidRPr="000173D9" w:rsidRDefault="00E87839" w:rsidP="00566F39">
            <w:pPr>
              <w:pStyle w:val="ListParagraph"/>
              <w:numPr>
                <w:ilvl w:val="0"/>
                <w:numId w:val="8"/>
              </w:numPr>
              <w:ind w:left="186" w:hanging="186"/>
              <w:jc w:val="center"/>
              <w:rPr>
                <w:rFonts w:ascii="Calibri" w:hAnsi="Calibri" w:cs="Calibri"/>
                <w:sz w:val="22"/>
                <w:szCs w:val="22"/>
              </w:rPr>
            </w:pPr>
          </w:p>
        </w:tc>
        <w:tc>
          <w:tcPr>
            <w:tcW w:w="6092" w:type="dxa"/>
            <w:tcBorders>
              <w:top w:val="single" w:sz="2" w:space="0" w:color="auto"/>
              <w:left w:val="nil"/>
              <w:bottom w:val="single" w:sz="2" w:space="0" w:color="auto"/>
              <w:right w:val="single" w:sz="8" w:space="0" w:color="auto"/>
            </w:tcBorders>
            <w:noWrap/>
            <w:vAlign w:val="bottom"/>
            <w:hideMark/>
          </w:tcPr>
          <w:p w:rsidR="00E87839" w:rsidRPr="000173D9" w:rsidRDefault="00E87839" w:rsidP="00271CC9">
            <w:pPr>
              <w:rPr>
                <w:rFonts w:ascii="Calibri" w:hAnsi="Calibri" w:cs="Calibri"/>
                <w:b/>
                <w:bCs/>
                <w:sz w:val="22"/>
                <w:szCs w:val="22"/>
              </w:rPr>
            </w:pPr>
            <w:r w:rsidRPr="000173D9">
              <w:rPr>
                <w:rFonts w:ascii="Calibri" w:hAnsi="Calibri" w:cs="Calibri"/>
                <w:b/>
                <w:bCs/>
                <w:sz w:val="22"/>
                <w:szCs w:val="22"/>
              </w:rPr>
              <w:t>Likvidna kratkoročno vezana sredstva (2 do 4)</w:t>
            </w:r>
          </w:p>
        </w:tc>
        <w:tc>
          <w:tcPr>
            <w:tcW w:w="1170" w:type="dxa"/>
            <w:tcBorders>
              <w:top w:val="single" w:sz="2" w:space="0" w:color="auto"/>
              <w:left w:val="nil"/>
              <w:bottom w:val="single" w:sz="2" w:space="0" w:color="auto"/>
              <w:right w:val="single" w:sz="8" w:space="0" w:color="auto"/>
            </w:tcBorders>
            <w:noWrap/>
          </w:tcPr>
          <w:p w:rsidR="00E87839" w:rsidRPr="000173D9" w:rsidRDefault="00467CC9" w:rsidP="00467CC9">
            <w:pPr>
              <w:jc w:val="right"/>
              <w:rPr>
                <w:rFonts w:ascii="Calibri" w:hAnsi="Calibri" w:cs="Calibri"/>
                <w:b/>
                <w:bCs/>
                <w:sz w:val="22"/>
                <w:szCs w:val="22"/>
              </w:rPr>
            </w:pPr>
            <w:r w:rsidRPr="000173D9">
              <w:rPr>
                <w:rFonts w:ascii="Calibri" w:hAnsi="Calibri" w:cs="Calibri"/>
                <w:b/>
                <w:bCs/>
                <w:sz w:val="22"/>
                <w:szCs w:val="22"/>
              </w:rPr>
              <w:t>2</w:t>
            </w:r>
            <w:r w:rsidR="002D7DE0" w:rsidRPr="000173D9">
              <w:rPr>
                <w:rFonts w:ascii="Calibri" w:hAnsi="Calibri" w:cs="Calibri"/>
                <w:b/>
                <w:bCs/>
                <w:sz w:val="22"/>
                <w:szCs w:val="22"/>
              </w:rPr>
              <w:t>.</w:t>
            </w:r>
            <w:r w:rsidR="00E85557" w:rsidRPr="000173D9">
              <w:rPr>
                <w:rFonts w:ascii="Calibri" w:hAnsi="Calibri" w:cs="Calibri"/>
                <w:b/>
                <w:bCs/>
                <w:sz w:val="22"/>
                <w:szCs w:val="22"/>
              </w:rPr>
              <w:t>014</w:t>
            </w:r>
            <w:r w:rsidRPr="000173D9">
              <w:rPr>
                <w:rFonts w:ascii="Calibri" w:hAnsi="Calibri" w:cs="Calibri"/>
                <w:b/>
                <w:bCs/>
                <w:sz w:val="22"/>
                <w:szCs w:val="22"/>
              </w:rPr>
              <w:t>.</w:t>
            </w:r>
            <w:r w:rsidR="00E85557" w:rsidRPr="000173D9">
              <w:rPr>
                <w:rFonts w:ascii="Calibri" w:hAnsi="Calibri" w:cs="Calibri"/>
                <w:b/>
                <w:bCs/>
                <w:sz w:val="22"/>
                <w:szCs w:val="22"/>
              </w:rPr>
              <w:t>268</w:t>
            </w:r>
          </w:p>
        </w:tc>
        <w:tc>
          <w:tcPr>
            <w:tcW w:w="1033" w:type="dxa"/>
            <w:tcBorders>
              <w:top w:val="single" w:sz="2" w:space="0" w:color="auto"/>
              <w:left w:val="single" w:sz="8" w:space="0" w:color="auto"/>
              <w:bottom w:val="single" w:sz="2" w:space="0" w:color="auto"/>
              <w:right w:val="single" w:sz="8" w:space="0" w:color="auto"/>
            </w:tcBorders>
          </w:tcPr>
          <w:p w:rsidR="00E87839" w:rsidRPr="000173D9" w:rsidRDefault="00F41E59">
            <w:pPr>
              <w:jc w:val="right"/>
              <w:rPr>
                <w:rFonts w:ascii="Calibri" w:hAnsi="Calibri" w:cs="Calibri"/>
                <w:b/>
                <w:bCs/>
                <w:sz w:val="22"/>
                <w:szCs w:val="22"/>
              </w:rPr>
            </w:pPr>
            <w:r w:rsidRPr="000173D9">
              <w:rPr>
                <w:rFonts w:ascii="Calibri" w:hAnsi="Calibri" w:cs="Calibri"/>
                <w:b/>
                <w:bCs/>
                <w:sz w:val="22"/>
                <w:szCs w:val="22"/>
              </w:rPr>
              <w:t>3</w:t>
            </w:r>
            <w:r w:rsidR="00D565EF" w:rsidRPr="000173D9">
              <w:rPr>
                <w:rFonts w:ascii="Calibri" w:hAnsi="Calibri" w:cs="Calibri"/>
                <w:b/>
                <w:bCs/>
                <w:sz w:val="22"/>
                <w:szCs w:val="22"/>
              </w:rPr>
              <w:t>.</w:t>
            </w:r>
            <w:r w:rsidRPr="000173D9">
              <w:rPr>
                <w:rFonts w:ascii="Calibri" w:hAnsi="Calibri" w:cs="Calibri"/>
                <w:b/>
                <w:bCs/>
                <w:sz w:val="22"/>
                <w:szCs w:val="22"/>
              </w:rPr>
              <w:t>430</w:t>
            </w:r>
            <w:r w:rsidR="00D565EF" w:rsidRPr="000173D9">
              <w:rPr>
                <w:rFonts w:ascii="Calibri" w:hAnsi="Calibri" w:cs="Calibri"/>
                <w:b/>
                <w:bCs/>
                <w:sz w:val="22"/>
                <w:szCs w:val="22"/>
              </w:rPr>
              <w:t>.</w:t>
            </w:r>
            <w:r w:rsidRPr="000173D9">
              <w:rPr>
                <w:rFonts w:ascii="Calibri" w:hAnsi="Calibri" w:cs="Calibri"/>
                <w:b/>
                <w:bCs/>
                <w:sz w:val="22"/>
                <w:szCs w:val="22"/>
              </w:rPr>
              <w:t>387</w:t>
            </w:r>
          </w:p>
        </w:tc>
        <w:tc>
          <w:tcPr>
            <w:tcW w:w="775" w:type="dxa"/>
            <w:tcBorders>
              <w:top w:val="single" w:sz="2" w:space="0" w:color="auto"/>
              <w:left w:val="single" w:sz="8" w:space="0" w:color="auto"/>
              <w:bottom w:val="single" w:sz="2" w:space="0" w:color="auto"/>
              <w:right w:val="single" w:sz="8" w:space="0" w:color="auto"/>
            </w:tcBorders>
            <w:vAlign w:val="bottom"/>
          </w:tcPr>
          <w:p w:rsidR="00E87839" w:rsidRPr="000173D9" w:rsidRDefault="00F41E59" w:rsidP="00F41E59">
            <w:pPr>
              <w:jc w:val="center"/>
              <w:rPr>
                <w:rFonts w:ascii="Calibri" w:hAnsi="Calibri" w:cs="Calibri"/>
                <w:b/>
                <w:bCs/>
                <w:sz w:val="22"/>
                <w:szCs w:val="22"/>
              </w:rPr>
            </w:pPr>
            <w:r w:rsidRPr="000173D9">
              <w:rPr>
                <w:rFonts w:ascii="Calibri" w:hAnsi="Calibri" w:cs="Calibri"/>
                <w:b/>
                <w:bCs/>
                <w:sz w:val="22"/>
                <w:szCs w:val="22"/>
              </w:rPr>
              <w:t>170</w:t>
            </w:r>
            <w:r w:rsidR="002F1731" w:rsidRPr="000173D9">
              <w:rPr>
                <w:rFonts w:ascii="Calibri" w:hAnsi="Calibri" w:cs="Calibri"/>
                <w:b/>
                <w:bCs/>
                <w:sz w:val="22"/>
                <w:szCs w:val="22"/>
              </w:rPr>
              <w:t>,</w:t>
            </w:r>
            <w:r w:rsidRPr="000173D9">
              <w:rPr>
                <w:rFonts w:ascii="Calibri" w:hAnsi="Calibri" w:cs="Calibri"/>
                <w:b/>
                <w:bCs/>
                <w:sz w:val="22"/>
                <w:szCs w:val="22"/>
              </w:rPr>
              <w:t>3</w:t>
            </w:r>
            <w:r w:rsidR="002F1731" w:rsidRPr="000173D9">
              <w:rPr>
                <w:rFonts w:ascii="Calibri" w:hAnsi="Calibri" w:cs="Calibri"/>
                <w:b/>
                <w:bCs/>
                <w:sz w:val="22"/>
                <w:szCs w:val="22"/>
              </w:rPr>
              <w:t>0</w:t>
            </w:r>
          </w:p>
        </w:tc>
      </w:tr>
      <w:tr w:rsidR="00E87839" w:rsidRPr="000173D9" w:rsidTr="009D0A0C">
        <w:tc>
          <w:tcPr>
            <w:tcW w:w="578" w:type="dxa"/>
            <w:tcBorders>
              <w:top w:val="single" w:sz="2" w:space="0" w:color="auto"/>
              <w:left w:val="single" w:sz="8" w:space="0" w:color="auto"/>
              <w:bottom w:val="single" w:sz="8" w:space="0" w:color="auto"/>
              <w:right w:val="single" w:sz="8" w:space="0" w:color="auto"/>
            </w:tcBorders>
            <w:noWrap/>
            <w:vAlign w:val="bottom"/>
            <w:hideMark/>
          </w:tcPr>
          <w:p w:rsidR="00E87839" w:rsidRPr="000173D9" w:rsidRDefault="00E87839" w:rsidP="00566F39">
            <w:pPr>
              <w:pStyle w:val="ListParagraph"/>
              <w:numPr>
                <w:ilvl w:val="0"/>
                <w:numId w:val="8"/>
              </w:numPr>
              <w:ind w:left="186" w:hanging="186"/>
              <w:jc w:val="center"/>
              <w:rPr>
                <w:rFonts w:ascii="Calibri" w:hAnsi="Calibri" w:cs="Calibri"/>
                <w:sz w:val="22"/>
                <w:szCs w:val="22"/>
              </w:rPr>
            </w:pPr>
          </w:p>
        </w:tc>
        <w:tc>
          <w:tcPr>
            <w:tcW w:w="6092" w:type="dxa"/>
            <w:tcBorders>
              <w:top w:val="single" w:sz="2" w:space="0" w:color="auto"/>
              <w:left w:val="nil"/>
              <w:bottom w:val="single" w:sz="8" w:space="0" w:color="auto"/>
              <w:right w:val="single" w:sz="8" w:space="0" w:color="auto"/>
            </w:tcBorders>
            <w:noWrap/>
            <w:vAlign w:val="bottom"/>
            <w:hideMark/>
          </w:tcPr>
          <w:p w:rsidR="00E87839" w:rsidRPr="000173D9" w:rsidRDefault="00E87839" w:rsidP="00AE0816">
            <w:pPr>
              <w:rPr>
                <w:rFonts w:ascii="Calibri" w:hAnsi="Calibri" w:cs="Calibri"/>
                <w:b/>
                <w:bCs/>
                <w:sz w:val="22"/>
                <w:szCs w:val="22"/>
              </w:rPr>
            </w:pPr>
            <w:r w:rsidRPr="000173D9">
              <w:rPr>
                <w:rFonts w:ascii="Calibri" w:hAnsi="Calibri" w:cs="Calibri"/>
                <w:b/>
                <w:bCs/>
                <w:sz w:val="22"/>
                <w:szCs w:val="22"/>
              </w:rPr>
              <w:t>Kratkoročne obaveze</w:t>
            </w:r>
          </w:p>
        </w:tc>
        <w:tc>
          <w:tcPr>
            <w:tcW w:w="1170" w:type="dxa"/>
            <w:tcBorders>
              <w:top w:val="single" w:sz="2" w:space="0" w:color="auto"/>
              <w:left w:val="nil"/>
              <w:bottom w:val="single" w:sz="8" w:space="0" w:color="auto"/>
              <w:right w:val="single" w:sz="8" w:space="0" w:color="auto"/>
            </w:tcBorders>
            <w:noWrap/>
          </w:tcPr>
          <w:p w:rsidR="00E87839" w:rsidRPr="000173D9" w:rsidRDefault="00E85557" w:rsidP="004C1F46">
            <w:pPr>
              <w:jc w:val="right"/>
              <w:rPr>
                <w:rFonts w:ascii="Calibri" w:hAnsi="Calibri" w:cs="Calibri"/>
                <w:b/>
                <w:bCs/>
                <w:sz w:val="22"/>
                <w:szCs w:val="22"/>
              </w:rPr>
            </w:pPr>
            <w:r w:rsidRPr="000173D9">
              <w:rPr>
                <w:rFonts w:ascii="Calibri" w:hAnsi="Calibri" w:cs="Calibri"/>
                <w:b/>
                <w:bCs/>
                <w:sz w:val="22"/>
                <w:szCs w:val="22"/>
              </w:rPr>
              <w:t>48</w:t>
            </w:r>
            <w:r w:rsidR="00467CC9" w:rsidRPr="000173D9">
              <w:rPr>
                <w:rFonts w:ascii="Calibri" w:hAnsi="Calibri" w:cs="Calibri"/>
                <w:b/>
                <w:bCs/>
                <w:sz w:val="22"/>
                <w:szCs w:val="22"/>
              </w:rPr>
              <w:t>.</w:t>
            </w:r>
            <w:r w:rsidRPr="000173D9">
              <w:rPr>
                <w:rFonts w:ascii="Calibri" w:hAnsi="Calibri" w:cs="Calibri"/>
                <w:b/>
                <w:bCs/>
                <w:sz w:val="22"/>
                <w:szCs w:val="22"/>
              </w:rPr>
              <w:t>233</w:t>
            </w:r>
          </w:p>
        </w:tc>
        <w:tc>
          <w:tcPr>
            <w:tcW w:w="1033" w:type="dxa"/>
            <w:tcBorders>
              <w:top w:val="single" w:sz="2" w:space="0" w:color="auto"/>
              <w:left w:val="single" w:sz="8" w:space="0" w:color="auto"/>
              <w:bottom w:val="single" w:sz="8" w:space="0" w:color="auto"/>
              <w:right w:val="single" w:sz="8" w:space="0" w:color="auto"/>
            </w:tcBorders>
          </w:tcPr>
          <w:p w:rsidR="00E87839" w:rsidRPr="000173D9" w:rsidRDefault="005031AE">
            <w:pPr>
              <w:jc w:val="right"/>
              <w:rPr>
                <w:rFonts w:ascii="Calibri" w:hAnsi="Calibri" w:cs="Calibri"/>
                <w:b/>
                <w:bCs/>
                <w:sz w:val="22"/>
                <w:szCs w:val="22"/>
              </w:rPr>
            </w:pPr>
            <w:r w:rsidRPr="000173D9">
              <w:rPr>
                <w:rFonts w:ascii="Calibri" w:hAnsi="Calibri" w:cs="Calibri"/>
                <w:b/>
                <w:bCs/>
                <w:sz w:val="22"/>
                <w:szCs w:val="22"/>
              </w:rPr>
              <w:t>25</w:t>
            </w:r>
            <w:r w:rsidR="009503C5" w:rsidRPr="000173D9">
              <w:rPr>
                <w:rFonts w:ascii="Calibri" w:hAnsi="Calibri" w:cs="Calibri"/>
                <w:b/>
                <w:bCs/>
                <w:sz w:val="22"/>
                <w:szCs w:val="22"/>
              </w:rPr>
              <w:t>.</w:t>
            </w:r>
            <w:r w:rsidRPr="000173D9">
              <w:rPr>
                <w:rFonts w:ascii="Calibri" w:hAnsi="Calibri" w:cs="Calibri"/>
                <w:b/>
                <w:bCs/>
                <w:sz w:val="22"/>
                <w:szCs w:val="22"/>
              </w:rPr>
              <w:t>494</w:t>
            </w:r>
          </w:p>
        </w:tc>
        <w:tc>
          <w:tcPr>
            <w:tcW w:w="775" w:type="dxa"/>
            <w:tcBorders>
              <w:top w:val="single" w:sz="2" w:space="0" w:color="auto"/>
              <w:left w:val="single" w:sz="8" w:space="0" w:color="auto"/>
              <w:bottom w:val="single" w:sz="8" w:space="0" w:color="auto"/>
              <w:right w:val="single" w:sz="8" w:space="0" w:color="auto"/>
            </w:tcBorders>
            <w:vAlign w:val="bottom"/>
          </w:tcPr>
          <w:p w:rsidR="00E87839" w:rsidRPr="000173D9" w:rsidRDefault="005031AE">
            <w:pPr>
              <w:jc w:val="right"/>
              <w:rPr>
                <w:rFonts w:ascii="Calibri" w:hAnsi="Calibri" w:cs="Calibri"/>
                <w:b/>
                <w:bCs/>
                <w:sz w:val="22"/>
                <w:szCs w:val="22"/>
              </w:rPr>
            </w:pPr>
            <w:r w:rsidRPr="000173D9">
              <w:rPr>
                <w:rFonts w:ascii="Calibri" w:hAnsi="Calibri" w:cs="Calibri"/>
                <w:b/>
                <w:bCs/>
                <w:sz w:val="22"/>
                <w:szCs w:val="22"/>
              </w:rPr>
              <w:t>52</w:t>
            </w:r>
            <w:r w:rsidR="0063670C" w:rsidRPr="000173D9">
              <w:rPr>
                <w:rFonts w:ascii="Calibri" w:hAnsi="Calibri" w:cs="Calibri"/>
                <w:b/>
                <w:bCs/>
                <w:sz w:val="22"/>
                <w:szCs w:val="22"/>
              </w:rPr>
              <w:t>.</w:t>
            </w:r>
            <w:r w:rsidRPr="000173D9">
              <w:rPr>
                <w:rFonts w:ascii="Calibri" w:hAnsi="Calibri" w:cs="Calibri"/>
                <w:b/>
                <w:bCs/>
                <w:sz w:val="22"/>
                <w:szCs w:val="22"/>
              </w:rPr>
              <w:t>85</w:t>
            </w:r>
          </w:p>
        </w:tc>
      </w:tr>
    </w:tbl>
    <w:tbl>
      <w:tblPr>
        <w:tblpPr w:leftFromText="180" w:rightFromText="180" w:vertAnchor="text" w:horzAnchor="margin" w:tblpY="193"/>
        <w:tblW w:w="8734" w:type="dxa"/>
        <w:tblLook w:val="04A0" w:firstRow="1" w:lastRow="0" w:firstColumn="1" w:lastColumn="0" w:noHBand="0" w:noVBand="1"/>
      </w:tblPr>
      <w:tblGrid>
        <w:gridCol w:w="2556"/>
        <w:gridCol w:w="3350"/>
        <w:gridCol w:w="424"/>
        <w:gridCol w:w="1273"/>
        <w:gridCol w:w="1131"/>
      </w:tblGrid>
      <w:tr w:rsidR="009D6209" w:rsidRPr="00AF4628" w:rsidTr="009D6209">
        <w:trPr>
          <w:trHeight w:val="331"/>
        </w:trPr>
        <w:tc>
          <w:tcPr>
            <w:tcW w:w="2556" w:type="dxa"/>
            <w:vMerge w:val="restart"/>
            <w:tcBorders>
              <w:top w:val="nil"/>
              <w:left w:val="nil"/>
              <w:bottom w:val="nil"/>
              <w:right w:val="nil"/>
            </w:tcBorders>
            <w:shd w:val="clear" w:color="auto" w:fill="auto"/>
            <w:noWrap/>
            <w:vAlign w:val="center"/>
            <w:hideMark/>
          </w:tcPr>
          <w:p w:rsidR="00566F39" w:rsidRPr="00AF4628" w:rsidRDefault="00566F39" w:rsidP="00AE0816">
            <w:pPr>
              <w:rPr>
                <w:rFonts w:ascii="Calibri" w:hAnsi="Calibri" w:cs="Times New Roman"/>
                <w:iCs/>
                <w:sz w:val="20"/>
                <w:szCs w:val="20"/>
                <w:lang w:val="en-US"/>
              </w:rPr>
            </w:pPr>
            <w:r w:rsidRPr="00AF4628">
              <w:rPr>
                <w:rFonts w:ascii="Calibri" w:hAnsi="Calibri" w:cs="Calibri"/>
                <w:b/>
                <w:iCs/>
                <w:sz w:val="20"/>
                <w:szCs w:val="20"/>
              </w:rPr>
              <w:t>Racio trenutne likvidnosti  =</w:t>
            </w:r>
          </w:p>
        </w:tc>
        <w:tc>
          <w:tcPr>
            <w:tcW w:w="3350" w:type="dxa"/>
            <w:tcBorders>
              <w:top w:val="nil"/>
              <w:left w:val="nil"/>
              <w:bottom w:val="single" w:sz="4" w:space="0" w:color="auto"/>
              <w:right w:val="nil"/>
            </w:tcBorders>
            <w:shd w:val="clear" w:color="auto" w:fill="auto"/>
            <w:noWrap/>
            <w:vAlign w:val="bottom"/>
            <w:hideMark/>
          </w:tcPr>
          <w:p w:rsidR="00566F39" w:rsidRPr="00AF4628" w:rsidRDefault="00566F39" w:rsidP="00AE0816">
            <w:pPr>
              <w:jc w:val="center"/>
              <w:rPr>
                <w:rFonts w:ascii="Calibri" w:hAnsi="Calibri" w:cs="Times New Roman"/>
                <w:b/>
                <w:sz w:val="20"/>
                <w:szCs w:val="20"/>
                <w:lang w:val="en-US"/>
              </w:rPr>
            </w:pPr>
            <w:r w:rsidRPr="00AF4628">
              <w:rPr>
                <w:rFonts w:ascii="Calibri" w:hAnsi="Calibri" w:cs="Calibri"/>
                <w:b/>
                <w:sz w:val="20"/>
                <w:szCs w:val="20"/>
              </w:rPr>
              <w:t>Gotovina i ekvivalenti</w:t>
            </w:r>
          </w:p>
        </w:tc>
        <w:tc>
          <w:tcPr>
            <w:tcW w:w="424" w:type="dxa"/>
            <w:vMerge w:val="restart"/>
            <w:tcBorders>
              <w:top w:val="nil"/>
              <w:left w:val="nil"/>
              <w:bottom w:val="nil"/>
              <w:right w:val="nil"/>
            </w:tcBorders>
            <w:shd w:val="clear" w:color="auto" w:fill="auto"/>
            <w:noWrap/>
            <w:vAlign w:val="center"/>
            <w:hideMark/>
          </w:tcPr>
          <w:p w:rsidR="00566F39" w:rsidRPr="00AF4628" w:rsidRDefault="00566F39" w:rsidP="00AE0816">
            <w:pPr>
              <w:jc w:val="center"/>
              <w:rPr>
                <w:rFonts w:ascii="Calibri" w:hAnsi="Calibri" w:cs="Times New Roman"/>
                <w:b/>
                <w:sz w:val="20"/>
                <w:szCs w:val="20"/>
                <w:lang w:val="en-US"/>
              </w:rPr>
            </w:pPr>
            <w:r w:rsidRPr="00AF4628">
              <w:rPr>
                <w:rFonts w:ascii="Calibri" w:hAnsi="Calibri" w:cs="Times New Roman"/>
                <w:b/>
                <w:sz w:val="20"/>
                <w:szCs w:val="20"/>
                <w:lang w:val="en-US"/>
              </w:rPr>
              <w:t>=</w:t>
            </w:r>
          </w:p>
        </w:tc>
        <w:tc>
          <w:tcPr>
            <w:tcW w:w="1273" w:type="dxa"/>
            <w:tcBorders>
              <w:top w:val="nil"/>
              <w:left w:val="nil"/>
              <w:bottom w:val="single" w:sz="4" w:space="0" w:color="auto"/>
              <w:right w:val="nil"/>
            </w:tcBorders>
            <w:shd w:val="clear" w:color="auto" w:fill="auto"/>
            <w:vAlign w:val="bottom"/>
            <w:hideMark/>
          </w:tcPr>
          <w:p w:rsidR="00566F39" w:rsidRPr="00AF4628" w:rsidRDefault="00E70025" w:rsidP="00AE0816">
            <w:pPr>
              <w:jc w:val="center"/>
              <w:rPr>
                <w:rFonts w:ascii="Calibri" w:hAnsi="Calibri" w:cs="Times New Roman"/>
                <w:b/>
                <w:sz w:val="20"/>
                <w:szCs w:val="20"/>
                <w:lang w:val="en-US"/>
              </w:rPr>
            </w:pPr>
            <w:r>
              <w:rPr>
                <w:rFonts w:ascii="Calibri" w:hAnsi="Calibri" w:cs="Times New Roman"/>
                <w:b/>
                <w:sz w:val="20"/>
                <w:szCs w:val="20"/>
              </w:rPr>
              <w:t>1.078</w:t>
            </w:r>
            <w:r w:rsidR="0063670C">
              <w:rPr>
                <w:rFonts w:ascii="Calibri" w:hAnsi="Calibri" w:cs="Times New Roman"/>
                <w:b/>
                <w:sz w:val="20"/>
                <w:szCs w:val="20"/>
              </w:rPr>
              <w:t>.0</w:t>
            </w:r>
            <w:r>
              <w:rPr>
                <w:rFonts w:ascii="Calibri" w:hAnsi="Calibri" w:cs="Times New Roman"/>
                <w:b/>
                <w:sz w:val="20"/>
                <w:szCs w:val="20"/>
              </w:rPr>
              <w:t>14</w:t>
            </w:r>
          </w:p>
        </w:tc>
        <w:tc>
          <w:tcPr>
            <w:tcW w:w="1131" w:type="dxa"/>
            <w:vMerge w:val="restart"/>
            <w:tcBorders>
              <w:top w:val="nil"/>
              <w:left w:val="nil"/>
              <w:right w:val="nil"/>
            </w:tcBorders>
            <w:vAlign w:val="center"/>
          </w:tcPr>
          <w:p w:rsidR="00566F39" w:rsidRPr="00AF4628" w:rsidRDefault="00566F39" w:rsidP="00651715">
            <w:pPr>
              <w:rPr>
                <w:rFonts w:ascii="Calibri" w:hAnsi="Calibri" w:cs="Calibri"/>
                <w:b/>
                <w:sz w:val="20"/>
                <w:szCs w:val="20"/>
              </w:rPr>
            </w:pPr>
            <w:r w:rsidRPr="00AF4628">
              <w:rPr>
                <w:rFonts w:ascii="Calibri" w:hAnsi="Calibri" w:cs="Calibri"/>
                <w:b/>
                <w:sz w:val="20"/>
                <w:szCs w:val="20"/>
              </w:rPr>
              <w:t xml:space="preserve">= </w:t>
            </w:r>
            <w:r w:rsidR="00E70025">
              <w:rPr>
                <w:rFonts w:ascii="Calibri" w:hAnsi="Calibri" w:cs="Calibri"/>
                <w:b/>
                <w:sz w:val="20"/>
                <w:szCs w:val="20"/>
              </w:rPr>
              <w:t>4</w:t>
            </w:r>
            <w:r w:rsidR="00EE146B">
              <w:rPr>
                <w:rFonts w:ascii="Calibri" w:hAnsi="Calibri" w:cs="Calibri"/>
                <w:b/>
                <w:sz w:val="20"/>
                <w:szCs w:val="20"/>
              </w:rPr>
              <w:t>2</w:t>
            </w:r>
            <w:r w:rsidRPr="00AF4628">
              <w:rPr>
                <w:rFonts w:ascii="Calibri" w:hAnsi="Calibri" w:cs="Calibri"/>
                <w:b/>
                <w:sz w:val="20"/>
                <w:szCs w:val="20"/>
              </w:rPr>
              <w:t>,</w:t>
            </w:r>
            <w:r w:rsidR="00EE146B">
              <w:rPr>
                <w:rFonts w:ascii="Calibri" w:hAnsi="Calibri" w:cs="Calibri"/>
                <w:b/>
                <w:sz w:val="20"/>
                <w:szCs w:val="20"/>
              </w:rPr>
              <w:t>28</w:t>
            </w:r>
          </w:p>
        </w:tc>
      </w:tr>
      <w:tr w:rsidR="009D6209" w:rsidRPr="0029772B" w:rsidTr="009D6209">
        <w:trPr>
          <w:trHeight w:val="315"/>
        </w:trPr>
        <w:tc>
          <w:tcPr>
            <w:tcW w:w="2556" w:type="dxa"/>
            <w:vMerge/>
            <w:tcBorders>
              <w:top w:val="nil"/>
              <w:left w:val="nil"/>
              <w:bottom w:val="nil"/>
              <w:right w:val="nil"/>
            </w:tcBorders>
            <w:vAlign w:val="center"/>
            <w:hideMark/>
          </w:tcPr>
          <w:p w:rsidR="00566F39" w:rsidRPr="00AF4628" w:rsidRDefault="00566F39" w:rsidP="00AE0816">
            <w:pPr>
              <w:rPr>
                <w:rFonts w:ascii="Calibri" w:hAnsi="Calibri" w:cs="Times New Roman"/>
                <w:b/>
                <w:iCs/>
                <w:sz w:val="20"/>
                <w:szCs w:val="20"/>
                <w:lang w:val="en-US"/>
              </w:rPr>
            </w:pPr>
          </w:p>
        </w:tc>
        <w:tc>
          <w:tcPr>
            <w:tcW w:w="3350" w:type="dxa"/>
            <w:tcBorders>
              <w:top w:val="single" w:sz="4" w:space="0" w:color="auto"/>
              <w:left w:val="nil"/>
              <w:bottom w:val="nil"/>
              <w:right w:val="nil"/>
            </w:tcBorders>
            <w:shd w:val="clear" w:color="auto" w:fill="auto"/>
            <w:noWrap/>
            <w:vAlign w:val="bottom"/>
            <w:hideMark/>
          </w:tcPr>
          <w:p w:rsidR="00566F39" w:rsidRPr="00AF4628" w:rsidRDefault="00566F39" w:rsidP="00AE0816">
            <w:pPr>
              <w:jc w:val="center"/>
              <w:rPr>
                <w:rFonts w:ascii="Calibri" w:hAnsi="Calibri" w:cs="Times New Roman"/>
                <w:b/>
                <w:bCs/>
                <w:sz w:val="20"/>
                <w:szCs w:val="20"/>
                <w:lang w:val="en-US"/>
              </w:rPr>
            </w:pPr>
            <w:r w:rsidRPr="00AF4628">
              <w:rPr>
                <w:rFonts w:ascii="Calibri" w:hAnsi="Calibri" w:cs="Calibri"/>
                <w:b/>
                <w:bCs/>
                <w:sz w:val="20"/>
                <w:szCs w:val="20"/>
              </w:rPr>
              <w:t>Kratkoročne obaveze</w:t>
            </w:r>
          </w:p>
        </w:tc>
        <w:tc>
          <w:tcPr>
            <w:tcW w:w="424" w:type="dxa"/>
            <w:vMerge/>
            <w:tcBorders>
              <w:top w:val="nil"/>
              <w:left w:val="nil"/>
              <w:bottom w:val="nil"/>
              <w:right w:val="nil"/>
            </w:tcBorders>
            <w:vAlign w:val="center"/>
            <w:hideMark/>
          </w:tcPr>
          <w:p w:rsidR="00566F39" w:rsidRPr="00AF4628" w:rsidRDefault="00566F39" w:rsidP="00AE0816">
            <w:pPr>
              <w:rPr>
                <w:rFonts w:ascii="Calibri" w:hAnsi="Calibri" w:cs="Times New Roman"/>
                <w:b/>
                <w:sz w:val="20"/>
                <w:szCs w:val="20"/>
                <w:lang w:val="en-US"/>
              </w:rPr>
            </w:pPr>
          </w:p>
        </w:tc>
        <w:tc>
          <w:tcPr>
            <w:tcW w:w="1273" w:type="dxa"/>
            <w:tcBorders>
              <w:top w:val="single" w:sz="4" w:space="0" w:color="auto"/>
              <w:left w:val="nil"/>
              <w:bottom w:val="nil"/>
              <w:right w:val="nil"/>
            </w:tcBorders>
            <w:shd w:val="clear" w:color="auto" w:fill="auto"/>
            <w:vAlign w:val="bottom"/>
            <w:hideMark/>
          </w:tcPr>
          <w:p w:rsidR="00566F39" w:rsidRPr="00AF4628" w:rsidRDefault="00C74BA3" w:rsidP="00651715">
            <w:pPr>
              <w:rPr>
                <w:rFonts w:ascii="Calibri" w:hAnsi="Calibri" w:cs="Times New Roman"/>
                <w:b/>
                <w:bCs/>
                <w:sz w:val="20"/>
                <w:szCs w:val="20"/>
                <w:lang w:val="en-US"/>
              </w:rPr>
            </w:pPr>
            <w:r w:rsidRPr="00AF4628">
              <w:rPr>
                <w:rFonts w:ascii="Calibri" w:hAnsi="Calibri" w:cs="Calibri"/>
                <w:b/>
                <w:bCs/>
                <w:sz w:val="20"/>
                <w:szCs w:val="20"/>
              </w:rPr>
              <w:t xml:space="preserve">    </w:t>
            </w:r>
            <w:r w:rsidR="00E70025">
              <w:rPr>
                <w:rFonts w:ascii="Calibri" w:hAnsi="Calibri" w:cs="Calibri"/>
                <w:b/>
                <w:bCs/>
                <w:sz w:val="20"/>
                <w:szCs w:val="20"/>
              </w:rPr>
              <w:t>25</w:t>
            </w:r>
            <w:r w:rsidR="0063670C">
              <w:rPr>
                <w:rFonts w:ascii="Calibri" w:hAnsi="Calibri" w:cs="Calibri"/>
                <w:b/>
                <w:bCs/>
                <w:sz w:val="20"/>
                <w:szCs w:val="20"/>
              </w:rPr>
              <w:t>.</w:t>
            </w:r>
            <w:r w:rsidR="00E70025">
              <w:rPr>
                <w:rFonts w:ascii="Calibri" w:hAnsi="Calibri" w:cs="Calibri"/>
                <w:b/>
                <w:bCs/>
                <w:sz w:val="20"/>
                <w:szCs w:val="20"/>
              </w:rPr>
              <w:t>49</w:t>
            </w:r>
            <w:r w:rsidR="00EE146B">
              <w:rPr>
                <w:rFonts w:ascii="Calibri" w:hAnsi="Calibri" w:cs="Calibri"/>
                <w:b/>
                <w:bCs/>
                <w:sz w:val="20"/>
                <w:szCs w:val="20"/>
              </w:rPr>
              <w:t>4</w:t>
            </w:r>
          </w:p>
        </w:tc>
        <w:tc>
          <w:tcPr>
            <w:tcW w:w="1131" w:type="dxa"/>
            <w:vMerge/>
            <w:tcBorders>
              <w:left w:val="nil"/>
              <w:bottom w:val="nil"/>
              <w:right w:val="nil"/>
            </w:tcBorders>
          </w:tcPr>
          <w:p w:rsidR="00566F39" w:rsidRPr="00AF4628" w:rsidRDefault="00566F39" w:rsidP="00AE0816">
            <w:pPr>
              <w:jc w:val="right"/>
              <w:rPr>
                <w:rFonts w:ascii="Calibri" w:hAnsi="Calibri" w:cs="Calibri"/>
                <w:b/>
                <w:bCs/>
                <w:sz w:val="20"/>
                <w:szCs w:val="20"/>
              </w:rPr>
            </w:pPr>
          </w:p>
        </w:tc>
      </w:tr>
      <w:tr w:rsidR="009D6209" w:rsidRPr="009D6209" w:rsidTr="009D6209">
        <w:trPr>
          <w:trHeight w:val="91"/>
        </w:trPr>
        <w:tc>
          <w:tcPr>
            <w:tcW w:w="2556" w:type="dxa"/>
            <w:tcBorders>
              <w:top w:val="nil"/>
              <w:left w:val="nil"/>
              <w:bottom w:val="nil"/>
              <w:right w:val="nil"/>
            </w:tcBorders>
            <w:shd w:val="clear" w:color="auto" w:fill="auto"/>
            <w:noWrap/>
            <w:vAlign w:val="bottom"/>
            <w:hideMark/>
          </w:tcPr>
          <w:p w:rsidR="00566F39" w:rsidRPr="009D6209" w:rsidRDefault="00566F39" w:rsidP="00AE0816">
            <w:pPr>
              <w:rPr>
                <w:rFonts w:ascii="Calibri" w:hAnsi="Calibri" w:cs="Times New Roman"/>
                <w:b/>
                <w:sz w:val="10"/>
                <w:szCs w:val="20"/>
                <w:lang w:val="en-US"/>
              </w:rPr>
            </w:pPr>
          </w:p>
        </w:tc>
        <w:tc>
          <w:tcPr>
            <w:tcW w:w="3350" w:type="dxa"/>
            <w:tcBorders>
              <w:top w:val="nil"/>
              <w:left w:val="nil"/>
              <w:bottom w:val="nil"/>
              <w:right w:val="nil"/>
            </w:tcBorders>
            <w:shd w:val="clear" w:color="auto" w:fill="auto"/>
            <w:noWrap/>
            <w:vAlign w:val="bottom"/>
            <w:hideMark/>
          </w:tcPr>
          <w:p w:rsidR="00566F39" w:rsidRPr="009D6209" w:rsidRDefault="00566F39" w:rsidP="00AE0816">
            <w:pPr>
              <w:jc w:val="center"/>
              <w:rPr>
                <w:rFonts w:ascii="Calibri" w:hAnsi="Calibri" w:cs="Times New Roman"/>
                <w:b/>
                <w:sz w:val="10"/>
                <w:szCs w:val="20"/>
                <w:lang w:val="en-US"/>
              </w:rPr>
            </w:pPr>
          </w:p>
        </w:tc>
        <w:tc>
          <w:tcPr>
            <w:tcW w:w="424" w:type="dxa"/>
            <w:tcBorders>
              <w:top w:val="nil"/>
              <w:left w:val="nil"/>
              <w:bottom w:val="nil"/>
              <w:right w:val="nil"/>
            </w:tcBorders>
            <w:shd w:val="clear" w:color="auto" w:fill="auto"/>
            <w:noWrap/>
            <w:vAlign w:val="bottom"/>
            <w:hideMark/>
          </w:tcPr>
          <w:p w:rsidR="00566F39" w:rsidRPr="009D6209" w:rsidRDefault="00566F39" w:rsidP="00AE0816">
            <w:pPr>
              <w:rPr>
                <w:rFonts w:ascii="Calibri" w:hAnsi="Calibri" w:cs="Times New Roman"/>
                <w:b/>
                <w:sz w:val="10"/>
                <w:szCs w:val="20"/>
                <w:lang w:val="en-US"/>
              </w:rPr>
            </w:pPr>
          </w:p>
        </w:tc>
        <w:tc>
          <w:tcPr>
            <w:tcW w:w="1273" w:type="dxa"/>
            <w:tcBorders>
              <w:top w:val="nil"/>
              <w:left w:val="nil"/>
              <w:bottom w:val="nil"/>
              <w:right w:val="nil"/>
            </w:tcBorders>
            <w:shd w:val="clear" w:color="auto" w:fill="auto"/>
            <w:noWrap/>
            <w:vAlign w:val="bottom"/>
            <w:hideMark/>
          </w:tcPr>
          <w:p w:rsidR="00566F39" w:rsidRPr="009D6209" w:rsidRDefault="00566F39" w:rsidP="00AE0816">
            <w:pPr>
              <w:rPr>
                <w:rFonts w:ascii="Calibri" w:hAnsi="Calibri" w:cs="Times New Roman"/>
                <w:b/>
                <w:sz w:val="10"/>
                <w:szCs w:val="20"/>
                <w:lang w:val="en-US"/>
              </w:rPr>
            </w:pPr>
          </w:p>
        </w:tc>
        <w:tc>
          <w:tcPr>
            <w:tcW w:w="1131" w:type="dxa"/>
            <w:tcBorders>
              <w:top w:val="nil"/>
              <w:left w:val="nil"/>
              <w:bottom w:val="nil"/>
              <w:right w:val="nil"/>
            </w:tcBorders>
          </w:tcPr>
          <w:p w:rsidR="00566F39" w:rsidRPr="009D6209" w:rsidRDefault="00566F39" w:rsidP="00AE0816">
            <w:pPr>
              <w:rPr>
                <w:rFonts w:ascii="Calibri" w:hAnsi="Calibri" w:cs="Times New Roman"/>
                <w:b/>
                <w:sz w:val="10"/>
                <w:szCs w:val="20"/>
                <w:lang w:val="en-US"/>
              </w:rPr>
            </w:pPr>
          </w:p>
        </w:tc>
      </w:tr>
    </w:tbl>
    <w:p w:rsidR="005409CF" w:rsidRPr="000173D9" w:rsidRDefault="005409CF" w:rsidP="005409CF">
      <w:pPr>
        <w:spacing w:after="120"/>
        <w:jc w:val="both"/>
        <w:rPr>
          <w:rFonts w:ascii="Calibri" w:hAnsi="Calibri"/>
          <w:sz w:val="22"/>
          <w:szCs w:val="22"/>
        </w:rPr>
      </w:pPr>
    </w:p>
    <w:p w:rsidR="005409CF" w:rsidRPr="000173D9" w:rsidRDefault="005409CF" w:rsidP="005409CF">
      <w:pPr>
        <w:spacing w:after="120"/>
        <w:jc w:val="both"/>
        <w:rPr>
          <w:rFonts w:ascii="Calibri" w:hAnsi="Calibri"/>
          <w:sz w:val="22"/>
          <w:szCs w:val="22"/>
        </w:rPr>
      </w:pPr>
    </w:p>
    <w:p w:rsidR="005409CF" w:rsidRPr="000173D9" w:rsidRDefault="005409CF" w:rsidP="005409CF">
      <w:pPr>
        <w:spacing w:after="120"/>
        <w:jc w:val="both"/>
        <w:rPr>
          <w:rFonts w:ascii="Calibri" w:hAnsi="Calibri"/>
          <w:sz w:val="22"/>
          <w:szCs w:val="22"/>
        </w:rPr>
      </w:pPr>
    </w:p>
    <w:p w:rsidR="00BD6975" w:rsidRPr="000173D9" w:rsidRDefault="00BD6975" w:rsidP="005409CF">
      <w:pPr>
        <w:spacing w:after="120"/>
        <w:jc w:val="both"/>
        <w:rPr>
          <w:rFonts w:ascii="Calibri" w:hAnsi="Calibri"/>
          <w:sz w:val="22"/>
          <w:szCs w:val="22"/>
        </w:rPr>
      </w:pPr>
      <w:r w:rsidRPr="000173D9">
        <w:rPr>
          <w:rFonts w:ascii="Calibri" w:hAnsi="Calibri"/>
          <w:sz w:val="22"/>
          <w:szCs w:val="22"/>
        </w:rPr>
        <w:t xml:space="preserve">Ovaj </w:t>
      </w:r>
      <w:r w:rsidR="005409CF" w:rsidRPr="000173D9">
        <w:rPr>
          <w:rFonts w:ascii="Calibri" w:hAnsi="Calibri"/>
          <w:sz w:val="22"/>
          <w:szCs w:val="22"/>
        </w:rPr>
        <w:t xml:space="preserve"> </w:t>
      </w:r>
      <w:r w:rsidRPr="000173D9">
        <w:rPr>
          <w:rFonts w:ascii="Calibri" w:hAnsi="Calibri"/>
          <w:sz w:val="22"/>
          <w:szCs w:val="22"/>
        </w:rPr>
        <w:t>koefici</w:t>
      </w:r>
      <w:r w:rsidR="003D71DF" w:rsidRPr="000173D9">
        <w:rPr>
          <w:rFonts w:ascii="Calibri" w:hAnsi="Calibri"/>
          <w:sz w:val="22"/>
          <w:szCs w:val="22"/>
        </w:rPr>
        <w:t>j</w:t>
      </w:r>
      <w:r w:rsidRPr="000173D9">
        <w:rPr>
          <w:rFonts w:ascii="Calibri" w:hAnsi="Calibri"/>
          <w:sz w:val="22"/>
          <w:szCs w:val="22"/>
        </w:rPr>
        <w:t>ent ne bi trebao biti manji od 0,10</w:t>
      </w:r>
      <w:r w:rsidRPr="000173D9">
        <w:rPr>
          <w:rFonts w:ascii="Calibri" w:hAnsi="Calibri"/>
          <w:b/>
          <w:sz w:val="22"/>
          <w:szCs w:val="22"/>
        </w:rPr>
        <w:t>.</w:t>
      </w:r>
      <w:r w:rsidR="002E60A5" w:rsidRPr="000173D9">
        <w:rPr>
          <w:rFonts w:ascii="Calibri" w:hAnsi="Calibri"/>
          <w:b/>
          <w:sz w:val="22"/>
          <w:szCs w:val="22"/>
        </w:rPr>
        <w:t xml:space="preserve"> </w:t>
      </w:r>
      <w:r w:rsidR="006A7FCD" w:rsidRPr="000173D9">
        <w:rPr>
          <w:rFonts w:ascii="Calibri" w:hAnsi="Calibri"/>
          <w:b/>
          <w:sz w:val="22"/>
          <w:szCs w:val="22"/>
        </w:rPr>
        <w:t xml:space="preserve">( </w:t>
      </w:r>
      <w:r w:rsidR="00E70025" w:rsidRPr="000173D9">
        <w:rPr>
          <w:rFonts w:ascii="Calibri" w:hAnsi="Calibri"/>
          <w:b/>
          <w:sz w:val="22"/>
          <w:szCs w:val="22"/>
        </w:rPr>
        <w:t>4</w:t>
      </w:r>
      <w:r w:rsidR="00EE146B" w:rsidRPr="000173D9">
        <w:rPr>
          <w:rFonts w:ascii="Calibri" w:hAnsi="Calibri"/>
          <w:b/>
          <w:sz w:val="22"/>
          <w:szCs w:val="22"/>
        </w:rPr>
        <w:t>2</w:t>
      </w:r>
      <w:r w:rsidR="006A7FCD" w:rsidRPr="000173D9">
        <w:rPr>
          <w:rFonts w:ascii="Calibri" w:hAnsi="Calibri"/>
          <w:b/>
          <w:sz w:val="22"/>
          <w:szCs w:val="22"/>
        </w:rPr>
        <w:t>,</w:t>
      </w:r>
      <w:r w:rsidR="00EE146B" w:rsidRPr="000173D9">
        <w:rPr>
          <w:rFonts w:ascii="Calibri" w:hAnsi="Calibri"/>
          <w:b/>
          <w:sz w:val="22"/>
          <w:szCs w:val="22"/>
        </w:rPr>
        <w:t>28</w:t>
      </w:r>
      <w:r w:rsidR="002E60A5" w:rsidRPr="000173D9">
        <w:rPr>
          <w:rFonts w:ascii="Calibri" w:hAnsi="Calibri"/>
          <w:b/>
          <w:sz w:val="22"/>
          <w:szCs w:val="22"/>
        </w:rPr>
        <w:t xml:space="preserve"> </w:t>
      </w:r>
      <w:r w:rsidR="00B61692" w:rsidRPr="000173D9">
        <w:rPr>
          <w:rFonts w:ascii="Calibri" w:hAnsi="Calibri" w:cs="Calibri"/>
          <w:b/>
          <w:sz w:val="22"/>
          <w:szCs w:val="22"/>
        </w:rPr>
        <w:t>&gt;</w:t>
      </w:r>
      <w:r w:rsidR="002E60A5" w:rsidRPr="000173D9">
        <w:rPr>
          <w:rFonts w:ascii="Calibri" w:hAnsi="Calibri"/>
          <w:b/>
          <w:sz w:val="22"/>
          <w:szCs w:val="22"/>
        </w:rPr>
        <w:t>0,10 )</w:t>
      </w:r>
    </w:p>
    <w:p w:rsidR="001C470C" w:rsidRPr="000173D9" w:rsidRDefault="001C470C" w:rsidP="00566F39">
      <w:pPr>
        <w:jc w:val="both"/>
        <w:rPr>
          <w:rFonts w:ascii="Calibri" w:hAnsi="Calibri"/>
          <w:sz w:val="22"/>
          <w:szCs w:val="22"/>
        </w:rPr>
      </w:pPr>
      <w:r w:rsidRPr="000173D9">
        <w:rPr>
          <w:rFonts w:ascii="Calibri" w:hAnsi="Calibri"/>
          <w:b/>
          <w:sz w:val="22"/>
          <w:szCs w:val="22"/>
        </w:rPr>
        <w:t>Racio trenutne likvidnosti</w:t>
      </w:r>
      <w:r w:rsidRPr="000173D9">
        <w:rPr>
          <w:rFonts w:ascii="Calibri" w:hAnsi="Calibri"/>
          <w:sz w:val="22"/>
          <w:szCs w:val="22"/>
        </w:rPr>
        <w:t xml:space="preserve"> pokazuje sposobnost preduzeća da trenutno izmiri svoje obaveze</w:t>
      </w:r>
      <w:r w:rsidR="009D6209" w:rsidRPr="000173D9">
        <w:rPr>
          <w:rFonts w:ascii="Calibri" w:hAnsi="Calibri"/>
          <w:sz w:val="22"/>
          <w:szCs w:val="22"/>
        </w:rPr>
        <w:t xml:space="preserve"> uz uslov da su potraživanja naplaćena prema potpisanim ugovorima i da ne kasne</w:t>
      </w:r>
      <w:r w:rsidRPr="000173D9">
        <w:rPr>
          <w:rFonts w:ascii="Calibri" w:hAnsi="Calibri"/>
          <w:sz w:val="22"/>
          <w:szCs w:val="22"/>
        </w:rPr>
        <w:t>.</w:t>
      </w:r>
    </w:p>
    <w:p w:rsidR="001C470C" w:rsidRPr="000173D9" w:rsidRDefault="001C470C" w:rsidP="00566F39">
      <w:pPr>
        <w:jc w:val="both"/>
        <w:rPr>
          <w:rFonts w:ascii="Calibri" w:hAnsi="Calibri"/>
          <w:sz w:val="22"/>
          <w:szCs w:val="22"/>
        </w:rPr>
      </w:pPr>
      <w:r w:rsidRPr="000173D9">
        <w:rPr>
          <w:rFonts w:ascii="Calibri" w:hAnsi="Calibri"/>
          <w:b/>
          <w:sz w:val="22"/>
          <w:szCs w:val="22"/>
        </w:rPr>
        <w:t>Racio tekuće likvidnosti</w:t>
      </w:r>
      <w:r w:rsidRPr="000173D9">
        <w:rPr>
          <w:rFonts w:ascii="Calibri" w:hAnsi="Calibri"/>
          <w:sz w:val="22"/>
          <w:szCs w:val="22"/>
        </w:rPr>
        <w:t xml:space="preserve"> mjeri sposobnost preduzeća da podmiri svoje kratkoročne obaveze.</w:t>
      </w:r>
    </w:p>
    <w:p w:rsidR="002C3203" w:rsidRPr="000173D9" w:rsidRDefault="002C3203" w:rsidP="00566F39">
      <w:pPr>
        <w:jc w:val="both"/>
        <w:rPr>
          <w:rFonts w:ascii="Calibri" w:hAnsi="Calibri"/>
          <w:sz w:val="22"/>
          <w:szCs w:val="22"/>
          <w:highlight w:val="yellow"/>
        </w:rPr>
      </w:pPr>
    </w:p>
    <w:p w:rsidR="002C3203" w:rsidRPr="000173D9" w:rsidRDefault="002C3203" w:rsidP="00566F39">
      <w:pPr>
        <w:jc w:val="both"/>
        <w:rPr>
          <w:rFonts w:ascii="Calibri" w:hAnsi="Calibri"/>
          <w:sz w:val="22"/>
          <w:szCs w:val="22"/>
          <w:highlight w:val="yellow"/>
        </w:rPr>
      </w:pPr>
    </w:p>
    <w:p w:rsidR="001C470C" w:rsidRPr="000173D9" w:rsidRDefault="001C470C" w:rsidP="002C3203">
      <w:pPr>
        <w:rPr>
          <w:rFonts w:ascii="Calibri" w:hAnsi="Calibri"/>
          <w:sz w:val="22"/>
          <w:szCs w:val="22"/>
        </w:rPr>
      </w:pPr>
      <w:r w:rsidRPr="000173D9">
        <w:rPr>
          <w:rFonts w:ascii="Calibri" w:hAnsi="Calibri"/>
          <w:sz w:val="22"/>
          <w:szCs w:val="22"/>
        </w:rPr>
        <w:t>Ukoliko je racio &lt; 1,50 postoji opasnost da društvo može ostati bez sredstava za podmirenje kratkoročnih obaveza.</w:t>
      </w:r>
    </w:p>
    <w:p w:rsidR="002E60A5" w:rsidRPr="000173D9" w:rsidRDefault="00015734" w:rsidP="00566F39">
      <w:pPr>
        <w:jc w:val="both"/>
        <w:rPr>
          <w:rFonts w:ascii="Calibri" w:hAnsi="Calibri"/>
          <w:b/>
          <w:sz w:val="22"/>
          <w:szCs w:val="22"/>
        </w:rPr>
      </w:pPr>
      <w:r w:rsidRPr="000173D9">
        <w:rPr>
          <w:rFonts w:ascii="Calibri" w:hAnsi="Calibri"/>
          <w:b/>
          <w:sz w:val="22"/>
          <w:szCs w:val="22"/>
        </w:rPr>
        <w:t xml:space="preserve">( </w:t>
      </w:r>
      <w:r w:rsidR="008F59EC" w:rsidRPr="000173D9">
        <w:rPr>
          <w:rFonts w:ascii="Calibri" w:hAnsi="Calibri"/>
          <w:b/>
          <w:sz w:val="22"/>
          <w:szCs w:val="22"/>
        </w:rPr>
        <w:t>1</w:t>
      </w:r>
      <w:r w:rsidR="00E70025" w:rsidRPr="000173D9">
        <w:rPr>
          <w:rFonts w:ascii="Calibri" w:hAnsi="Calibri"/>
          <w:b/>
          <w:sz w:val="22"/>
          <w:szCs w:val="22"/>
        </w:rPr>
        <w:t>34</w:t>
      </w:r>
      <w:r w:rsidR="009A49F6" w:rsidRPr="000173D9">
        <w:rPr>
          <w:rFonts w:ascii="Calibri" w:hAnsi="Calibri"/>
          <w:b/>
          <w:sz w:val="22"/>
          <w:szCs w:val="22"/>
        </w:rPr>
        <w:t>,</w:t>
      </w:r>
      <w:r w:rsidR="00E70025" w:rsidRPr="000173D9">
        <w:rPr>
          <w:rFonts w:ascii="Calibri" w:hAnsi="Calibri"/>
          <w:b/>
          <w:sz w:val="22"/>
          <w:szCs w:val="22"/>
        </w:rPr>
        <w:t>5</w:t>
      </w:r>
      <w:r w:rsidR="009A49F6" w:rsidRPr="000173D9">
        <w:rPr>
          <w:rFonts w:ascii="Calibri" w:hAnsi="Calibri"/>
          <w:b/>
          <w:sz w:val="22"/>
          <w:szCs w:val="22"/>
        </w:rPr>
        <w:t>5</w:t>
      </w:r>
      <w:r w:rsidR="002E60A5" w:rsidRPr="000173D9">
        <w:rPr>
          <w:rFonts w:ascii="Calibri" w:hAnsi="Calibri"/>
          <w:b/>
          <w:sz w:val="22"/>
          <w:szCs w:val="22"/>
        </w:rPr>
        <w:t xml:space="preserve"> &gt; 1,50 )</w:t>
      </w:r>
    </w:p>
    <w:tbl>
      <w:tblPr>
        <w:tblpPr w:leftFromText="180" w:rightFromText="180" w:vertAnchor="text" w:horzAnchor="margin" w:tblpY="193"/>
        <w:tblW w:w="8755" w:type="dxa"/>
        <w:tblLook w:val="04A0" w:firstRow="1" w:lastRow="0" w:firstColumn="1" w:lastColumn="0" w:noHBand="0" w:noVBand="1"/>
      </w:tblPr>
      <w:tblGrid>
        <w:gridCol w:w="2562"/>
        <w:gridCol w:w="3358"/>
        <w:gridCol w:w="425"/>
        <w:gridCol w:w="1276"/>
        <w:gridCol w:w="1134"/>
      </w:tblGrid>
      <w:tr w:rsidR="009D6209" w:rsidRPr="000173D9" w:rsidTr="00AE0816">
        <w:trPr>
          <w:trHeight w:val="255"/>
        </w:trPr>
        <w:tc>
          <w:tcPr>
            <w:tcW w:w="2562" w:type="dxa"/>
            <w:vMerge w:val="restart"/>
            <w:tcBorders>
              <w:top w:val="nil"/>
              <w:left w:val="nil"/>
              <w:bottom w:val="nil"/>
              <w:right w:val="nil"/>
            </w:tcBorders>
            <w:shd w:val="clear" w:color="auto" w:fill="auto"/>
            <w:noWrap/>
            <w:vAlign w:val="center"/>
            <w:hideMark/>
          </w:tcPr>
          <w:p w:rsidR="001C470C" w:rsidRPr="000173D9" w:rsidRDefault="001C470C" w:rsidP="00AE0816">
            <w:pPr>
              <w:rPr>
                <w:rFonts w:ascii="Calibri" w:hAnsi="Calibri" w:cs="Times New Roman"/>
                <w:b/>
                <w:iCs/>
                <w:sz w:val="22"/>
                <w:szCs w:val="22"/>
                <w:lang w:val="en-US"/>
              </w:rPr>
            </w:pPr>
            <w:r w:rsidRPr="000173D9">
              <w:rPr>
                <w:rFonts w:ascii="Calibri" w:hAnsi="Calibri" w:cs="Calibri"/>
                <w:b/>
                <w:iCs/>
                <w:sz w:val="22"/>
                <w:szCs w:val="22"/>
              </w:rPr>
              <w:t>Racio tekuće likvidnosti   =</w:t>
            </w:r>
          </w:p>
        </w:tc>
        <w:tc>
          <w:tcPr>
            <w:tcW w:w="3358" w:type="dxa"/>
            <w:tcBorders>
              <w:top w:val="nil"/>
              <w:left w:val="nil"/>
              <w:bottom w:val="single" w:sz="4" w:space="0" w:color="auto"/>
              <w:right w:val="nil"/>
            </w:tcBorders>
            <w:shd w:val="clear" w:color="auto" w:fill="auto"/>
            <w:vAlign w:val="bottom"/>
            <w:hideMark/>
          </w:tcPr>
          <w:p w:rsidR="001C470C" w:rsidRPr="000173D9" w:rsidRDefault="001C470C" w:rsidP="00AE0816">
            <w:pPr>
              <w:jc w:val="center"/>
              <w:rPr>
                <w:rFonts w:ascii="Calibri" w:hAnsi="Calibri" w:cs="Times New Roman"/>
                <w:b/>
                <w:sz w:val="22"/>
                <w:szCs w:val="22"/>
                <w:lang w:val="en-US"/>
              </w:rPr>
            </w:pPr>
            <w:proofErr w:type="spellStart"/>
            <w:r w:rsidRPr="000173D9">
              <w:rPr>
                <w:rFonts w:ascii="Calibri" w:hAnsi="Calibri" w:cs="Times New Roman"/>
                <w:b/>
                <w:sz w:val="22"/>
                <w:szCs w:val="22"/>
                <w:lang w:val="en-US"/>
              </w:rPr>
              <w:t>Kratkoročno</w:t>
            </w:r>
            <w:proofErr w:type="spellEnd"/>
            <w:r w:rsidRPr="000173D9">
              <w:rPr>
                <w:rFonts w:ascii="Calibri" w:hAnsi="Calibri" w:cs="Times New Roman"/>
                <w:b/>
                <w:sz w:val="22"/>
                <w:szCs w:val="22"/>
                <w:lang w:val="en-US"/>
              </w:rPr>
              <w:t xml:space="preserve"> </w:t>
            </w:r>
            <w:proofErr w:type="spellStart"/>
            <w:r w:rsidRPr="000173D9">
              <w:rPr>
                <w:rFonts w:ascii="Calibri" w:hAnsi="Calibri" w:cs="Times New Roman"/>
                <w:b/>
                <w:sz w:val="22"/>
                <w:szCs w:val="22"/>
                <w:lang w:val="en-US"/>
              </w:rPr>
              <w:t>vezana</w:t>
            </w:r>
            <w:proofErr w:type="spellEnd"/>
            <w:r w:rsidRPr="000173D9">
              <w:rPr>
                <w:rFonts w:ascii="Calibri" w:hAnsi="Calibri" w:cs="Times New Roman"/>
                <w:b/>
                <w:sz w:val="22"/>
                <w:szCs w:val="22"/>
                <w:lang w:val="en-US"/>
              </w:rPr>
              <w:t xml:space="preserve"> </w:t>
            </w:r>
            <w:proofErr w:type="spellStart"/>
            <w:r w:rsidRPr="000173D9">
              <w:rPr>
                <w:rFonts w:ascii="Calibri" w:hAnsi="Calibri" w:cs="Times New Roman"/>
                <w:b/>
                <w:sz w:val="22"/>
                <w:szCs w:val="22"/>
                <w:lang w:val="en-US"/>
              </w:rPr>
              <w:t>sredstva</w:t>
            </w:r>
            <w:proofErr w:type="spellEnd"/>
          </w:p>
        </w:tc>
        <w:tc>
          <w:tcPr>
            <w:tcW w:w="425" w:type="dxa"/>
            <w:vMerge w:val="restart"/>
            <w:tcBorders>
              <w:top w:val="nil"/>
              <w:left w:val="nil"/>
              <w:bottom w:val="nil"/>
              <w:right w:val="nil"/>
            </w:tcBorders>
            <w:shd w:val="clear" w:color="auto" w:fill="auto"/>
            <w:vAlign w:val="center"/>
            <w:hideMark/>
          </w:tcPr>
          <w:p w:rsidR="001C470C" w:rsidRPr="000173D9" w:rsidRDefault="001C470C" w:rsidP="00AE0816">
            <w:pPr>
              <w:jc w:val="center"/>
              <w:rPr>
                <w:rFonts w:ascii="Calibri" w:hAnsi="Calibri" w:cs="Times New Roman"/>
                <w:b/>
                <w:sz w:val="22"/>
                <w:szCs w:val="22"/>
                <w:lang w:val="en-US"/>
              </w:rPr>
            </w:pPr>
            <w:r w:rsidRPr="000173D9">
              <w:rPr>
                <w:rFonts w:ascii="Calibri" w:hAnsi="Calibri" w:cs="Times New Roman"/>
                <w:b/>
                <w:sz w:val="22"/>
                <w:szCs w:val="22"/>
                <w:lang w:val="en-US"/>
              </w:rPr>
              <w:t>=</w:t>
            </w:r>
          </w:p>
        </w:tc>
        <w:tc>
          <w:tcPr>
            <w:tcW w:w="1276" w:type="dxa"/>
            <w:tcBorders>
              <w:top w:val="nil"/>
              <w:left w:val="nil"/>
              <w:bottom w:val="single" w:sz="4" w:space="0" w:color="auto"/>
              <w:right w:val="nil"/>
            </w:tcBorders>
            <w:shd w:val="clear" w:color="auto" w:fill="auto"/>
            <w:vAlign w:val="center"/>
            <w:hideMark/>
          </w:tcPr>
          <w:p w:rsidR="001C470C" w:rsidRPr="000173D9" w:rsidRDefault="00E70025" w:rsidP="003D58D5">
            <w:pPr>
              <w:jc w:val="center"/>
              <w:rPr>
                <w:rFonts w:ascii="Calibri" w:hAnsi="Calibri" w:cs="Times New Roman"/>
                <w:b/>
                <w:sz w:val="22"/>
                <w:szCs w:val="22"/>
                <w:lang w:val="en-US"/>
              </w:rPr>
            </w:pPr>
            <w:r w:rsidRPr="000173D9">
              <w:rPr>
                <w:rFonts w:ascii="Calibri" w:hAnsi="Calibri" w:cs="Times New Roman"/>
                <w:b/>
                <w:sz w:val="22"/>
                <w:szCs w:val="22"/>
              </w:rPr>
              <w:t>3</w:t>
            </w:r>
            <w:r w:rsidR="002E52D0" w:rsidRPr="000173D9">
              <w:rPr>
                <w:rFonts w:ascii="Calibri" w:hAnsi="Calibri" w:cs="Times New Roman"/>
                <w:b/>
                <w:sz w:val="22"/>
                <w:szCs w:val="22"/>
              </w:rPr>
              <w:t>.</w:t>
            </w:r>
            <w:r w:rsidR="008F59EC" w:rsidRPr="000173D9">
              <w:rPr>
                <w:rFonts w:ascii="Calibri" w:hAnsi="Calibri" w:cs="Times New Roman"/>
                <w:b/>
                <w:sz w:val="22"/>
                <w:szCs w:val="22"/>
              </w:rPr>
              <w:t>4</w:t>
            </w:r>
            <w:r w:rsidRPr="000173D9">
              <w:rPr>
                <w:rFonts w:ascii="Calibri" w:hAnsi="Calibri" w:cs="Times New Roman"/>
                <w:b/>
                <w:sz w:val="22"/>
                <w:szCs w:val="22"/>
              </w:rPr>
              <w:t>30</w:t>
            </w:r>
            <w:r w:rsidR="008F59EC" w:rsidRPr="000173D9">
              <w:rPr>
                <w:rFonts w:ascii="Calibri" w:hAnsi="Calibri" w:cs="Times New Roman"/>
                <w:b/>
                <w:sz w:val="22"/>
                <w:szCs w:val="22"/>
              </w:rPr>
              <w:t>.</w:t>
            </w:r>
            <w:r w:rsidRPr="000173D9">
              <w:rPr>
                <w:rFonts w:ascii="Calibri" w:hAnsi="Calibri" w:cs="Times New Roman"/>
                <w:b/>
                <w:sz w:val="22"/>
                <w:szCs w:val="22"/>
              </w:rPr>
              <w:t>387</w:t>
            </w:r>
          </w:p>
        </w:tc>
        <w:tc>
          <w:tcPr>
            <w:tcW w:w="1134" w:type="dxa"/>
            <w:vMerge w:val="restart"/>
            <w:tcBorders>
              <w:top w:val="nil"/>
              <w:left w:val="nil"/>
              <w:right w:val="nil"/>
            </w:tcBorders>
            <w:vAlign w:val="center"/>
          </w:tcPr>
          <w:p w:rsidR="00F01AB8" w:rsidRPr="000173D9" w:rsidRDefault="006A7FCD" w:rsidP="00AF4628">
            <w:pPr>
              <w:rPr>
                <w:rFonts w:ascii="Calibri" w:hAnsi="Calibri" w:cs="Calibri"/>
                <w:b/>
                <w:sz w:val="22"/>
                <w:szCs w:val="22"/>
              </w:rPr>
            </w:pPr>
            <w:r w:rsidRPr="000173D9">
              <w:rPr>
                <w:rFonts w:ascii="Calibri" w:hAnsi="Calibri" w:cs="Calibri"/>
                <w:b/>
                <w:sz w:val="22"/>
                <w:szCs w:val="22"/>
              </w:rPr>
              <w:t xml:space="preserve">= </w:t>
            </w:r>
            <w:r w:rsidR="008F59EC" w:rsidRPr="000173D9">
              <w:rPr>
                <w:rFonts w:ascii="Calibri" w:hAnsi="Calibri" w:cs="Calibri"/>
                <w:b/>
                <w:sz w:val="22"/>
                <w:szCs w:val="22"/>
              </w:rPr>
              <w:t>1</w:t>
            </w:r>
            <w:r w:rsidR="00E70025" w:rsidRPr="000173D9">
              <w:rPr>
                <w:rFonts w:ascii="Calibri" w:hAnsi="Calibri" w:cs="Calibri"/>
                <w:b/>
                <w:sz w:val="22"/>
                <w:szCs w:val="22"/>
              </w:rPr>
              <w:t>3</w:t>
            </w:r>
            <w:r w:rsidR="009A49F6" w:rsidRPr="000173D9">
              <w:rPr>
                <w:rFonts w:ascii="Calibri" w:hAnsi="Calibri" w:cs="Calibri"/>
                <w:b/>
                <w:sz w:val="22"/>
                <w:szCs w:val="22"/>
              </w:rPr>
              <w:t>4</w:t>
            </w:r>
            <w:r w:rsidR="00E57326" w:rsidRPr="000173D9">
              <w:rPr>
                <w:rFonts w:ascii="Calibri" w:hAnsi="Calibri" w:cs="Calibri"/>
                <w:b/>
                <w:sz w:val="22"/>
                <w:szCs w:val="22"/>
              </w:rPr>
              <w:t>,</w:t>
            </w:r>
            <w:r w:rsidR="009A49F6" w:rsidRPr="000173D9">
              <w:rPr>
                <w:rFonts w:ascii="Calibri" w:hAnsi="Calibri" w:cs="Calibri"/>
                <w:b/>
                <w:sz w:val="22"/>
                <w:szCs w:val="22"/>
              </w:rPr>
              <w:t>5</w:t>
            </w:r>
            <w:r w:rsidR="00E70025" w:rsidRPr="000173D9">
              <w:rPr>
                <w:rFonts w:ascii="Calibri" w:hAnsi="Calibri" w:cs="Calibri"/>
                <w:b/>
                <w:sz w:val="22"/>
                <w:szCs w:val="22"/>
              </w:rPr>
              <w:t>5</w:t>
            </w:r>
          </w:p>
        </w:tc>
      </w:tr>
      <w:tr w:rsidR="009D6209" w:rsidRPr="000173D9" w:rsidTr="00AE0816">
        <w:trPr>
          <w:trHeight w:val="255"/>
        </w:trPr>
        <w:tc>
          <w:tcPr>
            <w:tcW w:w="2562" w:type="dxa"/>
            <w:vMerge/>
            <w:tcBorders>
              <w:top w:val="nil"/>
              <w:left w:val="nil"/>
              <w:bottom w:val="nil"/>
              <w:right w:val="nil"/>
            </w:tcBorders>
            <w:vAlign w:val="center"/>
            <w:hideMark/>
          </w:tcPr>
          <w:p w:rsidR="001C470C" w:rsidRPr="000173D9" w:rsidRDefault="001C470C" w:rsidP="00AE0816">
            <w:pPr>
              <w:rPr>
                <w:rFonts w:ascii="Calibri" w:hAnsi="Calibri" w:cs="Times New Roman"/>
                <w:b/>
                <w:i/>
                <w:iCs/>
                <w:sz w:val="22"/>
                <w:szCs w:val="22"/>
                <w:lang w:val="en-US"/>
              </w:rPr>
            </w:pPr>
          </w:p>
        </w:tc>
        <w:tc>
          <w:tcPr>
            <w:tcW w:w="3358" w:type="dxa"/>
            <w:tcBorders>
              <w:top w:val="single" w:sz="4" w:space="0" w:color="auto"/>
              <w:left w:val="nil"/>
              <w:bottom w:val="nil"/>
              <w:right w:val="nil"/>
            </w:tcBorders>
            <w:shd w:val="clear" w:color="auto" w:fill="auto"/>
            <w:noWrap/>
            <w:vAlign w:val="bottom"/>
            <w:hideMark/>
          </w:tcPr>
          <w:p w:rsidR="001C470C" w:rsidRPr="000173D9" w:rsidRDefault="001C470C" w:rsidP="00AE0816">
            <w:pPr>
              <w:jc w:val="center"/>
              <w:rPr>
                <w:rFonts w:ascii="Calibri" w:hAnsi="Calibri" w:cs="Times New Roman"/>
                <w:b/>
                <w:bCs/>
                <w:sz w:val="22"/>
                <w:szCs w:val="22"/>
                <w:lang w:val="en-US"/>
              </w:rPr>
            </w:pPr>
            <w:r w:rsidRPr="000173D9">
              <w:rPr>
                <w:rFonts w:ascii="Calibri" w:hAnsi="Calibri" w:cs="Calibri"/>
                <w:b/>
                <w:bCs/>
                <w:sz w:val="22"/>
                <w:szCs w:val="22"/>
              </w:rPr>
              <w:t>Kratkoročne obaveze</w:t>
            </w:r>
          </w:p>
        </w:tc>
        <w:tc>
          <w:tcPr>
            <w:tcW w:w="425" w:type="dxa"/>
            <w:vMerge/>
            <w:tcBorders>
              <w:top w:val="nil"/>
              <w:left w:val="nil"/>
              <w:bottom w:val="nil"/>
              <w:right w:val="nil"/>
            </w:tcBorders>
            <w:vAlign w:val="center"/>
            <w:hideMark/>
          </w:tcPr>
          <w:p w:rsidR="001C470C" w:rsidRPr="000173D9" w:rsidRDefault="001C470C" w:rsidP="00AE0816">
            <w:pPr>
              <w:rPr>
                <w:rFonts w:ascii="Calibri" w:hAnsi="Calibri" w:cs="Times New Roman"/>
                <w:b/>
                <w:sz w:val="22"/>
                <w:szCs w:val="22"/>
                <w:lang w:val="en-US"/>
              </w:rPr>
            </w:pPr>
          </w:p>
        </w:tc>
        <w:tc>
          <w:tcPr>
            <w:tcW w:w="1276" w:type="dxa"/>
            <w:tcBorders>
              <w:top w:val="single" w:sz="4" w:space="0" w:color="auto"/>
              <w:left w:val="nil"/>
              <w:bottom w:val="nil"/>
              <w:right w:val="nil"/>
            </w:tcBorders>
            <w:shd w:val="clear" w:color="auto" w:fill="auto"/>
            <w:vAlign w:val="bottom"/>
            <w:hideMark/>
          </w:tcPr>
          <w:p w:rsidR="001C470C" w:rsidRPr="000173D9" w:rsidRDefault="00E70025" w:rsidP="00AE0816">
            <w:pPr>
              <w:jc w:val="center"/>
              <w:rPr>
                <w:rFonts w:ascii="Calibri" w:hAnsi="Calibri" w:cs="Times New Roman"/>
                <w:b/>
                <w:bCs/>
                <w:sz w:val="22"/>
                <w:szCs w:val="22"/>
                <w:lang w:val="en-US"/>
              </w:rPr>
            </w:pPr>
            <w:r w:rsidRPr="000173D9">
              <w:rPr>
                <w:rFonts w:ascii="Calibri" w:hAnsi="Calibri" w:cs="Times New Roman"/>
                <w:b/>
                <w:bCs/>
                <w:sz w:val="22"/>
                <w:szCs w:val="22"/>
              </w:rPr>
              <w:t>25</w:t>
            </w:r>
            <w:r w:rsidR="0063670C" w:rsidRPr="000173D9">
              <w:rPr>
                <w:rFonts w:ascii="Calibri" w:hAnsi="Calibri" w:cs="Times New Roman"/>
                <w:b/>
                <w:bCs/>
                <w:sz w:val="22"/>
                <w:szCs w:val="22"/>
              </w:rPr>
              <w:t>.</w:t>
            </w:r>
            <w:r w:rsidRPr="000173D9">
              <w:rPr>
                <w:rFonts w:ascii="Calibri" w:hAnsi="Calibri" w:cs="Times New Roman"/>
                <w:b/>
                <w:bCs/>
                <w:sz w:val="22"/>
                <w:szCs w:val="22"/>
              </w:rPr>
              <w:t>494</w:t>
            </w:r>
          </w:p>
        </w:tc>
        <w:tc>
          <w:tcPr>
            <w:tcW w:w="1134" w:type="dxa"/>
            <w:vMerge/>
            <w:tcBorders>
              <w:left w:val="nil"/>
              <w:bottom w:val="nil"/>
              <w:right w:val="nil"/>
            </w:tcBorders>
          </w:tcPr>
          <w:p w:rsidR="001C470C" w:rsidRPr="000173D9" w:rsidRDefault="001C470C" w:rsidP="00AE0816">
            <w:pPr>
              <w:jc w:val="right"/>
              <w:rPr>
                <w:rFonts w:ascii="Calibri" w:hAnsi="Calibri" w:cs="Calibri"/>
                <w:b/>
                <w:bCs/>
                <w:sz w:val="22"/>
                <w:szCs w:val="22"/>
              </w:rPr>
            </w:pPr>
          </w:p>
        </w:tc>
      </w:tr>
    </w:tbl>
    <w:p w:rsidR="001C470C" w:rsidRPr="000173D9" w:rsidRDefault="001C470C" w:rsidP="001C470C">
      <w:pPr>
        <w:jc w:val="both"/>
        <w:rPr>
          <w:rFonts w:ascii="Calibri" w:hAnsi="Calibri"/>
          <w:sz w:val="22"/>
          <w:szCs w:val="22"/>
        </w:rPr>
      </w:pPr>
    </w:p>
    <w:p w:rsidR="001C470C" w:rsidRPr="000173D9" w:rsidRDefault="001C470C" w:rsidP="00566F39">
      <w:pPr>
        <w:jc w:val="both"/>
        <w:rPr>
          <w:rFonts w:ascii="Calibri" w:hAnsi="Calibri"/>
          <w:sz w:val="22"/>
          <w:szCs w:val="22"/>
          <w:highlight w:val="yellow"/>
        </w:rPr>
      </w:pPr>
    </w:p>
    <w:p w:rsidR="001C470C" w:rsidRPr="000173D9" w:rsidRDefault="001C470C" w:rsidP="00566F39">
      <w:pPr>
        <w:jc w:val="both"/>
        <w:rPr>
          <w:rFonts w:ascii="Calibri" w:hAnsi="Calibri"/>
          <w:sz w:val="22"/>
          <w:szCs w:val="22"/>
          <w:highlight w:val="yellow"/>
        </w:rPr>
      </w:pPr>
    </w:p>
    <w:p w:rsidR="00B1248D" w:rsidRPr="000173D9" w:rsidRDefault="00B1248D" w:rsidP="00566F39">
      <w:pPr>
        <w:jc w:val="both"/>
        <w:rPr>
          <w:rFonts w:ascii="Calibri" w:hAnsi="Calibri"/>
          <w:b/>
          <w:sz w:val="22"/>
          <w:szCs w:val="22"/>
          <w:highlight w:val="yellow"/>
        </w:rPr>
      </w:pPr>
    </w:p>
    <w:p w:rsidR="006F15C0" w:rsidRPr="000173D9" w:rsidRDefault="006F15C0" w:rsidP="00566F39">
      <w:pPr>
        <w:jc w:val="both"/>
        <w:rPr>
          <w:rFonts w:ascii="Calibri" w:hAnsi="Calibri"/>
          <w:b/>
          <w:sz w:val="22"/>
          <w:szCs w:val="22"/>
          <w:highlight w:val="yellow"/>
        </w:rPr>
      </w:pPr>
    </w:p>
    <w:p w:rsidR="00F01AB8" w:rsidRPr="000173D9" w:rsidRDefault="00F01AB8" w:rsidP="00566F39">
      <w:pPr>
        <w:jc w:val="both"/>
        <w:rPr>
          <w:rFonts w:ascii="Calibri" w:hAnsi="Calibri"/>
          <w:b/>
          <w:sz w:val="22"/>
          <w:szCs w:val="22"/>
        </w:rPr>
      </w:pPr>
      <w:r w:rsidRPr="000173D9">
        <w:rPr>
          <w:rFonts w:ascii="Calibri" w:hAnsi="Calibri"/>
          <w:b/>
          <w:sz w:val="22"/>
          <w:szCs w:val="22"/>
        </w:rPr>
        <w:t>Racio ubrzane likvidnosti</w:t>
      </w:r>
      <w:r w:rsidRPr="000173D9">
        <w:rPr>
          <w:rFonts w:ascii="Calibri" w:hAnsi="Calibri"/>
          <w:sz w:val="22"/>
          <w:szCs w:val="22"/>
        </w:rPr>
        <w:t xml:space="preserve"> pokazuje da li preduzeće ima dovoljno kratkoročnih sredstava</w:t>
      </w:r>
      <w:r w:rsidR="00015734" w:rsidRPr="000173D9">
        <w:rPr>
          <w:rFonts w:ascii="Calibri" w:hAnsi="Calibri"/>
          <w:sz w:val="22"/>
          <w:szCs w:val="22"/>
        </w:rPr>
        <w:t xml:space="preserve"> </w:t>
      </w:r>
      <w:r w:rsidRPr="000173D9">
        <w:rPr>
          <w:rFonts w:ascii="Calibri" w:hAnsi="Calibri"/>
          <w:sz w:val="22"/>
          <w:szCs w:val="22"/>
        </w:rPr>
        <w:t>(bez zaliha) da podmiri tekuće obaveze.</w:t>
      </w:r>
      <w:r w:rsidR="006A7FCD" w:rsidRPr="000173D9">
        <w:rPr>
          <w:rFonts w:ascii="Calibri" w:hAnsi="Calibri"/>
          <w:sz w:val="22"/>
          <w:szCs w:val="22"/>
        </w:rPr>
        <w:t xml:space="preserve"> </w:t>
      </w:r>
      <w:r w:rsidRPr="000173D9">
        <w:rPr>
          <w:rFonts w:ascii="Calibri" w:hAnsi="Calibri"/>
          <w:sz w:val="22"/>
          <w:szCs w:val="22"/>
        </w:rPr>
        <w:t>Preporučena minimalna vrijednost je 0,90</w:t>
      </w:r>
      <w:r w:rsidR="00015734" w:rsidRPr="000173D9">
        <w:rPr>
          <w:rFonts w:ascii="Calibri" w:hAnsi="Calibri"/>
          <w:b/>
          <w:sz w:val="22"/>
          <w:szCs w:val="22"/>
        </w:rPr>
        <w:t xml:space="preserve">. ( </w:t>
      </w:r>
      <w:r w:rsidR="00E70025" w:rsidRPr="000173D9">
        <w:rPr>
          <w:rFonts w:ascii="Calibri" w:hAnsi="Calibri"/>
          <w:b/>
          <w:sz w:val="22"/>
          <w:szCs w:val="22"/>
        </w:rPr>
        <w:t>134</w:t>
      </w:r>
      <w:r w:rsidR="007E5B58" w:rsidRPr="000173D9">
        <w:rPr>
          <w:rFonts w:ascii="Calibri" w:hAnsi="Calibri"/>
          <w:b/>
          <w:sz w:val="22"/>
          <w:szCs w:val="22"/>
        </w:rPr>
        <w:t>,5</w:t>
      </w:r>
      <w:r w:rsidR="00E70025" w:rsidRPr="000173D9">
        <w:rPr>
          <w:rFonts w:ascii="Calibri" w:hAnsi="Calibri"/>
          <w:b/>
          <w:sz w:val="22"/>
          <w:szCs w:val="22"/>
        </w:rPr>
        <w:t>5</w:t>
      </w:r>
      <w:r w:rsidR="002E60A5" w:rsidRPr="000173D9">
        <w:rPr>
          <w:rFonts w:ascii="Calibri" w:hAnsi="Calibri"/>
          <w:b/>
          <w:sz w:val="22"/>
          <w:szCs w:val="22"/>
        </w:rPr>
        <w:t>&gt; 0,90 )</w:t>
      </w:r>
    </w:p>
    <w:tbl>
      <w:tblPr>
        <w:tblpPr w:leftFromText="180" w:rightFromText="180" w:vertAnchor="text" w:horzAnchor="margin" w:tblpY="46"/>
        <w:tblW w:w="8755" w:type="dxa"/>
        <w:tblLayout w:type="fixed"/>
        <w:tblLook w:val="04A0" w:firstRow="1" w:lastRow="0" w:firstColumn="1" w:lastColumn="0" w:noHBand="0" w:noVBand="1"/>
      </w:tblPr>
      <w:tblGrid>
        <w:gridCol w:w="2562"/>
        <w:gridCol w:w="3358"/>
        <w:gridCol w:w="425"/>
        <w:gridCol w:w="1276"/>
        <w:gridCol w:w="1134"/>
      </w:tblGrid>
      <w:tr w:rsidR="009D6209" w:rsidRPr="000173D9" w:rsidTr="00AE0816">
        <w:trPr>
          <w:trHeight w:val="360"/>
        </w:trPr>
        <w:tc>
          <w:tcPr>
            <w:tcW w:w="2562" w:type="dxa"/>
            <w:vMerge w:val="restart"/>
            <w:tcBorders>
              <w:top w:val="nil"/>
              <w:left w:val="nil"/>
            </w:tcBorders>
            <w:shd w:val="clear" w:color="auto" w:fill="auto"/>
            <w:noWrap/>
            <w:vAlign w:val="center"/>
            <w:hideMark/>
          </w:tcPr>
          <w:p w:rsidR="00566F39" w:rsidRPr="000173D9" w:rsidRDefault="00566F39" w:rsidP="00AE0816">
            <w:pPr>
              <w:rPr>
                <w:rFonts w:ascii="Calibri" w:hAnsi="Calibri" w:cs="Times New Roman"/>
                <w:b/>
                <w:sz w:val="22"/>
                <w:szCs w:val="22"/>
                <w:lang w:val="en-US"/>
              </w:rPr>
            </w:pPr>
            <w:r w:rsidRPr="000173D9">
              <w:rPr>
                <w:rFonts w:ascii="Calibri" w:hAnsi="Calibri" w:cs="Calibri"/>
                <w:b/>
                <w:iCs/>
                <w:sz w:val="22"/>
                <w:szCs w:val="22"/>
              </w:rPr>
              <w:t>Racio ubrzane likvidnosti   =</w:t>
            </w:r>
          </w:p>
        </w:tc>
        <w:tc>
          <w:tcPr>
            <w:tcW w:w="3358" w:type="dxa"/>
            <w:tcBorders>
              <w:top w:val="nil"/>
              <w:left w:val="nil"/>
              <w:bottom w:val="single" w:sz="4" w:space="0" w:color="auto"/>
              <w:right w:val="nil"/>
            </w:tcBorders>
            <w:shd w:val="clear" w:color="auto" w:fill="auto"/>
            <w:vAlign w:val="bottom"/>
            <w:hideMark/>
          </w:tcPr>
          <w:p w:rsidR="00566F39" w:rsidRPr="000173D9" w:rsidRDefault="00566F39" w:rsidP="00AE0816">
            <w:pPr>
              <w:jc w:val="center"/>
              <w:rPr>
                <w:rFonts w:ascii="Calibri" w:hAnsi="Calibri" w:cs="Times New Roman"/>
                <w:b/>
                <w:bCs/>
                <w:sz w:val="22"/>
                <w:szCs w:val="22"/>
                <w:lang w:val="en-US"/>
              </w:rPr>
            </w:pPr>
            <w:r w:rsidRPr="000173D9">
              <w:rPr>
                <w:rFonts w:ascii="Calibri" w:hAnsi="Calibri" w:cs="Calibri"/>
                <w:b/>
                <w:bCs/>
                <w:sz w:val="22"/>
                <w:szCs w:val="22"/>
              </w:rPr>
              <w:t>Likvidna kratkoročno vezana sredstva</w:t>
            </w:r>
          </w:p>
        </w:tc>
        <w:tc>
          <w:tcPr>
            <w:tcW w:w="425" w:type="dxa"/>
            <w:vMerge w:val="restart"/>
            <w:tcBorders>
              <w:top w:val="nil"/>
              <w:left w:val="nil"/>
              <w:right w:val="nil"/>
            </w:tcBorders>
            <w:shd w:val="clear" w:color="auto" w:fill="auto"/>
            <w:noWrap/>
            <w:vAlign w:val="center"/>
            <w:hideMark/>
          </w:tcPr>
          <w:p w:rsidR="00566F39" w:rsidRPr="000173D9" w:rsidRDefault="00566F39" w:rsidP="00AE0816">
            <w:pPr>
              <w:rPr>
                <w:rFonts w:ascii="Calibri" w:hAnsi="Calibri" w:cs="Times New Roman"/>
                <w:b/>
                <w:bCs/>
                <w:sz w:val="22"/>
                <w:szCs w:val="22"/>
                <w:lang w:val="en-US"/>
              </w:rPr>
            </w:pPr>
            <w:r w:rsidRPr="000173D9">
              <w:rPr>
                <w:rFonts w:ascii="Calibri" w:hAnsi="Calibri" w:cs="Times New Roman"/>
                <w:b/>
                <w:bCs/>
                <w:sz w:val="22"/>
                <w:szCs w:val="22"/>
                <w:lang w:val="en-US"/>
              </w:rPr>
              <w:t>=</w:t>
            </w:r>
          </w:p>
        </w:tc>
        <w:tc>
          <w:tcPr>
            <w:tcW w:w="1276" w:type="dxa"/>
            <w:tcBorders>
              <w:top w:val="nil"/>
              <w:left w:val="nil"/>
              <w:bottom w:val="single" w:sz="4" w:space="0" w:color="auto"/>
              <w:right w:val="nil"/>
            </w:tcBorders>
            <w:shd w:val="clear" w:color="auto" w:fill="auto"/>
            <w:vAlign w:val="bottom"/>
            <w:hideMark/>
          </w:tcPr>
          <w:p w:rsidR="00566F39" w:rsidRPr="000173D9" w:rsidRDefault="00E70025" w:rsidP="001D15B4">
            <w:pPr>
              <w:rPr>
                <w:rFonts w:ascii="Calibri" w:hAnsi="Calibri" w:cs="Times New Roman"/>
                <w:b/>
                <w:bCs/>
                <w:sz w:val="22"/>
                <w:szCs w:val="22"/>
                <w:lang w:val="en-US"/>
              </w:rPr>
            </w:pPr>
            <w:r w:rsidRPr="000173D9">
              <w:rPr>
                <w:rFonts w:ascii="Calibri" w:hAnsi="Calibri" w:cs="Calibri"/>
                <w:b/>
                <w:bCs/>
                <w:sz w:val="22"/>
                <w:szCs w:val="22"/>
              </w:rPr>
              <w:t>3</w:t>
            </w:r>
            <w:r w:rsidR="002E52D0" w:rsidRPr="000173D9">
              <w:rPr>
                <w:rFonts w:ascii="Calibri" w:hAnsi="Calibri" w:cs="Calibri"/>
                <w:b/>
                <w:bCs/>
                <w:sz w:val="22"/>
                <w:szCs w:val="22"/>
              </w:rPr>
              <w:t>.</w:t>
            </w:r>
            <w:r w:rsidR="008F59EC" w:rsidRPr="000173D9">
              <w:rPr>
                <w:rFonts w:ascii="Calibri" w:hAnsi="Calibri" w:cs="Calibri"/>
                <w:b/>
                <w:bCs/>
                <w:sz w:val="22"/>
                <w:szCs w:val="22"/>
              </w:rPr>
              <w:t>4</w:t>
            </w:r>
            <w:r w:rsidRPr="000173D9">
              <w:rPr>
                <w:rFonts w:ascii="Calibri" w:hAnsi="Calibri" w:cs="Calibri"/>
                <w:b/>
                <w:bCs/>
                <w:sz w:val="22"/>
                <w:szCs w:val="22"/>
              </w:rPr>
              <w:t>30</w:t>
            </w:r>
            <w:r w:rsidR="008F59EC" w:rsidRPr="000173D9">
              <w:rPr>
                <w:rFonts w:ascii="Calibri" w:hAnsi="Calibri" w:cs="Calibri"/>
                <w:b/>
                <w:bCs/>
                <w:sz w:val="22"/>
                <w:szCs w:val="22"/>
              </w:rPr>
              <w:t>.</w:t>
            </w:r>
            <w:r w:rsidRPr="000173D9">
              <w:rPr>
                <w:rFonts w:ascii="Calibri" w:hAnsi="Calibri" w:cs="Calibri"/>
                <w:b/>
                <w:bCs/>
                <w:sz w:val="22"/>
                <w:szCs w:val="22"/>
              </w:rPr>
              <w:t>387</w:t>
            </w:r>
          </w:p>
        </w:tc>
        <w:tc>
          <w:tcPr>
            <w:tcW w:w="1134" w:type="dxa"/>
            <w:vMerge w:val="restart"/>
            <w:tcBorders>
              <w:top w:val="nil"/>
              <w:left w:val="nil"/>
              <w:right w:val="nil"/>
            </w:tcBorders>
            <w:vAlign w:val="center"/>
          </w:tcPr>
          <w:p w:rsidR="00566F39" w:rsidRPr="000173D9" w:rsidRDefault="00566F39" w:rsidP="001D15B4">
            <w:pPr>
              <w:rPr>
                <w:rFonts w:ascii="Calibri" w:hAnsi="Calibri" w:cs="Calibri"/>
                <w:b/>
                <w:bCs/>
                <w:sz w:val="22"/>
                <w:szCs w:val="22"/>
              </w:rPr>
            </w:pPr>
            <w:r w:rsidRPr="000173D9">
              <w:rPr>
                <w:rFonts w:ascii="Calibri" w:hAnsi="Calibri" w:cs="Calibri"/>
                <w:b/>
                <w:bCs/>
                <w:sz w:val="22"/>
                <w:szCs w:val="22"/>
              </w:rPr>
              <w:t>=</w:t>
            </w:r>
            <w:r w:rsidR="003D58D5" w:rsidRPr="000173D9">
              <w:rPr>
                <w:rFonts w:ascii="Calibri" w:hAnsi="Calibri" w:cs="Calibri"/>
                <w:b/>
                <w:bCs/>
                <w:sz w:val="22"/>
                <w:szCs w:val="22"/>
              </w:rPr>
              <w:t xml:space="preserve"> </w:t>
            </w:r>
            <w:r w:rsidR="008F59EC" w:rsidRPr="000173D9">
              <w:rPr>
                <w:rFonts w:ascii="Calibri" w:hAnsi="Calibri" w:cs="Calibri"/>
                <w:b/>
                <w:bCs/>
                <w:sz w:val="22"/>
                <w:szCs w:val="22"/>
              </w:rPr>
              <w:t>1</w:t>
            </w:r>
            <w:r w:rsidR="00E70025" w:rsidRPr="000173D9">
              <w:rPr>
                <w:rFonts w:ascii="Calibri" w:hAnsi="Calibri" w:cs="Calibri"/>
                <w:b/>
                <w:bCs/>
                <w:sz w:val="22"/>
                <w:szCs w:val="22"/>
              </w:rPr>
              <w:t>34</w:t>
            </w:r>
            <w:r w:rsidR="007E5B58" w:rsidRPr="000173D9">
              <w:rPr>
                <w:rFonts w:ascii="Calibri" w:hAnsi="Calibri" w:cs="Calibri"/>
                <w:b/>
                <w:bCs/>
                <w:sz w:val="22"/>
                <w:szCs w:val="22"/>
              </w:rPr>
              <w:t>,5</w:t>
            </w:r>
            <w:r w:rsidR="00E70025" w:rsidRPr="000173D9">
              <w:rPr>
                <w:rFonts w:ascii="Calibri" w:hAnsi="Calibri" w:cs="Calibri"/>
                <w:b/>
                <w:bCs/>
                <w:sz w:val="22"/>
                <w:szCs w:val="22"/>
              </w:rPr>
              <w:t>5</w:t>
            </w:r>
          </w:p>
        </w:tc>
      </w:tr>
      <w:tr w:rsidR="009D6209" w:rsidRPr="000173D9" w:rsidTr="00AE0816">
        <w:trPr>
          <w:trHeight w:val="260"/>
        </w:trPr>
        <w:tc>
          <w:tcPr>
            <w:tcW w:w="2562" w:type="dxa"/>
            <w:vMerge/>
            <w:tcBorders>
              <w:left w:val="nil"/>
              <w:bottom w:val="nil"/>
            </w:tcBorders>
            <w:shd w:val="clear" w:color="auto" w:fill="auto"/>
            <w:noWrap/>
            <w:vAlign w:val="bottom"/>
            <w:hideMark/>
          </w:tcPr>
          <w:p w:rsidR="00566F39" w:rsidRPr="000173D9" w:rsidRDefault="00566F39" w:rsidP="00AE0816">
            <w:pPr>
              <w:rPr>
                <w:rFonts w:ascii="Calibri" w:hAnsi="Calibri" w:cs="Times New Roman"/>
                <w:sz w:val="22"/>
                <w:szCs w:val="22"/>
                <w:lang w:val="en-US"/>
              </w:rPr>
            </w:pPr>
          </w:p>
        </w:tc>
        <w:tc>
          <w:tcPr>
            <w:tcW w:w="3358" w:type="dxa"/>
            <w:tcBorders>
              <w:top w:val="single" w:sz="4" w:space="0" w:color="auto"/>
              <w:left w:val="nil"/>
              <w:bottom w:val="nil"/>
              <w:right w:val="nil"/>
            </w:tcBorders>
            <w:shd w:val="clear" w:color="auto" w:fill="auto"/>
            <w:noWrap/>
            <w:hideMark/>
          </w:tcPr>
          <w:p w:rsidR="00566F39" w:rsidRPr="000173D9" w:rsidRDefault="00566F39" w:rsidP="00AE0816">
            <w:pPr>
              <w:jc w:val="center"/>
              <w:rPr>
                <w:rFonts w:ascii="Calibri" w:hAnsi="Calibri" w:cs="Times New Roman"/>
                <w:b/>
                <w:bCs/>
                <w:sz w:val="22"/>
                <w:szCs w:val="22"/>
                <w:lang w:val="en-US"/>
              </w:rPr>
            </w:pPr>
            <w:r w:rsidRPr="000173D9">
              <w:rPr>
                <w:rFonts w:ascii="Calibri" w:hAnsi="Calibri" w:cs="Calibri"/>
                <w:b/>
                <w:bCs/>
                <w:sz w:val="22"/>
                <w:szCs w:val="22"/>
              </w:rPr>
              <w:t>Kratkoročne obaveze</w:t>
            </w:r>
          </w:p>
        </w:tc>
        <w:tc>
          <w:tcPr>
            <w:tcW w:w="425" w:type="dxa"/>
            <w:vMerge/>
            <w:tcBorders>
              <w:left w:val="nil"/>
              <w:bottom w:val="nil"/>
              <w:right w:val="nil"/>
            </w:tcBorders>
            <w:shd w:val="clear" w:color="auto" w:fill="auto"/>
            <w:noWrap/>
            <w:vAlign w:val="bottom"/>
            <w:hideMark/>
          </w:tcPr>
          <w:p w:rsidR="00566F39" w:rsidRPr="000173D9" w:rsidRDefault="00566F39" w:rsidP="00AE0816">
            <w:pPr>
              <w:rPr>
                <w:rFonts w:ascii="Calibri" w:hAnsi="Calibri" w:cs="Times New Roman"/>
                <w:sz w:val="22"/>
                <w:szCs w:val="22"/>
                <w:lang w:val="en-US"/>
              </w:rPr>
            </w:pPr>
          </w:p>
        </w:tc>
        <w:tc>
          <w:tcPr>
            <w:tcW w:w="1276" w:type="dxa"/>
            <w:tcBorders>
              <w:top w:val="single" w:sz="4" w:space="0" w:color="auto"/>
              <w:left w:val="nil"/>
              <w:bottom w:val="nil"/>
              <w:right w:val="nil"/>
            </w:tcBorders>
            <w:shd w:val="clear" w:color="auto" w:fill="auto"/>
            <w:hideMark/>
          </w:tcPr>
          <w:p w:rsidR="00566F39" w:rsidRPr="000173D9" w:rsidRDefault="00B47DA5" w:rsidP="00271732">
            <w:pPr>
              <w:rPr>
                <w:rFonts w:ascii="Calibri" w:hAnsi="Calibri" w:cs="Times New Roman"/>
                <w:b/>
                <w:bCs/>
                <w:sz w:val="22"/>
                <w:szCs w:val="22"/>
                <w:lang w:val="en-US"/>
              </w:rPr>
            </w:pPr>
            <w:r w:rsidRPr="000173D9">
              <w:rPr>
                <w:rFonts w:ascii="Calibri" w:hAnsi="Calibri" w:cs="Calibri"/>
                <w:b/>
                <w:bCs/>
                <w:sz w:val="22"/>
                <w:szCs w:val="22"/>
              </w:rPr>
              <w:t xml:space="preserve">   </w:t>
            </w:r>
            <w:r w:rsidR="00E70025" w:rsidRPr="000173D9">
              <w:rPr>
                <w:rFonts w:ascii="Calibri" w:hAnsi="Calibri" w:cs="Calibri"/>
                <w:b/>
                <w:bCs/>
                <w:sz w:val="22"/>
                <w:szCs w:val="22"/>
              </w:rPr>
              <w:t>25</w:t>
            </w:r>
            <w:r w:rsidR="008F59EC" w:rsidRPr="000173D9">
              <w:rPr>
                <w:rFonts w:ascii="Calibri" w:hAnsi="Calibri" w:cs="Calibri"/>
                <w:b/>
                <w:bCs/>
                <w:sz w:val="22"/>
                <w:szCs w:val="22"/>
              </w:rPr>
              <w:t>.</w:t>
            </w:r>
            <w:r w:rsidR="00E70025" w:rsidRPr="000173D9">
              <w:rPr>
                <w:rFonts w:ascii="Calibri" w:hAnsi="Calibri" w:cs="Calibri"/>
                <w:b/>
                <w:bCs/>
                <w:sz w:val="22"/>
                <w:szCs w:val="22"/>
              </w:rPr>
              <w:t>494</w:t>
            </w:r>
          </w:p>
        </w:tc>
        <w:tc>
          <w:tcPr>
            <w:tcW w:w="1134" w:type="dxa"/>
            <w:vMerge/>
            <w:tcBorders>
              <w:left w:val="nil"/>
              <w:bottom w:val="nil"/>
              <w:right w:val="nil"/>
            </w:tcBorders>
          </w:tcPr>
          <w:p w:rsidR="00566F39" w:rsidRPr="000173D9" w:rsidRDefault="00566F39" w:rsidP="00AE0816">
            <w:pPr>
              <w:jc w:val="right"/>
              <w:rPr>
                <w:rFonts w:ascii="Calibri" w:hAnsi="Calibri" w:cs="Calibri"/>
                <w:b/>
                <w:bCs/>
                <w:sz w:val="22"/>
                <w:szCs w:val="22"/>
              </w:rPr>
            </w:pPr>
          </w:p>
        </w:tc>
      </w:tr>
    </w:tbl>
    <w:p w:rsidR="00566F39" w:rsidRPr="000173D9" w:rsidRDefault="00566F39" w:rsidP="00566F39">
      <w:pPr>
        <w:jc w:val="both"/>
        <w:rPr>
          <w:rFonts w:ascii="Calibri" w:hAnsi="Calibri"/>
          <w:sz w:val="22"/>
          <w:szCs w:val="22"/>
        </w:rPr>
      </w:pPr>
    </w:p>
    <w:p w:rsidR="00566F39" w:rsidRPr="000173D9" w:rsidRDefault="00566F39" w:rsidP="00566F39">
      <w:pPr>
        <w:rPr>
          <w:sz w:val="22"/>
          <w:szCs w:val="22"/>
        </w:rPr>
      </w:pPr>
    </w:p>
    <w:p w:rsidR="00501456" w:rsidRPr="001D15B4" w:rsidRDefault="00501456" w:rsidP="00566F39">
      <w:pPr>
        <w:pStyle w:val="Heading2"/>
        <w:numPr>
          <w:ilvl w:val="0"/>
          <w:numId w:val="0"/>
        </w:numPr>
        <w:spacing w:after="120"/>
        <w:ind w:left="360"/>
        <w:rPr>
          <w:rFonts w:ascii="Calibri" w:hAnsi="Calibri" w:cs="Calibri"/>
          <w:i/>
          <w:sz w:val="2"/>
          <w:szCs w:val="22"/>
        </w:rPr>
      </w:pPr>
    </w:p>
    <w:p w:rsidR="00640C3B" w:rsidRPr="001D15B4" w:rsidRDefault="00640C3B" w:rsidP="00566F39">
      <w:pPr>
        <w:pStyle w:val="Heading2"/>
        <w:numPr>
          <w:ilvl w:val="0"/>
          <w:numId w:val="0"/>
        </w:numPr>
        <w:spacing w:after="120"/>
        <w:ind w:left="360"/>
        <w:rPr>
          <w:rFonts w:ascii="Calibri" w:hAnsi="Calibri" w:cs="Calibri"/>
          <w:i/>
          <w:szCs w:val="22"/>
        </w:rPr>
      </w:pPr>
    </w:p>
    <w:p w:rsidR="000173D9" w:rsidRDefault="000173D9" w:rsidP="00566F39">
      <w:pPr>
        <w:pStyle w:val="Heading2"/>
        <w:numPr>
          <w:ilvl w:val="0"/>
          <w:numId w:val="0"/>
        </w:numPr>
        <w:spacing w:after="120"/>
        <w:ind w:left="360"/>
        <w:rPr>
          <w:rFonts w:ascii="Calibri" w:hAnsi="Calibri" w:cs="Calibri"/>
          <w:i/>
          <w:szCs w:val="22"/>
        </w:rPr>
      </w:pPr>
    </w:p>
    <w:p w:rsidR="00566F39" w:rsidRPr="007C5C92" w:rsidRDefault="008E483E" w:rsidP="00566F39">
      <w:pPr>
        <w:pStyle w:val="Heading2"/>
        <w:numPr>
          <w:ilvl w:val="0"/>
          <w:numId w:val="0"/>
        </w:numPr>
        <w:spacing w:after="120"/>
        <w:ind w:left="360"/>
        <w:rPr>
          <w:rFonts w:ascii="Calibri" w:hAnsi="Calibri" w:cs="Calibri"/>
          <w:i/>
          <w:szCs w:val="22"/>
          <w:u w:val="single"/>
        </w:rPr>
      </w:pPr>
      <w:r w:rsidRPr="007C5C92">
        <w:rPr>
          <w:rFonts w:ascii="Calibri" w:hAnsi="Calibri" w:cs="Calibri"/>
          <w:i/>
          <w:szCs w:val="22"/>
        </w:rPr>
        <w:t>3</w:t>
      </w:r>
      <w:r w:rsidR="00566F39" w:rsidRPr="007C5C92">
        <w:rPr>
          <w:rFonts w:ascii="Calibri" w:hAnsi="Calibri" w:cs="Calibri"/>
          <w:i/>
          <w:szCs w:val="22"/>
        </w:rPr>
        <w:t xml:space="preserve">.3. </w:t>
      </w:r>
      <w:r w:rsidR="009D6209" w:rsidRPr="007C5C92">
        <w:rPr>
          <w:rFonts w:ascii="Calibri" w:hAnsi="Calibri" w:cs="Calibri"/>
          <w:i/>
          <w:szCs w:val="22"/>
        </w:rPr>
        <w:t>Analiza finansijskog položaja D</w:t>
      </w:r>
      <w:r w:rsidR="00566F39" w:rsidRPr="007C5C92">
        <w:rPr>
          <w:rFonts w:ascii="Calibri" w:hAnsi="Calibri" w:cs="Calibri"/>
          <w:i/>
          <w:szCs w:val="22"/>
        </w:rPr>
        <w:t>ruštva</w:t>
      </w:r>
    </w:p>
    <w:p w:rsidR="00566F39" w:rsidRPr="007C5C92" w:rsidRDefault="00566F39" w:rsidP="00566F39">
      <w:pPr>
        <w:spacing w:after="120"/>
        <w:rPr>
          <w:rFonts w:ascii="Calibri" w:hAnsi="Calibri"/>
          <w:sz w:val="22"/>
          <w:szCs w:val="22"/>
          <w:lang w:val="sr-Latn-BA"/>
        </w:rPr>
      </w:pPr>
      <w:r w:rsidRPr="007C5C92">
        <w:rPr>
          <w:rFonts w:ascii="Calibri" w:hAnsi="Calibri"/>
          <w:sz w:val="22"/>
          <w:szCs w:val="22"/>
          <w:lang w:val="sr-Latn-BA"/>
        </w:rPr>
        <w:t>Bilansne pozicije pasive, u uporednim periodima, imaju sljedeće vrijednosti:</w:t>
      </w:r>
    </w:p>
    <w:tbl>
      <w:tblPr>
        <w:tblW w:w="6951" w:type="dxa"/>
        <w:tblInd w:w="103" w:type="dxa"/>
        <w:tblLayout w:type="fixed"/>
        <w:tblLook w:val="04A0" w:firstRow="1" w:lastRow="0" w:firstColumn="1" w:lastColumn="0" w:noHBand="0" w:noVBand="1"/>
      </w:tblPr>
      <w:tblGrid>
        <w:gridCol w:w="2978"/>
        <w:gridCol w:w="1138"/>
        <w:gridCol w:w="849"/>
        <w:gridCol w:w="1136"/>
        <w:gridCol w:w="850"/>
      </w:tblGrid>
      <w:tr w:rsidR="00566F39" w:rsidRPr="007C5C92" w:rsidTr="00AE0816">
        <w:trPr>
          <w:trHeight w:val="136"/>
        </w:trPr>
        <w:tc>
          <w:tcPr>
            <w:tcW w:w="2978" w:type="dxa"/>
            <w:vMerge w:val="restart"/>
            <w:tcBorders>
              <w:top w:val="single" w:sz="4" w:space="0" w:color="auto"/>
              <w:left w:val="single" w:sz="4" w:space="0" w:color="auto"/>
              <w:right w:val="single" w:sz="4" w:space="0" w:color="auto"/>
            </w:tcBorders>
            <w:vAlign w:val="center"/>
            <w:hideMark/>
          </w:tcPr>
          <w:p w:rsidR="00566F39" w:rsidRPr="007C5C92" w:rsidRDefault="00566F39" w:rsidP="00AE0816">
            <w:pPr>
              <w:jc w:val="center"/>
              <w:rPr>
                <w:rFonts w:ascii="Calibri" w:hAnsi="Calibri" w:cs="Calibri"/>
                <w:b/>
                <w:sz w:val="20"/>
                <w:szCs w:val="20"/>
              </w:rPr>
            </w:pPr>
            <w:r w:rsidRPr="007C5C92">
              <w:rPr>
                <w:rFonts w:ascii="Calibri" w:hAnsi="Calibri" w:cs="Calibri"/>
                <w:b/>
                <w:sz w:val="20"/>
                <w:szCs w:val="20"/>
              </w:rPr>
              <w:t>P O Z I C I J A</w:t>
            </w:r>
          </w:p>
        </w:tc>
        <w:tc>
          <w:tcPr>
            <w:tcW w:w="1987" w:type="dxa"/>
            <w:gridSpan w:val="2"/>
            <w:tcBorders>
              <w:top w:val="single" w:sz="4" w:space="0" w:color="auto"/>
              <w:left w:val="nil"/>
              <w:bottom w:val="single" w:sz="4" w:space="0" w:color="auto"/>
              <w:right w:val="single" w:sz="4" w:space="0" w:color="auto"/>
            </w:tcBorders>
            <w:vAlign w:val="center"/>
            <w:hideMark/>
          </w:tcPr>
          <w:p w:rsidR="00566F39" w:rsidRPr="007C5C92" w:rsidRDefault="0029772B" w:rsidP="006918D6">
            <w:pPr>
              <w:jc w:val="center"/>
              <w:rPr>
                <w:rFonts w:ascii="Calibri" w:hAnsi="Calibri" w:cs="Calibri"/>
                <w:b/>
                <w:sz w:val="20"/>
                <w:szCs w:val="20"/>
              </w:rPr>
            </w:pPr>
            <w:r w:rsidRPr="007C5C92">
              <w:rPr>
                <w:rFonts w:ascii="Calibri" w:hAnsi="Calibri" w:cs="Calibri"/>
                <w:b/>
                <w:sz w:val="20"/>
                <w:szCs w:val="20"/>
              </w:rPr>
              <w:t>20</w:t>
            </w:r>
            <w:r w:rsidR="000D03A3" w:rsidRPr="007C5C92">
              <w:rPr>
                <w:rFonts w:ascii="Calibri" w:hAnsi="Calibri" w:cs="Calibri"/>
                <w:b/>
                <w:sz w:val="20"/>
                <w:szCs w:val="20"/>
              </w:rPr>
              <w:t>2</w:t>
            </w:r>
            <w:r w:rsidR="00EE146B" w:rsidRPr="007C5C92">
              <w:rPr>
                <w:rFonts w:ascii="Calibri" w:hAnsi="Calibri" w:cs="Calibri"/>
                <w:b/>
                <w:sz w:val="20"/>
                <w:szCs w:val="20"/>
              </w:rPr>
              <w:t>2</w:t>
            </w:r>
            <w:r w:rsidR="000D03A3" w:rsidRPr="007C5C92">
              <w:rPr>
                <w:rFonts w:ascii="Calibri" w:hAnsi="Calibri" w:cs="Calibri"/>
                <w:b/>
                <w:sz w:val="20"/>
                <w:szCs w:val="20"/>
              </w:rPr>
              <w:t>.</w:t>
            </w:r>
          </w:p>
        </w:tc>
        <w:tc>
          <w:tcPr>
            <w:tcW w:w="1986" w:type="dxa"/>
            <w:gridSpan w:val="2"/>
            <w:tcBorders>
              <w:top w:val="single" w:sz="4" w:space="0" w:color="auto"/>
              <w:left w:val="single" w:sz="4" w:space="0" w:color="auto"/>
              <w:bottom w:val="single" w:sz="4" w:space="0" w:color="auto"/>
              <w:right w:val="single" w:sz="4" w:space="0" w:color="000000"/>
            </w:tcBorders>
            <w:vAlign w:val="center"/>
            <w:hideMark/>
          </w:tcPr>
          <w:p w:rsidR="00566F39" w:rsidRPr="007C5C92" w:rsidRDefault="00566F39" w:rsidP="0029772B">
            <w:pPr>
              <w:jc w:val="center"/>
              <w:rPr>
                <w:rFonts w:ascii="Calibri" w:hAnsi="Calibri" w:cs="Calibri"/>
                <w:b/>
                <w:sz w:val="20"/>
                <w:szCs w:val="20"/>
              </w:rPr>
            </w:pPr>
            <w:r w:rsidRPr="007C5C92">
              <w:rPr>
                <w:rFonts w:ascii="Calibri" w:hAnsi="Calibri" w:cs="Calibri"/>
                <w:b/>
                <w:sz w:val="20"/>
                <w:szCs w:val="20"/>
              </w:rPr>
              <w:t>20</w:t>
            </w:r>
            <w:r w:rsidR="0029772B" w:rsidRPr="007C5C92">
              <w:rPr>
                <w:rFonts w:ascii="Calibri" w:hAnsi="Calibri" w:cs="Calibri"/>
                <w:b/>
                <w:sz w:val="20"/>
                <w:szCs w:val="20"/>
              </w:rPr>
              <w:t>2</w:t>
            </w:r>
            <w:r w:rsidR="0041445B" w:rsidRPr="007C5C92">
              <w:rPr>
                <w:rFonts w:ascii="Calibri" w:hAnsi="Calibri" w:cs="Calibri"/>
                <w:b/>
                <w:sz w:val="20"/>
                <w:szCs w:val="20"/>
              </w:rPr>
              <w:t>3</w:t>
            </w:r>
            <w:r w:rsidRPr="007C5C92">
              <w:rPr>
                <w:rFonts w:ascii="Calibri" w:hAnsi="Calibri" w:cs="Calibri"/>
                <w:b/>
                <w:sz w:val="20"/>
                <w:szCs w:val="20"/>
              </w:rPr>
              <w:t>.</w:t>
            </w:r>
          </w:p>
        </w:tc>
      </w:tr>
      <w:tr w:rsidR="00566F39" w:rsidRPr="007C5C92" w:rsidTr="00AE0816">
        <w:trPr>
          <w:trHeight w:val="117"/>
        </w:trPr>
        <w:tc>
          <w:tcPr>
            <w:tcW w:w="2978" w:type="dxa"/>
            <w:vMerge/>
            <w:tcBorders>
              <w:left w:val="single" w:sz="4" w:space="0" w:color="auto"/>
              <w:bottom w:val="single" w:sz="4" w:space="0" w:color="auto"/>
              <w:right w:val="single" w:sz="4" w:space="0" w:color="auto"/>
            </w:tcBorders>
            <w:vAlign w:val="center"/>
            <w:hideMark/>
          </w:tcPr>
          <w:p w:rsidR="00566F39" w:rsidRPr="007C5C92" w:rsidRDefault="00566F39" w:rsidP="00AE0816">
            <w:pPr>
              <w:jc w:val="center"/>
              <w:rPr>
                <w:rFonts w:ascii="Calibri" w:hAnsi="Calibri" w:cs="Calibri"/>
                <w:b/>
                <w:sz w:val="20"/>
                <w:szCs w:val="20"/>
              </w:rPr>
            </w:pPr>
          </w:p>
        </w:tc>
        <w:tc>
          <w:tcPr>
            <w:tcW w:w="1138" w:type="dxa"/>
            <w:tcBorders>
              <w:top w:val="single" w:sz="4" w:space="0" w:color="auto"/>
              <w:left w:val="nil"/>
              <w:bottom w:val="single" w:sz="4" w:space="0" w:color="auto"/>
              <w:right w:val="single" w:sz="4" w:space="0" w:color="auto"/>
            </w:tcBorders>
            <w:vAlign w:val="center"/>
            <w:hideMark/>
          </w:tcPr>
          <w:p w:rsidR="00566F39" w:rsidRPr="007C5C92" w:rsidRDefault="00566F39" w:rsidP="00AE0816">
            <w:pPr>
              <w:jc w:val="center"/>
              <w:rPr>
                <w:rFonts w:ascii="Calibri" w:hAnsi="Calibri" w:cs="Calibri"/>
                <w:b/>
                <w:sz w:val="20"/>
                <w:szCs w:val="20"/>
              </w:rPr>
            </w:pPr>
            <w:r w:rsidRPr="007C5C92">
              <w:rPr>
                <w:rFonts w:ascii="Calibri" w:hAnsi="Calibri" w:cs="Calibri"/>
                <w:b/>
                <w:sz w:val="20"/>
                <w:szCs w:val="20"/>
              </w:rPr>
              <w:t>KM</w:t>
            </w:r>
          </w:p>
        </w:tc>
        <w:tc>
          <w:tcPr>
            <w:tcW w:w="849" w:type="dxa"/>
            <w:tcBorders>
              <w:top w:val="single" w:sz="4" w:space="0" w:color="auto"/>
              <w:left w:val="nil"/>
              <w:bottom w:val="single" w:sz="4" w:space="0" w:color="auto"/>
              <w:right w:val="single" w:sz="4" w:space="0" w:color="auto"/>
            </w:tcBorders>
            <w:vAlign w:val="center"/>
          </w:tcPr>
          <w:p w:rsidR="00566F39" w:rsidRPr="007C5C92" w:rsidRDefault="00566F39" w:rsidP="00AE0816">
            <w:pPr>
              <w:jc w:val="center"/>
              <w:rPr>
                <w:rFonts w:ascii="Calibri" w:hAnsi="Calibri" w:cs="Calibri"/>
                <w:b/>
                <w:sz w:val="20"/>
                <w:szCs w:val="20"/>
              </w:rPr>
            </w:pPr>
            <w:r w:rsidRPr="007C5C92">
              <w:rPr>
                <w:rFonts w:ascii="Calibri" w:hAnsi="Calibri" w:cs="Calibri"/>
                <w:b/>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566F39" w:rsidRPr="007C5C92" w:rsidRDefault="00566F39" w:rsidP="00AE0816">
            <w:pPr>
              <w:jc w:val="center"/>
              <w:rPr>
                <w:rFonts w:ascii="Calibri" w:hAnsi="Calibri" w:cs="Calibri"/>
                <w:b/>
                <w:sz w:val="20"/>
                <w:szCs w:val="20"/>
              </w:rPr>
            </w:pPr>
            <w:r w:rsidRPr="007C5C92">
              <w:rPr>
                <w:rFonts w:ascii="Calibri" w:hAnsi="Calibri" w:cs="Calibri"/>
                <w:b/>
                <w:sz w:val="20"/>
                <w:szCs w:val="20"/>
              </w:rPr>
              <w:t>KM</w:t>
            </w:r>
          </w:p>
        </w:tc>
        <w:tc>
          <w:tcPr>
            <w:tcW w:w="850" w:type="dxa"/>
            <w:tcBorders>
              <w:top w:val="single" w:sz="4" w:space="0" w:color="auto"/>
              <w:left w:val="single" w:sz="4" w:space="0" w:color="auto"/>
              <w:bottom w:val="single" w:sz="4" w:space="0" w:color="auto"/>
              <w:right w:val="single" w:sz="4" w:space="0" w:color="000000"/>
            </w:tcBorders>
            <w:vAlign w:val="center"/>
          </w:tcPr>
          <w:p w:rsidR="00566F39" w:rsidRPr="007C5C92" w:rsidRDefault="00566F39" w:rsidP="00AE0816">
            <w:pPr>
              <w:jc w:val="center"/>
              <w:rPr>
                <w:rFonts w:ascii="Calibri" w:hAnsi="Calibri" w:cs="Calibri"/>
                <w:b/>
                <w:sz w:val="20"/>
                <w:szCs w:val="20"/>
              </w:rPr>
            </w:pPr>
            <w:r w:rsidRPr="007C5C92">
              <w:rPr>
                <w:rFonts w:ascii="Calibri" w:hAnsi="Calibri" w:cs="Calibri"/>
                <w:b/>
                <w:sz w:val="20"/>
                <w:szCs w:val="20"/>
              </w:rPr>
              <w:t>%</w:t>
            </w:r>
          </w:p>
        </w:tc>
      </w:tr>
      <w:tr w:rsidR="0029772B" w:rsidRPr="007C5C92" w:rsidTr="00436573">
        <w:tc>
          <w:tcPr>
            <w:tcW w:w="2978" w:type="dxa"/>
            <w:tcBorders>
              <w:top w:val="nil"/>
              <w:left w:val="single" w:sz="4" w:space="0" w:color="auto"/>
              <w:bottom w:val="single" w:sz="4" w:space="0" w:color="auto"/>
              <w:right w:val="single" w:sz="4" w:space="0" w:color="auto"/>
            </w:tcBorders>
            <w:shd w:val="clear" w:color="auto" w:fill="D6E3BC"/>
            <w:vAlign w:val="bottom"/>
            <w:hideMark/>
          </w:tcPr>
          <w:p w:rsidR="0029772B" w:rsidRPr="007C5C92" w:rsidRDefault="0029772B" w:rsidP="00AE0816">
            <w:pPr>
              <w:rPr>
                <w:rFonts w:ascii="Calibri" w:hAnsi="Calibri" w:cs="Calibri"/>
                <w:b/>
                <w:bCs/>
                <w:sz w:val="20"/>
                <w:szCs w:val="20"/>
              </w:rPr>
            </w:pPr>
            <w:r w:rsidRPr="007C5C92">
              <w:rPr>
                <w:rFonts w:ascii="Calibri" w:hAnsi="Calibri" w:cs="Calibri"/>
                <w:b/>
                <w:bCs/>
                <w:sz w:val="20"/>
                <w:szCs w:val="20"/>
              </w:rPr>
              <w:t>Kapital</w:t>
            </w:r>
          </w:p>
        </w:tc>
        <w:tc>
          <w:tcPr>
            <w:tcW w:w="1138" w:type="dxa"/>
            <w:tcBorders>
              <w:top w:val="nil"/>
              <w:left w:val="nil"/>
              <w:bottom w:val="single" w:sz="4" w:space="0" w:color="auto"/>
              <w:right w:val="single" w:sz="4" w:space="0" w:color="auto"/>
            </w:tcBorders>
            <w:shd w:val="clear" w:color="auto" w:fill="D6E3BC"/>
            <w:noWrap/>
            <w:vAlign w:val="center"/>
          </w:tcPr>
          <w:p w:rsidR="0029772B" w:rsidRPr="007C5C92" w:rsidRDefault="0029772B" w:rsidP="004C1F46">
            <w:pPr>
              <w:jc w:val="center"/>
              <w:rPr>
                <w:rFonts w:ascii="Calibri" w:hAnsi="Calibri" w:cs="Calibri"/>
                <w:b/>
                <w:bCs/>
                <w:sz w:val="20"/>
                <w:szCs w:val="20"/>
              </w:rPr>
            </w:pPr>
            <w:r w:rsidRPr="007C5C92">
              <w:rPr>
                <w:rFonts w:ascii="Calibri" w:hAnsi="Calibri" w:cs="Calibri"/>
                <w:b/>
                <w:bCs/>
                <w:sz w:val="20"/>
                <w:szCs w:val="20"/>
              </w:rPr>
              <w:t>1</w:t>
            </w:r>
            <w:r w:rsidR="008F59EC" w:rsidRPr="007C5C92">
              <w:rPr>
                <w:rFonts w:ascii="Calibri" w:hAnsi="Calibri" w:cs="Calibri"/>
                <w:b/>
                <w:bCs/>
                <w:sz w:val="20"/>
                <w:szCs w:val="20"/>
              </w:rPr>
              <w:t>0</w:t>
            </w:r>
            <w:r w:rsidR="000D03A3" w:rsidRPr="007C5C92">
              <w:rPr>
                <w:rFonts w:ascii="Calibri" w:hAnsi="Calibri" w:cs="Calibri"/>
                <w:b/>
                <w:bCs/>
                <w:sz w:val="20"/>
                <w:szCs w:val="20"/>
              </w:rPr>
              <w:t>.</w:t>
            </w:r>
            <w:r w:rsidR="00EE146B" w:rsidRPr="007C5C92">
              <w:rPr>
                <w:rFonts w:ascii="Calibri" w:hAnsi="Calibri" w:cs="Calibri"/>
                <w:b/>
                <w:bCs/>
                <w:sz w:val="20"/>
                <w:szCs w:val="20"/>
              </w:rPr>
              <w:t>4</w:t>
            </w:r>
            <w:r w:rsidR="008F59EC" w:rsidRPr="007C5C92">
              <w:rPr>
                <w:rFonts w:ascii="Calibri" w:hAnsi="Calibri" w:cs="Calibri"/>
                <w:b/>
                <w:bCs/>
                <w:sz w:val="20"/>
                <w:szCs w:val="20"/>
              </w:rPr>
              <w:t>0</w:t>
            </w:r>
            <w:r w:rsidR="00EE146B" w:rsidRPr="007C5C92">
              <w:rPr>
                <w:rFonts w:ascii="Calibri" w:hAnsi="Calibri" w:cs="Calibri"/>
                <w:b/>
                <w:bCs/>
                <w:sz w:val="20"/>
                <w:szCs w:val="20"/>
              </w:rPr>
              <w:t>8</w:t>
            </w:r>
            <w:r w:rsidR="000D03A3" w:rsidRPr="007C5C92">
              <w:rPr>
                <w:rFonts w:ascii="Calibri" w:hAnsi="Calibri" w:cs="Calibri"/>
                <w:b/>
                <w:bCs/>
                <w:sz w:val="20"/>
                <w:szCs w:val="20"/>
              </w:rPr>
              <w:t>.</w:t>
            </w:r>
            <w:r w:rsidR="00EE146B" w:rsidRPr="007C5C92">
              <w:rPr>
                <w:rFonts w:ascii="Calibri" w:hAnsi="Calibri" w:cs="Calibri"/>
                <w:b/>
                <w:bCs/>
                <w:sz w:val="20"/>
                <w:szCs w:val="20"/>
              </w:rPr>
              <w:t>3</w:t>
            </w:r>
            <w:r w:rsidR="008F59EC" w:rsidRPr="007C5C92">
              <w:rPr>
                <w:rFonts w:ascii="Calibri" w:hAnsi="Calibri" w:cs="Calibri"/>
                <w:b/>
                <w:bCs/>
                <w:sz w:val="20"/>
                <w:szCs w:val="20"/>
              </w:rPr>
              <w:t>2</w:t>
            </w:r>
            <w:r w:rsidR="00EE146B" w:rsidRPr="007C5C92">
              <w:rPr>
                <w:rFonts w:ascii="Calibri" w:hAnsi="Calibri" w:cs="Calibri"/>
                <w:b/>
                <w:bCs/>
                <w:sz w:val="20"/>
                <w:szCs w:val="20"/>
              </w:rPr>
              <w:t>9</w:t>
            </w:r>
          </w:p>
        </w:tc>
        <w:tc>
          <w:tcPr>
            <w:tcW w:w="849" w:type="dxa"/>
            <w:tcBorders>
              <w:top w:val="nil"/>
              <w:left w:val="nil"/>
              <w:bottom w:val="single" w:sz="4" w:space="0" w:color="auto"/>
              <w:right w:val="single" w:sz="4" w:space="0" w:color="auto"/>
            </w:tcBorders>
            <w:shd w:val="clear" w:color="auto" w:fill="D6E3BC"/>
            <w:noWrap/>
            <w:vAlign w:val="center"/>
          </w:tcPr>
          <w:p w:rsidR="0029772B" w:rsidRPr="007C5C92" w:rsidRDefault="0029772B" w:rsidP="004C1F46">
            <w:pPr>
              <w:jc w:val="center"/>
              <w:rPr>
                <w:rFonts w:ascii="Calibri" w:hAnsi="Calibri" w:cs="Calibri"/>
                <w:b/>
                <w:bCs/>
                <w:sz w:val="22"/>
                <w:szCs w:val="22"/>
              </w:rPr>
            </w:pPr>
            <w:r w:rsidRPr="007C5C92">
              <w:rPr>
                <w:rFonts w:ascii="Calibri" w:hAnsi="Calibri" w:cs="Calibri"/>
                <w:b/>
                <w:bCs/>
                <w:sz w:val="22"/>
                <w:szCs w:val="22"/>
              </w:rPr>
              <w:t>9</w:t>
            </w:r>
            <w:r w:rsidR="00423E89" w:rsidRPr="007C5C92">
              <w:rPr>
                <w:rFonts w:ascii="Calibri" w:hAnsi="Calibri" w:cs="Calibri"/>
                <w:b/>
                <w:bCs/>
                <w:sz w:val="22"/>
                <w:szCs w:val="22"/>
              </w:rPr>
              <w:t>7</w:t>
            </w:r>
            <w:r w:rsidR="000D03A3" w:rsidRPr="007C5C92">
              <w:rPr>
                <w:rFonts w:ascii="Calibri" w:hAnsi="Calibri" w:cs="Calibri"/>
                <w:b/>
                <w:bCs/>
                <w:sz w:val="22"/>
                <w:szCs w:val="22"/>
              </w:rPr>
              <w:t>.</w:t>
            </w:r>
            <w:r w:rsidR="00423E89" w:rsidRPr="007C5C92">
              <w:rPr>
                <w:rFonts w:ascii="Calibri" w:hAnsi="Calibri" w:cs="Calibri"/>
                <w:b/>
                <w:bCs/>
                <w:sz w:val="22"/>
                <w:szCs w:val="22"/>
              </w:rPr>
              <w:t>68</w:t>
            </w:r>
          </w:p>
        </w:tc>
        <w:tc>
          <w:tcPr>
            <w:tcW w:w="1136" w:type="dxa"/>
            <w:tcBorders>
              <w:top w:val="nil"/>
              <w:left w:val="nil"/>
              <w:bottom w:val="single" w:sz="4" w:space="0" w:color="auto"/>
              <w:right w:val="single" w:sz="4" w:space="0" w:color="auto"/>
            </w:tcBorders>
            <w:shd w:val="clear" w:color="auto" w:fill="D6E3BC"/>
            <w:vAlign w:val="center"/>
          </w:tcPr>
          <w:p w:rsidR="0029772B" w:rsidRPr="007C5C92" w:rsidRDefault="00EE146B" w:rsidP="000D03A3">
            <w:pPr>
              <w:jc w:val="right"/>
              <w:rPr>
                <w:rFonts w:ascii="Calibri" w:hAnsi="Calibri" w:cs="Calibri"/>
                <w:b/>
                <w:bCs/>
                <w:sz w:val="20"/>
                <w:szCs w:val="20"/>
              </w:rPr>
            </w:pPr>
            <w:r w:rsidRPr="007C5C92">
              <w:rPr>
                <w:rFonts w:ascii="Calibri" w:hAnsi="Calibri" w:cs="Calibri"/>
                <w:b/>
                <w:bCs/>
                <w:sz w:val="20"/>
                <w:szCs w:val="20"/>
              </w:rPr>
              <w:t>7.750.487</w:t>
            </w:r>
          </w:p>
        </w:tc>
        <w:tc>
          <w:tcPr>
            <w:tcW w:w="850" w:type="dxa"/>
            <w:tcBorders>
              <w:top w:val="nil"/>
              <w:left w:val="nil"/>
              <w:bottom w:val="single" w:sz="4" w:space="0" w:color="auto"/>
              <w:right w:val="single" w:sz="4" w:space="0" w:color="auto"/>
            </w:tcBorders>
            <w:shd w:val="clear" w:color="auto" w:fill="D6E3BC"/>
            <w:vAlign w:val="center"/>
          </w:tcPr>
          <w:p w:rsidR="0029772B" w:rsidRPr="007C5C92" w:rsidRDefault="004931D4" w:rsidP="004931D4">
            <w:pPr>
              <w:rPr>
                <w:rFonts w:ascii="Calibri" w:hAnsi="Calibri" w:cs="Calibri"/>
                <w:b/>
                <w:bCs/>
                <w:sz w:val="22"/>
                <w:szCs w:val="22"/>
              </w:rPr>
            </w:pPr>
            <w:r w:rsidRPr="007C5C92">
              <w:rPr>
                <w:rFonts w:ascii="Calibri" w:hAnsi="Calibri" w:cs="Calibri"/>
                <w:b/>
                <w:bCs/>
                <w:sz w:val="22"/>
                <w:szCs w:val="22"/>
              </w:rPr>
              <w:t>9</w:t>
            </w:r>
            <w:r w:rsidR="0041445B" w:rsidRPr="007C5C92">
              <w:rPr>
                <w:rFonts w:ascii="Calibri" w:hAnsi="Calibri" w:cs="Calibri"/>
                <w:b/>
                <w:bCs/>
                <w:sz w:val="22"/>
                <w:szCs w:val="22"/>
              </w:rPr>
              <w:t>6</w:t>
            </w:r>
            <w:r w:rsidRPr="007C5C92">
              <w:rPr>
                <w:rFonts w:ascii="Calibri" w:hAnsi="Calibri" w:cs="Calibri"/>
                <w:b/>
                <w:bCs/>
                <w:sz w:val="22"/>
                <w:szCs w:val="22"/>
              </w:rPr>
              <w:t>.</w:t>
            </w:r>
            <w:r w:rsidR="0041445B" w:rsidRPr="007C5C92">
              <w:rPr>
                <w:rFonts w:ascii="Calibri" w:hAnsi="Calibri" w:cs="Calibri"/>
                <w:b/>
                <w:bCs/>
                <w:sz w:val="22"/>
                <w:szCs w:val="22"/>
              </w:rPr>
              <w:t>99</w:t>
            </w:r>
          </w:p>
        </w:tc>
      </w:tr>
      <w:tr w:rsidR="0029772B" w:rsidRPr="007C5C92" w:rsidTr="00436573">
        <w:tc>
          <w:tcPr>
            <w:tcW w:w="2978" w:type="dxa"/>
            <w:tcBorders>
              <w:top w:val="nil"/>
              <w:left w:val="single" w:sz="4" w:space="0" w:color="auto"/>
              <w:bottom w:val="single" w:sz="4" w:space="0" w:color="auto"/>
              <w:right w:val="single" w:sz="4" w:space="0" w:color="auto"/>
            </w:tcBorders>
            <w:shd w:val="clear" w:color="auto" w:fill="auto"/>
            <w:vAlign w:val="bottom"/>
            <w:hideMark/>
          </w:tcPr>
          <w:p w:rsidR="0029772B" w:rsidRPr="007C5C92" w:rsidRDefault="0029772B" w:rsidP="00AE0816">
            <w:pPr>
              <w:rPr>
                <w:rFonts w:ascii="Calibri" w:hAnsi="Calibri" w:cs="Calibri"/>
                <w:b/>
                <w:sz w:val="20"/>
                <w:szCs w:val="20"/>
              </w:rPr>
            </w:pPr>
            <w:r w:rsidRPr="007C5C92">
              <w:rPr>
                <w:rFonts w:ascii="Calibri" w:hAnsi="Calibri" w:cs="Calibri"/>
                <w:b/>
                <w:sz w:val="20"/>
                <w:szCs w:val="20"/>
              </w:rPr>
              <w:t>Osnovni kapital</w:t>
            </w:r>
          </w:p>
        </w:tc>
        <w:tc>
          <w:tcPr>
            <w:tcW w:w="1138" w:type="dxa"/>
            <w:tcBorders>
              <w:top w:val="nil"/>
              <w:left w:val="nil"/>
              <w:bottom w:val="single" w:sz="4" w:space="0" w:color="auto"/>
              <w:right w:val="single" w:sz="4" w:space="0" w:color="auto"/>
            </w:tcBorders>
            <w:shd w:val="clear" w:color="auto" w:fill="auto"/>
            <w:noWrap/>
            <w:vAlign w:val="center"/>
          </w:tcPr>
          <w:p w:rsidR="0029772B" w:rsidRPr="007C5C92" w:rsidRDefault="0029772B" w:rsidP="004C1F46">
            <w:pPr>
              <w:jc w:val="center"/>
              <w:rPr>
                <w:rFonts w:ascii="Calibri" w:hAnsi="Calibri" w:cs="Calibri"/>
                <w:b/>
                <w:bCs/>
                <w:sz w:val="20"/>
                <w:szCs w:val="20"/>
              </w:rPr>
            </w:pPr>
            <w:r w:rsidRPr="007C5C92">
              <w:rPr>
                <w:rFonts w:ascii="Calibri" w:hAnsi="Calibri" w:cs="Calibri"/>
                <w:b/>
                <w:bCs/>
                <w:sz w:val="20"/>
                <w:szCs w:val="20"/>
              </w:rPr>
              <w:t>1</w:t>
            </w:r>
            <w:r w:rsidR="000D03A3" w:rsidRPr="007C5C92">
              <w:rPr>
                <w:rFonts w:ascii="Calibri" w:hAnsi="Calibri" w:cs="Calibri"/>
                <w:b/>
                <w:bCs/>
                <w:sz w:val="20"/>
                <w:szCs w:val="20"/>
              </w:rPr>
              <w:t>1.104.166</w:t>
            </w:r>
          </w:p>
        </w:tc>
        <w:tc>
          <w:tcPr>
            <w:tcW w:w="849" w:type="dxa"/>
            <w:tcBorders>
              <w:top w:val="nil"/>
              <w:left w:val="nil"/>
              <w:bottom w:val="single" w:sz="4" w:space="0" w:color="auto"/>
              <w:right w:val="single" w:sz="4" w:space="0" w:color="auto"/>
            </w:tcBorders>
            <w:shd w:val="clear" w:color="auto" w:fill="auto"/>
            <w:noWrap/>
            <w:vAlign w:val="center"/>
          </w:tcPr>
          <w:p w:rsidR="0029772B" w:rsidRPr="007C5C92" w:rsidRDefault="00423E89" w:rsidP="00423E89">
            <w:pPr>
              <w:rPr>
                <w:rFonts w:ascii="Calibri" w:hAnsi="Calibri" w:cs="Calibri"/>
                <w:b/>
                <w:bCs/>
                <w:sz w:val="22"/>
                <w:szCs w:val="22"/>
              </w:rPr>
            </w:pPr>
            <w:r w:rsidRPr="007C5C92">
              <w:rPr>
                <w:rFonts w:ascii="Calibri" w:hAnsi="Calibri" w:cs="Calibri"/>
                <w:b/>
                <w:bCs/>
                <w:sz w:val="22"/>
                <w:szCs w:val="22"/>
              </w:rPr>
              <w:t>104</w:t>
            </w:r>
            <w:r w:rsidR="000D03A3" w:rsidRPr="007C5C92">
              <w:rPr>
                <w:rFonts w:ascii="Calibri" w:hAnsi="Calibri" w:cs="Calibri"/>
                <w:b/>
                <w:bCs/>
                <w:sz w:val="22"/>
                <w:szCs w:val="22"/>
              </w:rPr>
              <w:t>.</w:t>
            </w:r>
            <w:r w:rsidRPr="007C5C92">
              <w:rPr>
                <w:rFonts w:ascii="Calibri" w:hAnsi="Calibri" w:cs="Calibri"/>
                <w:b/>
                <w:bCs/>
                <w:sz w:val="22"/>
                <w:szCs w:val="22"/>
              </w:rPr>
              <w:t>21</w:t>
            </w:r>
          </w:p>
        </w:tc>
        <w:tc>
          <w:tcPr>
            <w:tcW w:w="1136" w:type="dxa"/>
            <w:tcBorders>
              <w:top w:val="nil"/>
              <w:left w:val="nil"/>
              <w:bottom w:val="single" w:sz="4" w:space="0" w:color="auto"/>
              <w:right w:val="single" w:sz="4" w:space="0" w:color="auto"/>
            </w:tcBorders>
            <w:shd w:val="clear" w:color="auto" w:fill="auto"/>
            <w:vAlign w:val="center"/>
          </w:tcPr>
          <w:p w:rsidR="0029772B" w:rsidRPr="007C5C92" w:rsidRDefault="000D03A3" w:rsidP="000D03A3">
            <w:pPr>
              <w:jc w:val="right"/>
              <w:rPr>
                <w:rFonts w:ascii="Calibri" w:hAnsi="Calibri" w:cs="Calibri"/>
                <w:b/>
                <w:bCs/>
                <w:sz w:val="20"/>
                <w:szCs w:val="20"/>
              </w:rPr>
            </w:pPr>
            <w:r w:rsidRPr="007C5C92">
              <w:rPr>
                <w:rFonts w:ascii="Calibri" w:hAnsi="Calibri" w:cs="Calibri"/>
                <w:b/>
                <w:bCs/>
                <w:sz w:val="20"/>
                <w:szCs w:val="20"/>
              </w:rPr>
              <w:t>11.104.166</w:t>
            </w:r>
          </w:p>
        </w:tc>
        <w:tc>
          <w:tcPr>
            <w:tcW w:w="850" w:type="dxa"/>
            <w:tcBorders>
              <w:top w:val="nil"/>
              <w:left w:val="nil"/>
              <w:bottom w:val="single" w:sz="4" w:space="0" w:color="auto"/>
              <w:right w:val="single" w:sz="4" w:space="0" w:color="auto"/>
            </w:tcBorders>
            <w:shd w:val="clear" w:color="auto" w:fill="auto"/>
            <w:vAlign w:val="center"/>
          </w:tcPr>
          <w:p w:rsidR="0029772B" w:rsidRPr="007C5C92" w:rsidRDefault="004931D4">
            <w:pPr>
              <w:jc w:val="center"/>
              <w:rPr>
                <w:rFonts w:ascii="Calibri" w:hAnsi="Calibri" w:cs="Calibri"/>
                <w:b/>
                <w:bCs/>
                <w:sz w:val="22"/>
                <w:szCs w:val="22"/>
              </w:rPr>
            </w:pPr>
            <w:r w:rsidRPr="007C5C92">
              <w:rPr>
                <w:rFonts w:ascii="Calibri" w:hAnsi="Calibri" w:cs="Calibri"/>
                <w:b/>
                <w:bCs/>
                <w:sz w:val="22"/>
                <w:szCs w:val="22"/>
              </w:rPr>
              <w:t>1</w:t>
            </w:r>
            <w:r w:rsidR="0041445B" w:rsidRPr="007C5C92">
              <w:rPr>
                <w:rFonts w:ascii="Calibri" w:hAnsi="Calibri" w:cs="Calibri"/>
                <w:b/>
                <w:bCs/>
                <w:sz w:val="22"/>
                <w:szCs w:val="22"/>
              </w:rPr>
              <w:t>38</w:t>
            </w:r>
            <w:r w:rsidRPr="007C5C92">
              <w:rPr>
                <w:rFonts w:ascii="Calibri" w:hAnsi="Calibri" w:cs="Calibri"/>
                <w:b/>
                <w:bCs/>
                <w:sz w:val="22"/>
                <w:szCs w:val="22"/>
              </w:rPr>
              <w:t>.</w:t>
            </w:r>
            <w:r w:rsidR="0041445B" w:rsidRPr="007C5C92">
              <w:rPr>
                <w:rFonts w:ascii="Calibri" w:hAnsi="Calibri" w:cs="Calibri"/>
                <w:b/>
                <w:bCs/>
                <w:sz w:val="22"/>
                <w:szCs w:val="22"/>
              </w:rPr>
              <w:t>96</w:t>
            </w:r>
          </w:p>
        </w:tc>
      </w:tr>
      <w:tr w:rsidR="0029772B" w:rsidRPr="007C5C92" w:rsidTr="00436573">
        <w:tc>
          <w:tcPr>
            <w:tcW w:w="2978" w:type="dxa"/>
            <w:tcBorders>
              <w:top w:val="nil"/>
              <w:left w:val="single" w:sz="4" w:space="0" w:color="auto"/>
              <w:bottom w:val="single" w:sz="4" w:space="0" w:color="auto"/>
              <w:right w:val="single" w:sz="4" w:space="0" w:color="auto"/>
            </w:tcBorders>
            <w:shd w:val="clear" w:color="auto" w:fill="auto"/>
            <w:vAlign w:val="bottom"/>
            <w:hideMark/>
          </w:tcPr>
          <w:p w:rsidR="0029772B" w:rsidRPr="007C5C92" w:rsidRDefault="0029772B" w:rsidP="00AE0816">
            <w:pPr>
              <w:rPr>
                <w:rFonts w:ascii="Calibri" w:hAnsi="Calibri" w:cs="Calibri"/>
                <w:b/>
                <w:sz w:val="20"/>
                <w:szCs w:val="20"/>
              </w:rPr>
            </w:pPr>
            <w:r w:rsidRPr="007C5C92">
              <w:rPr>
                <w:rFonts w:ascii="Calibri" w:hAnsi="Calibri" w:cs="Calibri"/>
                <w:b/>
                <w:sz w:val="20"/>
                <w:szCs w:val="20"/>
              </w:rPr>
              <w:t>Rezerve</w:t>
            </w:r>
          </w:p>
        </w:tc>
        <w:tc>
          <w:tcPr>
            <w:tcW w:w="1138" w:type="dxa"/>
            <w:tcBorders>
              <w:top w:val="nil"/>
              <w:left w:val="nil"/>
              <w:bottom w:val="single" w:sz="4" w:space="0" w:color="auto"/>
              <w:right w:val="single" w:sz="4" w:space="0" w:color="auto"/>
            </w:tcBorders>
            <w:shd w:val="clear" w:color="auto" w:fill="auto"/>
            <w:noWrap/>
            <w:vAlign w:val="center"/>
          </w:tcPr>
          <w:p w:rsidR="0029772B" w:rsidRPr="007C5C92" w:rsidRDefault="0029772B" w:rsidP="004C1F46">
            <w:pPr>
              <w:jc w:val="center"/>
              <w:rPr>
                <w:rFonts w:ascii="Calibri" w:hAnsi="Calibri" w:cs="Calibri"/>
                <w:b/>
                <w:bCs/>
                <w:sz w:val="20"/>
                <w:szCs w:val="20"/>
              </w:rPr>
            </w:pPr>
            <w:r w:rsidRPr="007C5C92">
              <w:rPr>
                <w:rFonts w:ascii="Calibri" w:hAnsi="Calibri" w:cs="Calibri"/>
                <w:b/>
                <w:bCs/>
                <w:sz w:val="20"/>
                <w:szCs w:val="20"/>
              </w:rPr>
              <w:t>1.430.693</w:t>
            </w:r>
          </w:p>
        </w:tc>
        <w:tc>
          <w:tcPr>
            <w:tcW w:w="849" w:type="dxa"/>
            <w:tcBorders>
              <w:top w:val="nil"/>
              <w:left w:val="nil"/>
              <w:bottom w:val="single" w:sz="4" w:space="0" w:color="auto"/>
              <w:right w:val="single" w:sz="4" w:space="0" w:color="auto"/>
            </w:tcBorders>
            <w:shd w:val="clear" w:color="auto" w:fill="auto"/>
            <w:noWrap/>
            <w:vAlign w:val="center"/>
          </w:tcPr>
          <w:p w:rsidR="0029772B" w:rsidRPr="007C5C92" w:rsidRDefault="0029772B" w:rsidP="004C1F46">
            <w:pPr>
              <w:jc w:val="center"/>
              <w:rPr>
                <w:rFonts w:ascii="Calibri" w:hAnsi="Calibri" w:cs="Calibri"/>
                <w:b/>
                <w:bCs/>
                <w:sz w:val="22"/>
                <w:szCs w:val="22"/>
              </w:rPr>
            </w:pPr>
            <w:r w:rsidRPr="007C5C92">
              <w:rPr>
                <w:rFonts w:ascii="Calibri" w:hAnsi="Calibri" w:cs="Calibri"/>
                <w:b/>
                <w:bCs/>
                <w:sz w:val="22"/>
                <w:szCs w:val="22"/>
              </w:rPr>
              <w:t>1</w:t>
            </w:r>
            <w:r w:rsidR="00423E89" w:rsidRPr="007C5C92">
              <w:rPr>
                <w:rFonts w:ascii="Calibri" w:hAnsi="Calibri" w:cs="Calibri"/>
                <w:b/>
                <w:bCs/>
                <w:sz w:val="22"/>
                <w:szCs w:val="22"/>
              </w:rPr>
              <w:t>3</w:t>
            </w:r>
            <w:r w:rsidR="000D03A3" w:rsidRPr="007C5C92">
              <w:rPr>
                <w:rFonts w:ascii="Calibri" w:hAnsi="Calibri" w:cs="Calibri"/>
                <w:b/>
                <w:bCs/>
                <w:sz w:val="22"/>
                <w:szCs w:val="22"/>
              </w:rPr>
              <w:t>.</w:t>
            </w:r>
            <w:r w:rsidR="00423E89" w:rsidRPr="007C5C92">
              <w:rPr>
                <w:rFonts w:ascii="Calibri" w:hAnsi="Calibri" w:cs="Calibri"/>
                <w:b/>
                <w:bCs/>
                <w:sz w:val="22"/>
                <w:szCs w:val="22"/>
              </w:rPr>
              <w:t>42</w:t>
            </w:r>
          </w:p>
        </w:tc>
        <w:tc>
          <w:tcPr>
            <w:tcW w:w="1136" w:type="dxa"/>
            <w:tcBorders>
              <w:top w:val="nil"/>
              <w:left w:val="nil"/>
              <w:bottom w:val="single" w:sz="4" w:space="0" w:color="auto"/>
              <w:right w:val="single" w:sz="4" w:space="0" w:color="auto"/>
            </w:tcBorders>
            <w:shd w:val="clear" w:color="auto" w:fill="auto"/>
            <w:vAlign w:val="center"/>
          </w:tcPr>
          <w:p w:rsidR="0029772B" w:rsidRPr="007C5C92" w:rsidRDefault="000D03A3" w:rsidP="000D03A3">
            <w:pPr>
              <w:jc w:val="right"/>
              <w:rPr>
                <w:rFonts w:ascii="Calibri" w:hAnsi="Calibri" w:cs="Calibri"/>
                <w:b/>
                <w:bCs/>
                <w:sz w:val="20"/>
                <w:szCs w:val="20"/>
              </w:rPr>
            </w:pPr>
            <w:r w:rsidRPr="007C5C92">
              <w:rPr>
                <w:rFonts w:ascii="Calibri" w:hAnsi="Calibri" w:cs="Calibri"/>
                <w:b/>
                <w:bCs/>
                <w:sz w:val="20"/>
                <w:szCs w:val="20"/>
              </w:rPr>
              <w:t>1.430.693</w:t>
            </w:r>
          </w:p>
        </w:tc>
        <w:tc>
          <w:tcPr>
            <w:tcW w:w="850" w:type="dxa"/>
            <w:tcBorders>
              <w:top w:val="nil"/>
              <w:left w:val="nil"/>
              <w:bottom w:val="single" w:sz="4" w:space="0" w:color="auto"/>
              <w:right w:val="single" w:sz="4" w:space="0" w:color="auto"/>
            </w:tcBorders>
            <w:shd w:val="clear" w:color="auto" w:fill="auto"/>
            <w:vAlign w:val="center"/>
          </w:tcPr>
          <w:p w:rsidR="0029772B" w:rsidRPr="007C5C92" w:rsidRDefault="004931D4">
            <w:pPr>
              <w:jc w:val="center"/>
              <w:rPr>
                <w:rFonts w:ascii="Calibri" w:hAnsi="Calibri" w:cs="Calibri"/>
                <w:b/>
                <w:bCs/>
                <w:sz w:val="22"/>
                <w:szCs w:val="22"/>
              </w:rPr>
            </w:pPr>
            <w:r w:rsidRPr="007C5C92">
              <w:rPr>
                <w:rFonts w:ascii="Calibri" w:hAnsi="Calibri" w:cs="Calibri"/>
                <w:b/>
                <w:bCs/>
                <w:sz w:val="22"/>
                <w:szCs w:val="22"/>
              </w:rPr>
              <w:t>1</w:t>
            </w:r>
            <w:r w:rsidR="0041445B" w:rsidRPr="007C5C92">
              <w:rPr>
                <w:rFonts w:ascii="Calibri" w:hAnsi="Calibri" w:cs="Calibri"/>
                <w:b/>
                <w:bCs/>
                <w:sz w:val="22"/>
                <w:szCs w:val="22"/>
              </w:rPr>
              <w:t>7</w:t>
            </w:r>
            <w:r w:rsidRPr="007C5C92">
              <w:rPr>
                <w:rFonts w:ascii="Calibri" w:hAnsi="Calibri" w:cs="Calibri"/>
                <w:b/>
                <w:bCs/>
                <w:sz w:val="22"/>
                <w:szCs w:val="22"/>
              </w:rPr>
              <w:t>.</w:t>
            </w:r>
            <w:r w:rsidR="0041445B" w:rsidRPr="007C5C92">
              <w:rPr>
                <w:rFonts w:ascii="Calibri" w:hAnsi="Calibri" w:cs="Calibri"/>
                <w:b/>
                <w:bCs/>
                <w:sz w:val="22"/>
                <w:szCs w:val="22"/>
              </w:rPr>
              <w:t>90</w:t>
            </w:r>
          </w:p>
        </w:tc>
      </w:tr>
      <w:tr w:rsidR="0029772B" w:rsidRPr="007C5C92" w:rsidTr="00436573">
        <w:tc>
          <w:tcPr>
            <w:tcW w:w="2978" w:type="dxa"/>
            <w:tcBorders>
              <w:top w:val="nil"/>
              <w:left w:val="single" w:sz="4" w:space="0" w:color="auto"/>
              <w:bottom w:val="single" w:sz="4" w:space="0" w:color="auto"/>
              <w:right w:val="single" w:sz="4" w:space="0" w:color="auto"/>
            </w:tcBorders>
            <w:shd w:val="clear" w:color="auto" w:fill="auto"/>
            <w:vAlign w:val="bottom"/>
            <w:hideMark/>
          </w:tcPr>
          <w:p w:rsidR="0029772B" w:rsidRPr="007C5C92" w:rsidRDefault="0029772B" w:rsidP="00AE0816">
            <w:pPr>
              <w:rPr>
                <w:rFonts w:ascii="Calibri" w:hAnsi="Calibri" w:cs="Calibri"/>
                <w:b/>
                <w:sz w:val="20"/>
                <w:szCs w:val="20"/>
              </w:rPr>
            </w:pPr>
            <w:r w:rsidRPr="007C5C92">
              <w:rPr>
                <w:rFonts w:ascii="Calibri" w:hAnsi="Calibri" w:cs="Calibri"/>
                <w:b/>
                <w:sz w:val="20"/>
                <w:szCs w:val="20"/>
              </w:rPr>
              <w:t>Neraspoređeni dobitak</w:t>
            </w:r>
          </w:p>
        </w:tc>
        <w:tc>
          <w:tcPr>
            <w:tcW w:w="1138" w:type="dxa"/>
            <w:tcBorders>
              <w:top w:val="nil"/>
              <w:left w:val="nil"/>
              <w:bottom w:val="single" w:sz="4" w:space="0" w:color="auto"/>
              <w:right w:val="single" w:sz="4" w:space="0" w:color="auto"/>
            </w:tcBorders>
            <w:shd w:val="clear" w:color="auto" w:fill="auto"/>
            <w:noWrap/>
            <w:vAlign w:val="center"/>
          </w:tcPr>
          <w:p w:rsidR="0029772B" w:rsidRPr="007C5C92" w:rsidRDefault="0029772B" w:rsidP="004C1F46">
            <w:pPr>
              <w:jc w:val="center"/>
              <w:rPr>
                <w:rFonts w:ascii="Calibri" w:hAnsi="Calibri" w:cs="Calibri"/>
                <w:b/>
                <w:bCs/>
                <w:sz w:val="20"/>
                <w:szCs w:val="20"/>
              </w:rPr>
            </w:pPr>
            <w:r w:rsidRPr="007C5C92">
              <w:rPr>
                <w:rFonts w:ascii="Calibri" w:hAnsi="Calibri" w:cs="Calibri"/>
                <w:b/>
                <w:bCs/>
                <w:sz w:val="20"/>
                <w:szCs w:val="20"/>
              </w:rPr>
              <w:t>2.</w:t>
            </w:r>
            <w:r w:rsidR="008F59EC" w:rsidRPr="007C5C92">
              <w:rPr>
                <w:rFonts w:ascii="Calibri" w:hAnsi="Calibri" w:cs="Calibri"/>
                <w:b/>
                <w:bCs/>
                <w:sz w:val="20"/>
                <w:szCs w:val="20"/>
              </w:rPr>
              <w:t>764</w:t>
            </w:r>
            <w:r w:rsidR="000D03A3" w:rsidRPr="007C5C92">
              <w:rPr>
                <w:rFonts w:ascii="Calibri" w:hAnsi="Calibri" w:cs="Calibri"/>
                <w:b/>
                <w:bCs/>
                <w:sz w:val="20"/>
                <w:szCs w:val="20"/>
              </w:rPr>
              <w:t>.</w:t>
            </w:r>
            <w:r w:rsidR="008F59EC" w:rsidRPr="007C5C92">
              <w:rPr>
                <w:rFonts w:ascii="Calibri" w:hAnsi="Calibri" w:cs="Calibri"/>
                <w:b/>
                <w:bCs/>
                <w:sz w:val="20"/>
                <w:szCs w:val="20"/>
              </w:rPr>
              <w:t>971</w:t>
            </w:r>
          </w:p>
        </w:tc>
        <w:tc>
          <w:tcPr>
            <w:tcW w:w="849" w:type="dxa"/>
            <w:tcBorders>
              <w:top w:val="nil"/>
              <w:left w:val="nil"/>
              <w:bottom w:val="single" w:sz="4" w:space="0" w:color="auto"/>
              <w:right w:val="single" w:sz="4" w:space="0" w:color="auto"/>
            </w:tcBorders>
            <w:shd w:val="clear" w:color="auto" w:fill="auto"/>
            <w:noWrap/>
            <w:vAlign w:val="center"/>
          </w:tcPr>
          <w:p w:rsidR="0029772B" w:rsidRPr="007C5C92" w:rsidRDefault="000D03A3" w:rsidP="004C1F46">
            <w:pPr>
              <w:jc w:val="center"/>
              <w:rPr>
                <w:rFonts w:ascii="Calibri" w:hAnsi="Calibri" w:cs="Calibri"/>
                <w:b/>
                <w:bCs/>
                <w:sz w:val="22"/>
                <w:szCs w:val="22"/>
              </w:rPr>
            </w:pPr>
            <w:r w:rsidRPr="007C5C92">
              <w:rPr>
                <w:rFonts w:ascii="Calibri" w:hAnsi="Calibri" w:cs="Calibri"/>
                <w:b/>
                <w:bCs/>
                <w:sz w:val="22"/>
                <w:szCs w:val="22"/>
              </w:rPr>
              <w:t>2</w:t>
            </w:r>
            <w:r w:rsidR="0041445B" w:rsidRPr="007C5C92">
              <w:rPr>
                <w:rFonts w:ascii="Calibri" w:hAnsi="Calibri" w:cs="Calibri"/>
                <w:b/>
                <w:bCs/>
                <w:sz w:val="22"/>
                <w:szCs w:val="22"/>
              </w:rPr>
              <w:t>5</w:t>
            </w:r>
            <w:r w:rsidRPr="007C5C92">
              <w:rPr>
                <w:rFonts w:ascii="Calibri" w:hAnsi="Calibri" w:cs="Calibri"/>
                <w:b/>
                <w:bCs/>
                <w:sz w:val="22"/>
                <w:szCs w:val="22"/>
              </w:rPr>
              <w:t>.</w:t>
            </w:r>
            <w:r w:rsidR="0041445B" w:rsidRPr="007C5C92">
              <w:rPr>
                <w:rFonts w:ascii="Calibri" w:hAnsi="Calibri" w:cs="Calibri"/>
                <w:b/>
                <w:bCs/>
                <w:sz w:val="22"/>
                <w:szCs w:val="22"/>
              </w:rPr>
              <w:t>9</w:t>
            </w:r>
            <w:r w:rsidR="008F59EC" w:rsidRPr="007C5C92">
              <w:rPr>
                <w:rFonts w:ascii="Calibri" w:hAnsi="Calibri" w:cs="Calibri"/>
                <w:b/>
                <w:bCs/>
                <w:sz w:val="22"/>
                <w:szCs w:val="22"/>
              </w:rPr>
              <w:t>4</w:t>
            </w:r>
          </w:p>
        </w:tc>
        <w:tc>
          <w:tcPr>
            <w:tcW w:w="1136" w:type="dxa"/>
            <w:tcBorders>
              <w:top w:val="nil"/>
              <w:left w:val="nil"/>
              <w:bottom w:val="single" w:sz="4" w:space="0" w:color="auto"/>
              <w:right w:val="single" w:sz="4" w:space="0" w:color="auto"/>
            </w:tcBorders>
            <w:shd w:val="clear" w:color="auto" w:fill="auto"/>
            <w:vAlign w:val="center"/>
          </w:tcPr>
          <w:p w:rsidR="0029772B" w:rsidRPr="007C5C92" w:rsidRDefault="000D03A3" w:rsidP="000D03A3">
            <w:pPr>
              <w:jc w:val="right"/>
              <w:rPr>
                <w:rFonts w:ascii="Calibri" w:hAnsi="Calibri" w:cs="Calibri"/>
                <w:b/>
                <w:bCs/>
                <w:sz w:val="20"/>
                <w:szCs w:val="20"/>
              </w:rPr>
            </w:pPr>
            <w:r w:rsidRPr="007C5C92">
              <w:rPr>
                <w:rFonts w:ascii="Calibri" w:hAnsi="Calibri" w:cs="Calibri"/>
                <w:b/>
                <w:bCs/>
                <w:sz w:val="20"/>
                <w:szCs w:val="20"/>
              </w:rPr>
              <w:t>2.7</w:t>
            </w:r>
            <w:r w:rsidR="00EB7FF0" w:rsidRPr="007C5C92">
              <w:rPr>
                <w:rFonts w:ascii="Calibri" w:hAnsi="Calibri" w:cs="Calibri"/>
                <w:b/>
                <w:bCs/>
                <w:sz w:val="20"/>
                <w:szCs w:val="20"/>
              </w:rPr>
              <w:t>6</w:t>
            </w:r>
            <w:r w:rsidRPr="007C5C92">
              <w:rPr>
                <w:rFonts w:ascii="Calibri" w:hAnsi="Calibri" w:cs="Calibri"/>
                <w:b/>
                <w:bCs/>
                <w:sz w:val="20"/>
                <w:szCs w:val="20"/>
              </w:rPr>
              <w:t>4.971</w:t>
            </w:r>
          </w:p>
        </w:tc>
        <w:tc>
          <w:tcPr>
            <w:tcW w:w="850" w:type="dxa"/>
            <w:tcBorders>
              <w:top w:val="nil"/>
              <w:left w:val="nil"/>
              <w:bottom w:val="single" w:sz="4" w:space="0" w:color="auto"/>
              <w:right w:val="single" w:sz="4" w:space="0" w:color="auto"/>
            </w:tcBorders>
            <w:shd w:val="clear" w:color="auto" w:fill="auto"/>
            <w:vAlign w:val="center"/>
          </w:tcPr>
          <w:p w:rsidR="0029772B" w:rsidRPr="007C5C92" w:rsidRDefault="0041445B">
            <w:pPr>
              <w:jc w:val="center"/>
              <w:rPr>
                <w:rFonts w:ascii="Calibri" w:hAnsi="Calibri" w:cs="Calibri"/>
                <w:b/>
                <w:bCs/>
                <w:sz w:val="22"/>
                <w:szCs w:val="22"/>
              </w:rPr>
            </w:pPr>
            <w:r w:rsidRPr="007C5C92">
              <w:rPr>
                <w:rFonts w:ascii="Calibri" w:hAnsi="Calibri" w:cs="Calibri"/>
                <w:b/>
                <w:bCs/>
                <w:sz w:val="22"/>
                <w:szCs w:val="22"/>
              </w:rPr>
              <w:t>34</w:t>
            </w:r>
            <w:r w:rsidR="00710C9C" w:rsidRPr="007C5C92">
              <w:rPr>
                <w:rFonts w:ascii="Calibri" w:hAnsi="Calibri" w:cs="Calibri"/>
                <w:b/>
                <w:bCs/>
                <w:sz w:val="22"/>
                <w:szCs w:val="22"/>
              </w:rPr>
              <w:t>.</w:t>
            </w:r>
            <w:r w:rsidRPr="007C5C92">
              <w:rPr>
                <w:rFonts w:ascii="Calibri" w:hAnsi="Calibri" w:cs="Calibri"/>
                <w:b/>
                <w:bCs/>
                <w:sz w:val="22"/>
                <w:szCs w:val="22"/>
              </w:rPr>
              <w:t>60</w:t>
            </w:r>
          </w:p>
        </w:tc>
      </w:tr>
      <w:tr w:rsidR="0029772B" w:rsidRPr="003315C5" w:rsidTr="00436573">
        <w:tc>
          <w:tcPr>
            <w:tcW w:w="2978" w:type="dxa"/>
            <w:tcBorders>
              <w:top w:val="nil"/>
              <w:left w:val="single" w:sz="4" w:space="0" w:color="auto"/>
              <w:bottom w:val="single" w:sz="4" w:space="0" w:color="auto"/>
              <w:right w:val="single" w:sz="4" w:space="0" w:color="auto"/>
            </w:tcBorders>
            <w:shd w:val="clear" w:color="auto" w:fill="D6E3BC"/>
            <w:vAlign w:val="bottom"/>
            <w:hideMark/>
          </w:tcPr>
          <w:p w:rsidR="0029772B" w:rsidRPr="007C5C92" w:rsidRDefault="0029772B" w:rsidP="00AE0816">
            <w:pPr>
              <w:rPr>
                <w:rFonts w:ascii="Calibri" w:hAnsi="Calibri" w:cs="Calibri"/>
                <w:b/>
                <w:bCs/>
                <w:sz w:val="20"/>
                <w:szCs w:val="20"/>
              </w:rPr>
            </w:pPr>
            <w:r w:rsidRPr="007C5C92">
              <w:rPr>
                <w:rFonts w:ascii="Calibri" w:hAnsi="Calibri" w:cs="Calibri"/>
                <w:b/>
                <w:bCs/>
                <w:sz w:val="20"/>
                <w:szCs w:val="20"/>
              </w:rPr>
              <w:t>Dugoročna rezervisanja</w:t>
            </w:r>
          </w:p>
        </w:tc>
        <w:tc>
          <w:tcPr>
            <w:tcW w:w="1138" w:type="dxa"/>
            <w:tcBorders>
              <w:top w:val="nil"/>
              <w:left w:val="nil"/>
              <w:bottom w:val="single" w:sz="4" w:space="0" w:color="auto"/>
              <w:right w:val="single" w:sz="4" w:space="0" w:color="auto"/>
            </w:tcBorders>
            <w:shd w:val="clear" w:color="auto" w:fill="D6E3BC"/>
            <w:noWrap/>
            <w:vAlign w:val="center"/>
          </w:tcPr>
          <w:p w:rsidR="0029772B" w:rsidRPr="007C5C92" w:rsidRDefault="0029772B" w:rsidP="000D03A3">
            <w:pPr>
              <w:jc w:val="right"/>
              <w:rPr>
                <w:rFonts w:ascii="Calibri" w:hAnsi="Calibri" w:cs="Calibri"/>
                <w:b/>
                <w:bCs/>
                <w:sz w:val="20"/>
                <w:szCs w:val="20"/>
              </w:rPr>
            </w:pPr>
            <w:r w:rsidRPr="007C5C92">
              <w:rPr>
                <w:rFonts w:ascii="Calibri" w:hAnsi="Calibri" w:cs="Calibri"/>
                <w:b/>
                <w:bCs/>
                <w:sz w:val="20"/>
                <w:szCs w:val="20"/>
              </w:rPr>
              <w:t>1</w:t>
            </w:r>
            <w:r w:rsidR="00423E89" w:rsidRPr="007C5C92">
              <w:rPr>
                <w:rFonts w:ascii="Calibri" w:hAnsi="Calibri" w:cs="Calibri"/>
                <w:b/>
                <w:bCs/>
                <w:sz w:val="20"/>
                <w:szCs w:val="20"/>
              </w:rPr>
              <w:t>9</w:t>
            </w:r>
            <w:r w:rsidR="008F59EC" w:rsidRPr="007C5C92">
              <w:rPr>
                <w:rFonts w:ascii="Calibri" w:hAnsi="Calibri" w:cs="Calibri"/>
                <w:b/>
                <w:bCs/>
                <w:sz w:val="20"/>
                <w:szCs w:val="20"/>
              </w:rPr>
              <w:t>8</w:t>
            </w:r>
            <w:r w:rsidR="000D03A3" w:rsidRPr="007C5C92">
              <w:rPr>
                <w:rFonts w:ascii="Calibri" w:hAnsi="Calibri" w:cs="Calibri"/>
                <w:b/>
                <w:bCs/>
                <w:sz w:val="20"/>
                <w:szCs w:val="20"/>
              </w:rPr>
              <w:t>.</w:t>
            </w:r>
            <w:r w:rsidR="00423E89" w:rsidRPr="007C5C92">
              <w:rPr>
                <w:rFonts w:ascii="Calibri" w:hAnsi="Calibri" w:cs="Calibri"/>
                <w:b/>
                <w:bCs/>
                <w:sz w:val="20"/>
                <w:szCs w:val="20"/>
              </w:rPr>
              <w:t>903</w:t>
            </w:r>
          </w:p>
        </w:tc>
        <w:tc>
          <w:tcPr>
            <w:tcW w:w="849" w:type="dxa"/>
            <w:tcBorders>
              <w:top w:val="nil"/>
              <w:left w:val="nil"/>
              <w:bottom w:val="single" w:sz="4" w:space="0" w:color="auto"/>
              <w:right w:val="single" w:sz="4" w:space="0" w:color="auto"/>
            </w:tcBorders>
            <w:shd w:val="clear" w:color="auto" w:fill="D6E3BC"/>
            <w:noWrap/>
            <w:vAlign w:val="center"/>
          </w:tcPr>
          <w:p w:rsidR="0029772B" w:rsidRPr="007C5C92" w:rsidRDefault="000D03A3" w:rsidP="004C1F46">
            <w:pPr>
              <w:jc w:val="center"/>
              <w:rPr>
                <w:rFonts w:ascii="Calibri" w:hAnsi="Calibri" w:cs="Calibri"/>
                <w:b/>
                <w:bCs/>
                <w:sz w:val="22"/>
                <w:szCs w:val="22"/>
              </w:rPr>
            </w:pPr>
            <w:r w:rsidRPr="007C5C92">
              <w:rPr>
                <w:rFonts w:ascii="Calibri" w:hAnsi="Calibri" w:cs="Calibri"/>
                <w:b/>
                <w:bCs/>
                <w:sz w:val="22"/>
                <w:szCs w:val="22"/>
              </w:rPr>
              <w:t>1.</w:t>
            </w:r>
            <w:r w:rsidR="0041445B" w:rsidRPr="007C5C92">
              <w:rPr>
                <w:rFonts w:ascii="Calibri" w:hAnsi="Calibri" w:cs="Calibri"/>
                <w:b/>
                <w:bCs/>
                <w:sz w:val="22"/>
                <w:szCs w:val="22"/>
              </w:rPr>
              <w:t>86</w:t>
            </w:r>
          </w:p>
        </w:tc>
        <w:tc>
          <w:tcPr>
            <w:tcW w:w="1136" w:type="dxa"/>
            <w:tcBorders>
              <w:top w:val="nil"/>
              <w:left w:val="nil"/>
              <w:bottom w:val="single" w:sz="4" w:space="0" w:color="auto"/>
              <w:right w:val="single" w:sz="4" w:space="0" w:color="auto"/>
            </w:tcBorders>
            <w:shd w:val="clear" w:color="auto" w:fill="D6E3BC"/>
            <w:vAlign w:val="center"/>
          </w:tcPr>
          <w:p w:rsidR="0029772B" w:rsidRPr="007C5C92" w:rsidRDefault="00423E89" w:rsidP="00423E89">
            <w:pPr>
              <w:jc w:val="center"/>
              <w:rPr>
                <w:rFonts w:ascii="Calibri" w:hAnsi="Calibri" w:cs="Calibri"/>
                <w:b/>
                <w:bCs/>
                <w:sz w:val="20"/>
                <w:szCs w:val="20"/>
              </w:rPr>
            </w:pPr>
            <w:r w:rsidRPr="007C5C92">
              <w:rPr>
                <w:rFonts w:ascii="Calibri" w:hAnsi="Calibri" w:cs="Calibri"/>
                <w:b/>
                <w:bCs/>
                <w:sz w:val="20"/>
                <w:szCs w:val="20"/>
              </w:rPr>
              <w:t>214.815</w:t>
            </w:r>
          </w:p>
        </w:tc>
        <w:tc>
          <w:tcPr>
            <w:tcW w:w="850" w:type="dxa"/>
            <w:tcBorders>
              <w:top w:val="nil"/>
              <w:left w:val="nil"/>
              <w:bottom w:val="single" w:sz="4" w:space="0" w:color="auto"/>
              <w:right w:val="single" w:sz="4" w:space="0" w:color="auto"/>
            </w:tcBorders>
            <w:shd w:val="clear" w:color="auto" w:fill="D6E3BC"/>
            <w:vAlign w:val="center"/>
          </w:tcPr>
          <w:p w:rsidR="0029772B" w:rsidRPr="007C5C92" w:rsidRDefault="0041445B">
            <w:pPr>
              <w:jc w:val="center"/>
              <w:rPr>
                <w:rFonts w:ascii="Calibri" w:hAnsi="Calibri" w:cs="Calibri"/>
                <w:b/>
                <w:bCs/>
                <w:sz w:val="22"/>
                <w:szCs w:val="22"/>
              </w:rPr>
            </w:pPr>
            <w:r w:rsidRPr="007C5C92">
              <w:rPr>
                <w:rFonts w:ascii="Calibri" w:hAnsi="Calibri" w:cs="Calibri"/>
                <w:b/>
                <w:bCs/>
                <w:sz w:val="22"/>
                <w:szCs w:val="22"/>
              </w:rPr>
              <w:t>2</w:t>
            </w:r>
            <w:r w:rsidR="00710C9C" w:rsidRPr="007C5C92">
              <w:rPr>
                <w:rFonts w:ascii="Calibri" w:hAnsi="Calibri" w:cs="Calibri"/>
                <w:b/>
                <w:bCs/>
                <w:sz w:val="22"/>
                <w:szCs w:val="22"/>
              </w:rPr>
              <w:t>.</w:t>
            </w:r>
            <w:r w:rsidRPr="007C5C92">
              <w:rPr>
                <w:rFonts w:ascii="Calibri" w:hAnsi="Calibri" w:cs="Calibri"/>
                <w:b/>
                <w:bCs/>
                <w:sz w:val="22"/>
                <w:szCs w:val="22"/>
              </w:rPr>
              <w:t>68</w:t>
            </w:r>
          </w:p>
        </w:tc>
      </w:tr>
      <w:tr w:rsidR="0029772B" w:rsidRPr="007C5C92" w:rsidTr="00436573">
        <w:tc>
          <w:tcPr>
            <w:tcW w:w="2978" w:type="dxa"/>
            <w:tcBorders>
              <w:top w:val="nil"/>
              <w:left w:val="single" w:sz="4" w:space="0" w:color="auto"/>
              <w:bottom w:val="single" w:sz="4" w:space="0" w:color="auto"/>
              <w:right w:val="single" w:sz="4" w:space="0" w:color="auto"/>
            </w:tcBorders>
            <w:shd w:val="clear" w:color="auto" w:fill="D6E3BC"/>
            <w:vAlign w:val="bottom"/>
            <w:hideMark/>
          </w:tcPr>
          <w:p w:rsidR="0029772B" w:rsidRPr="007C5C92" w:rsidRDefault="0029772B" w:rsidP="00AE0816">
            <w:pPr>
              <w:rPr>
                <w:rFonts w:ascii="Calibri" w:hAnsi="Calibri" w:cs="Calibri"/>
                <w:b/>
                <w:bCs/>
                <w:sz w:val="20"/>
                <w:szCs w:val="20"/>
              </w:rPr>
            </w:pPr>
            <w:r w:rsidRPr="007C5C92">
              <w:rPr>
                <w:rFonts w:ascii="Calibri" w:hAnsi="Calibri" w:cs="Calibri"/>
                <w:b/>
                <w:bCs/>
                <w:sz w:val="20"/>
                <w:szCs w:val="20"/>
              </w:rPr>
              <w:t>Obaveze</w:t>
            </w:r>
          </w:p>
        </w:tc>
        <w:tc>
          <w:tcPr>
            <w:tcW w:w="1138" w:type="dxa"/>
            <w:tcBorders>
              <w:top w:val="nil"/>
              <w:left w:val="nil"/>
              <w:bottom w:val="single" w:sz="4" w:space="0" w:color="auto"/>
              <w:right w:val="single" w:sz="4" w:space="0" w:color="auto"/>
            </w:tcBorders>
            <w:shd w:val="clear" w:color="auto" w:fill="D6E3BC"/>
            <w:noWrap/>
            <w:vAlign w:val="center"/>
          </w:tcPr>
          <w:p w:rsidR="0029772B" w:rsidRPr="007C5C92" w:rsidRDefault="00423E89" w:rsidP="000D03A3">
            <w:pPr>
              <w:jc w:val="right"/>
              <w:rPr>
                <w:rFonts w:ascii="Calibri" w:hAnsi="Calibri" w:cs="Calibri"/>
                <w:b/>
                <w:bCs/>
                <w:sz w:val="20"/>
                <w:szCs w:val="20"/>
              </w:rPr>
            </w:pPr>
            <w:r w:rsidRPr="007C5C92">
              <w:rPr>
                <w:rFonts w:ascii="Calibri" w:hAnsi="Calibri" w:cs="Calibri"/>
                <w:b/>
                <w:bCs/>
                <w:sz w:val="20"/>
                <w:szCs w:val="20"/>
              </w:rPr>
              <w:t>48</w:t>
            </w:r>
            <w:r w:rsidR="000D03A3" w:rsidRPr="007C5C92">
              <w:rPr>
                <w:rFonts w:ascii="Calibri" w:hAnsi="Calibri" w:cs="Calibri"/>
                <w:b/>
                <w:bCs/>
                <w:sz w:val="20"/>
                <w:szCs w:val="20"/>
              </w:rPr>
              <w:t>.</w:t>
            </w:r>
            <w:r w:rsidRPr="007C5C92">
              <w:rPr>
                <w:rFonts w:ascii="Calibri" w:hAnsi="Calibri" w:cs="Calibri"/>
                <w:b/>
                <w:bCs/>
                <w:sz w:val="20"/>
                <w:szCs w:val="20"/>
              </w:rPr>
              <w:t>233</w:t>
            </w:r>
          </w:p>
        </w:tc>
        <w:tc>
          <w:tcPr>
            <w:tcW w:w="849" w:type="dxa"/>
            <w:tcBorders>
              <w:top w:val="nil"/>
              <w:left w:val="nil"/>
              <w:bottom w:val="single" w:sz="4" w:space="0" w:color="auto"/>
              <w:right w:val="single" w:sz="4" w:space="0" w:color="auto"/>
            </w:tcBorders>
            <w:shd w:val="clear" w:color="auto" w:fill="D6E3BC"/>
            <w:noWrap/>
            <w:vAlign w:val="center"/>
          </w:tcPr>
          <w:p w:rsidR="0029772B" w:rsidRPr="007C5C92" w:rsidRDefault="0041445B" w:rsidP="004C1F46">
            <w:pPr>
              <w:jc w:val="center"/>
              <w:rPr>
                <w:rFonts w:ascii="Calibri" w:hAnsi="Calibri" w:cs="Calibri"/>
                <w:b/>
                <w:bCs/>
                <w:sz w:val="22"/>
                <w:szCs w:val="22"/>
              </w:rPr>
            </w:pPr>
            <w:r w:rsidRPr="007C5C92">
              <w:rPr>
                <w:rFonts w:ascii="Calibri" w:hAnsi="Calibri" w:cs="Calibri"/>
                <w:b/>
                <w:bCs/>
                <w:sz w:val="22"/>
                <w:szCs w:val="22"/>
              </w:rPr>
              <w:t>0</w:t>
            </w:r>
            <w:r w:rsidR="000D03A3" w:rsidRPr="007C5C92">
              <w:rPr>
                <w:rFonts w:ascii="Calibri" w:hAnsi="Calibri" w:cs="Calibri"/>
                <w:b/>
                <w:bCs/>
                <w:sz w:val="22"/>
                <w:szCs w:val="22"/>
              </w:rPr>
              <w:t>.</w:t>
            </w:r>
            <w:r w:rsidRPr="007C5C92">
              <w:rPr>
                <w:rFonts w:ascii="Calibri" w:hAnsi="Calibri" w:cs="Calibri"/>
                <w:b/>
                <w:bCs/>
                <w:sz w:val="22"/>
                <w:szCs w:val="22"/>
              </w:rPr>
              <w:t>45</w:t>
            </w:r>
          </w:p>
        </w:tc>
        <w:tc>
          <w:tcPr>
            <w:tcW w:w="1136" w:type="dxa"/>
            <w:tcBorders>
              <w:top w:val="nil"/>
              <w:left w:val="nil"/>
              <w:bottom w:val="single" w:sz="4" w:space="0" w:color="auto"/>
              <w:right w:val="single" w:sz="4" w:space="0" w:color="auto"/>
            </w:tcBorders>
            <w:shd w:val="clear" w:color="auto" w:fill="D6E3BC"/>
            <w:vAlign w:val="center"/>
          </w:tcPr>
          <w:p w:rsidR="0029772B" w:rsidRPr="007C5C92" w:rsidRDefault="00423E89" w:rsidP="00423E89">
            <w:pPr>
              <w:rPr>
                <w:rFonts w:ascii="Calibri" w:hAnsi="Calibri" w:cs="Calibri"/>
                <w:b/>
                <w:bCs/>
                <w:sz w:val="20"/>
                <w:szCs w:val="20"/>
              </w:rPr>
            </w:pPr>
            <w:r w:rsidRPr="007C5C92">
              <w:rPr>
                <w:rFonts w:ascii="Calibri" w:hAnsi="Calibri" w:cs="Calibri"/>
                <w:b/>
                <w:bCs/>
                <w:sz w:val="20"/>
                <w:szCs w:val="20"/>
              </w:rPr>
              <w:t>25.494</w:t>
            </w:r>
          </w:p>
        </w:tc>
        <w:tc>
          <w:tcPr>
            <w:tcW w:w="850" w:type="dxa"/>
            <w:tcBorders>
              <w:top w:val="nil"/>
              <w:left w:val="nil"/>
              <w:bottom w:val="single" w:sz="4" w:space="0" w:color="auto"/>
              <w:right w:val="single" w:sz="4" w:space="0" w:color="auto"/>
            </w:tcBorders>
            <w:shd w:val="clear" w:color="auto" w:fill="D6E3BC"/>
            <w:vAlign w:val="center"/>
          </w:tcPr>
          <w:p w:rsidR="0029772B" w:rsidRPr="007C5C92" w:rsidRDefault="004931D4" w:rsidP="005027CC">
            <w:pPr>
              <w:jc w:val="center"/>
              <w:rPr>
                <w:rFonts w:ascii="Calibri" w:hAnsi="Calibri" w:cs="Calibri"/>
                <w:b/>
                <w:bCs/>
                <w:sz w:val="22"/>
                <w:szCs w:val="22"/>
              </w:rPr>
            </w:pPr>
            <w:r w:rsidRPr="007C5C92">
              <w:rPr>
                <w:rFonts w:ascii="Calibri" w:hAnsi="Calibri" w:cs="Calibri"/>
                <w:b/>
                <w:bCs/>
                <w:sz w:val="22"/>
                <w:szCs w:val="22"/>
              </w:rPr>
              <w:t>0.</w:t>
            </w:r>
            <w:r w:rsidR="0041445B" w:rsidRPr="007C5C92">
              <w:rPr>
                <w:rFonts w:ascii="Calibri" w:hAnsi="Calibri" w:cs="Calibri"/>
                <w:b/>
                <w:bCs/>
                <w:sz w:val="22"/>
                <w:szCs w:val="22"/>
              </w:rPr>
              <w:t>31</w:t>
            </w:r>
          </w:p>
        </w:tc>
      </w:tr>
      <w:tr w:rsidR="0029772B" w:rsidRPr="007C5C92" w:rsidTr="00436573">
        <w:tc>
          <w:tcPr>
            <w:tcW w:w="2978" w:type="dxa"/>
            <w:tcBorders>
              <w:top w:val="nil"/>
              <w:left w:val="single" w:sz="4" w:space="0" w:color="auto"/>
              <w:bottom w:val="single" w:sz="4" w:space="0" w:color="auto"/>
              <w:right w:val="single" w:sz="4" w:space="0" w:color="auto"/>
            </w:tcBorders>
            <w:shd w:val="clear" w:color="auto" w:fill="auto"/>
            <w:vAlign w:val="bottom"/>
            <w:hideMark/>
          </w:tcPr>
          <w:p w:rsidR="0029772B" w:rsidRPr="007C5C92" w:rsidRDefault="0029772B" w:rsidP="00AE0816">
            <w:pPr>
              <w:rPr>
                <w:rFonts w:ascii="Calibri" w:hAnsi="Calibri" w:cs="Calibri"/>
                <w:b/>
                <w:bCs/>
                <w:sz w:val="20"/>
                <w:szCs w:val="20"/>
              </w:rPr>
            </w:pPr>
            <w:r w:rsidRPr="007C5C92">
              <w:rPr>
                <w:rFonts w:ascii="Calibri" w:hAnsi="Calibri" w:cs="Calibri"/>
                <w:b/>
                <w:bCs/>
                <w:sz w:val="20"/>
                <w:szCs w:val="20"/>
              </w:rPr>
              <w:t>Poslovna pasiva</w:t>
            </w:r>
          </w:p>
        </w:tc>
        <w:tc>
          <w:tcPr>
            <w:tcW w:w="1138" w:type="dxa"/>
            <w:tcBorders>
              <w:top w:val="nil"/>
              <w:left w:val="nil"/>
              <w:bottom w:val="single" w:sz="4" w:space="0" w:color="auto"/>
              <w:right w:val="single" w:sz="4" w:space="0" w:color="auto"/>
            </w:tcBorders>
            <w:shd w:val="clear" w:color="auto" w:fill="auto"/>
            <w:noWrap/>
            <w:vAlign w:val="center"/>
          </w:tcPr>
          <w:p w:rsidR="0029772B" w:rsidRPr="007C5C92" w:rsidRDefault="0029772B" w:rsidP="004C1F46">
            <w:pPr>
              <w:jc w:val="center"/>
              <w:rPr>
                <w:rFonts w:ascii="Calibri" w:hAnsi="Calibri" w:cs="Calibri"/>
                <w:b/>
                <w:bCs/>
                <w:sz w:val="20"/>
                <w:szCs w:val="20"/>
              </w:rPr>
            </w:pPr>
            <w:r w:rsidRPr="007C5C92">
              <w:rPr>
                <w:rFonts w:ascii="Calibri" w:hAnsi="Calibri" w:cs="Calibri"/>
                <w:b/>
                <w:bCs/>
                <w:sz w:val="20"/>
                <w:szCs w:val="20"/>
              </w:rPr>
              <w:t>1</w:t>
            </w:r>
            <w:r w:rsidR="00423E89" w:rsidRPr="007C5C92">
              <w:rPr>
                <w:rFonts w:ascii="Calibri" w:hAnsi="Calibri" w:cs="Calibri"/>
                <w:b/>
                <w:bCs/>
                <w:sz w:val="20"/>
                <w:szCs w:val="20"/>
              </w:rPr>
              <w:t>0</w:t>
            </w:r>
            <w:r w:rsidR="000D03A3" w:rsidRPr="007C5C92">
              <w:rPr>
                <w:rFonts w:ascii="Calibri" w:hAnsi="Calibri" w:cs="Calibri"/>
                <w:b/>
                <w:bCs/>
                <w:sz w:val="20"/>
                <w:szCs w:val="20"/>
              </w:rPr>
              <w:t>.</w:t>
            </w:r>
            <w:r w:rsidR="00423E89" w:rsidRPr="007C5C92">
              <w:rPr>
                <w:rFonts w:ascii="Calibri" w:hAnsi="Calibri" w:cs="Calibri"/>
                <w:b/>
                <w:bCs/>
                <w:sz w:val="20"/>
                <w:szCs w:val="20"/>
              </w:rPr>
              <w:t>655.465</w:t>
            </w:r>
          </w:p>
        </w:tc>
        <w:tc>
          <w:tcPr>
            <w:tcW w:w="849" w:type="dxa"/>
            <w:tcBorders>
              <w:top w:val="nil"/>
              <w:left w:val="nil"/>
              <w:bottom w:val="single" w:sz="4" w:space="0" w:color="auto"/>
              <w:right w:val="single" w:sz="4" w:space="0" w:color="auto"/>
            </w:tcBorders>
            <w:shd w:val="clear" w:color="auto" w:fill="auto"/>
            <w:noWrap/>
            <w:vAlign w:val="center"/>
          </w:tcPr>
          <w:p w:rsidR="0029772B" w:rsidRPr="007C5C92" w:rsidRDefault="0029772B" w:rsidP="004C1F46">
            <w:pPr>
              <w:jc w:val="center"/>
              <w:rPr>
                <w:rFonts w:ascii="Calibri" w:hAnsi="Calibri" w:cs="Calibri"/>
                <w:b/>
                <w:bCs/>
                <w:sz w:val="22"/>
                <w:szCs w:val="22"/>
              </w:rPr>
            </w:pPr>
            <w:r w:rsidRPr="007C5C92">
              <w:rPr>
                <w:rFonts w:ascii="Calibri" w:hAnsi="Calibri" w:cs="Calibri"/>
                <w:b/>
                <w:bCs/>
                <w:sz w:val="22"/>
                <w:szCs w:val="22"/>
              </w:rPr>
              <w:t>100</w:t>
            </w:r>
          </w:p>
        </w:tc>
        <w:tc>
          <w:tcPr>
            <w:tcW w:w="1136" w:type="dxa"/>
            <w:tcBorders>
              <w:top w:val="nil"/>
              <w:left w:val="nil"/>
              <w:bottom w:val="single" w:sz="4" w:space="0" w:color="auto"/>
              <w:right w:val="single" w:sz="4" w:space="0" w:color="auto"/>
            </w:tcBorders>
            <w:shd w:val="clear" w:color="auto" w:fill="auto"/>
            <w:vAlign w:val="center"/>
          </w:tcPr>
          <w:p w:rsidR="0029772B" w:rsidRPr="007C5C92" w:rsidRDefault="00423E89" w:rsidP="00190B98">
            <w:pPr>
              <w:jc w:val="center"/>
              <w:rPr>
                <w:rFonts w:ascii="Calibri" w:hAnsi="Calibri" w:cs="Calibri"/>
                <w:b/>
                <w:bCs/>
                <w:sz w:val="20"/>
                <w:szCs w:val="20"/>
              </w:rPr>
            </w:pPr>
            <w:r w:rsidRPr="007C5C92">
              <w:rPr>
                <w:rFonts w:ascii="Calibri" w:hAnsi="Calibri" w:cs="Calibri"/>
                <w:b/>
                <w:bCs/>
                <w:sz w:val="20"/>
                <w:szCs w:val="20"/>
              </w:rPr>
              <w:t>7</w:t>
            </w:r>
            <w:r w:rsidR="004931D4" w:rsidRPr="007C5C92">
              <w:rPr>
                <w:rFonts w:ascii="Calibri" w:hAnsi="Calibri" w:cs="Calibri"/>
                <w:b/>
                <w:bCs/>
                <w:sz w:val="20"/>
                <w:szCs w:val="20"/>
              </w:rPr>
              <w:t>.</w:t>
            </w:r>
            <w:r w:rsidRPr="007C5C92">
              <w:rPr>
                <w:rFonts w:ascii="Calibri" w:hAnsi="Calibri" w:cs="Calibri"/>
                <w:b/>
                <w:bCs/>
                <w:sz w:val="20"/>
                <w:szCs w:val="20"/>
              </w:rPr>
              <w:t>990</w:t>
            </w:r>
            <w:r w:rsidR="000C5AE2" w:rsidRPr="007C5C92">
              <w:rPr>
                <w:rFonts w:ascii="Calibri" w:hAnsi="Calibri" w:cs="Calibri"/>
                <w:b/>
                <w:bCs/>
                <w:sz w:val="20"/>
                <w:szCs w:val="20"/>
              </w:rPr>
              <w:t>.</w:t>
            </w:r>
            <w:r w:rsidRPr="007C5C92">
              <w:rPr>
                <w:rFonts w:ascii="Calibri" w:hAnsi="Calibri" w:cs="Calibri"/>
                <w:b/>
                <w:bCs/>
                <w:sz w:val="20"/>
                <w:szCs w:val="20"/>
              </w:rPr>
              <w:t>776</w:t>
            </w:r>
          </w:p>
        </w:tc>
        <w:tc>
          <w:tcPr>
            <w:tcW w:w="850" w:type="dxa"/>
            <w:tcBorders>
              <w:top w:val="nil"/>
              <w:left w:val="nil"/>
              <w:bottom w:val="single" w:sz="4" w:space="0" w:color="auto"/>
              <w:right w:val="single" w:sz="4" w:space="0" w:color="auto"/>
            </w:tcBorders>
            <w:shd w:val="clear" w:color="auto" w:fill="auto"/>
            <w:vAlign w:val="center"/>
          </w:tcPr>
          <w:p w:rsidR="0029772B" w:rsidRPr="007C5C92" w:rsidRDefault="00D82EC2">
            <w:pPr>
              <w:jc w:val="center"/>
              <w:rPr>
                <w:rFonts w:ascii="Calibri" w:hAnsi="Calibri" w:cs="Calibri"/>
                <w:b/>
                <w:bCs/>
                <w:sz w:val="22"/>
                <w:szCs w:val="22"/>
              </w:rPr>
            </w:pPr>
            <w:r w:rsidRPr="007C5C92">
              <w:rPr>
                <w:rFonts w:ascii="Calibri" w:hAnsi="Calibri" w:cs="Calibri"/>
                <w:b/>
                <w:bCs/>
                <w:sz w:val="22"/>
                <w:szCs w:val="22"/>
              </w:rPr>
              <w:t>100</w:t>
            </w:r>
          </w:p>
        </w:tc>
      </w:tr>
      <w:tr w:rsidR="0029772B" w:rsidRPr="007C5C92" w:rsidTr="00436573">
        <w:tc>
          <w:tcPr>
            <w:tcW w:w="2978" w:type="dxa"/>
            <w:tcBorders>
              <w:top w:val="nil"/>
              <w:left w:val="single" w:sz="4" w:space="0" w:color="auto"/>
              <w:bottom w:val="single" w:sz="4" w:space="0" w:color="auto"/>
              <w:right w:val="single" w:sz="4" w:space="0" w:color="auto"/>
            </w:tcBorders>
            <w:shd w:val="clear" w:color="auto" w:fill="D6E3BC"/>
            <w:vAlign w:val="bottom"/>
            <w:hideMark/>
          </w:tcPr>
          <w:p w:rsidR="0029772B" w:rsidRPr="007C5C92" w:rsidRDefault="0029772B" w:rsidP="00AE0816">
            <w:pPr>
              <w:rPr>
                <w:rFonts w:ascii="Calibri" w:hAnsi="Calibri" w:cs="Calibri"/>
                <w:b/>
                <w:bCs/>
                <w:sz w:val="20"/>
                <w:szCs w:val="20"/>
              </w:rPr>
            </w:pPr>
            <w:r w:rsidRPr="007C5C92">
              <w:rPr>
                <w:rFonts w:ascii="Calibri" w:hAnsi="Calibri" w:cs="Calibri"/>
                <w:b/>
                <w:bCs/>
                <w:sz w:val="20"/>
                <w:szCs w:val="20"/>
              </w:rPr>
              <w:t>Ukupna pasiva</w:t>
            </w:r>
          </w:p>
        </w:tc>
        <w:tc>
          <w:tcPr>
            <w:tcW w:w="1138" w:type="dxa"/>
            <w:tcBorders>
              <w:top w:val="nil"/>
              <w:left w:val="nil"/>
              <w:bottom w:val="single" w:sz="4" w:space="0" w:color="auto"/>
              <w:right w:val="single" w:sz="4" w:space="0" w:color="auto"/>
            </w:tcBorders>
            <w:shd w:val="clear" w:color="auto" w:fill="D6E3BC"/>
            <w:noWrap/>
            <w:vAlign w:val="center"/>
          </w:tcPr>
          <w:p w:rsidR="0029772B" w:rsidRPr="007C5C92" w:rsidRDefault="0029772B" w:rsidP="004C1F46">
            <w:pPr>
              <w:jc w:val="center"/>
              <w:rPr>
                <w:rFonts w:ascii="Calibri" w:hAnsi="Calibri" w:cs="Calibri"/>
                <w:b/>
                <w:bCs/>
                <w:sz w:val="20"/>
                <w:szCs w:val="20"/>
              </w:rPr>
            </w:pPr>
            <w:r w:rsidRPr="007C5C92">
              <w:rPr>
                <w:rFonts w:ascii="Calibri" w:hAnsi="Calibri" w:cs="Calibri"/>
                <w:b/>
                <w:bCs/>
                <w:sz w:val="20"/>
                <w:szCs w:val="20"/>
              </w:rPr>
              <w:t>1</w:t>
            </w:r>
            <w:r w:rsidR="00423E89" w:rsidRPr="007C5C92">
              <w:rPr>
                <w:rFonts w:ascii="Calibri" w:hAnsi="Calibri" w:cs="Calibri"/>
                <w:b/>
                <w:bCs/>
                <w:sz w:val="20"/>
                <w:szCs w:val="20"/>
              </w:rPr>
              <w:t>0</w:t>
            </w:r>
            <w:r w:rsidR="000D03A3" w:rsidRPr="007C5C92">
              <w:rPr>
                <w:rFonts w:ascii="Calibri" w:hAnsi="Calibri" w:cs="Calibri"/>
                <w:b/>
                <w:bCs/>
                <w:sz w:val="20"/>
                <w:szCs w:val="20"/>
              </w:rPr>
              <w:t>.</w:t>
            </w:r>
            <w:r w:rsidR="00423E89" w:rsidRPr="007C5C92">
              <w:rPr>
                <w:rFonts w:ascii="Calibri" w:hAnsi="Calibri" w:cs="Calibri"/>
                <w:b/>
                <w:bCs/>
                <w:sz w:val="20"/>
                <w:szCs w:val="20"/>
              </w:rPr>
              <w:t>655</w:t>
            </w:r>
            <w:r w:rsidR="000D03A3" w:rsidRPr="007C5C92">
              <w:rPr>
                <w:rFonts w:ascii="Calibri" w:hAnsi="Calibri" w:cs="Calibri"/>
                <w:b/>
                <w:bCs/>
                <w:sz w:val="20"/>
                <w:szCs w:val="20"/>
              </w:rPr>
              <w:t>.</w:t>
            </w:r>
            <w:r w:rsidR="00423E89" w:rsidRPr="007C5C92">
              <w:rPr>
                <w:rFonts w:ascii="Calibri" w:hAnsi="Calibri" w:cs="Calibri"/>
                <w:b/>
                <w:bCs/>
                <w:sz w:val="20"/>
                <w:szCs w:val="20"/>
              </w:rPr>
              <w:t>465</w:t>
            </w:r>
          </w:p>
        </w:tc>
        <w:tc>
          <w:tcPr>
            <w:tcW w:w="849" w:type="dxa"/>
            <w:tcBorders>
              <w:top w:val="nil"/>
              <w:left w:val="nil"/>
              <w:bottom w:val="single" w:sz="4" w:space="0" w:color="auto"/>
              <w:right w:val="single" w:sz="4" w:space="0" w:color="auto"/>
            </w:tcBorders>
            <w:shd w:val="clear" w:color="auto" w:fill="D6E3BC"/>
            <w:noWrap/>
            <w:vAlign w:val="center"/>
          </w:tcPr>
          <w:p w:rsidR="0029772B" w:rsidRPr="007C5C92" w:rsidRDefault="0029772B" w:rsidP="004C1F46">
            <w:pPr>
              <w:jc w:val="center"/>
              <w:rPr>
                <w:rFonts w:ascii="Calibri" w:hAnsi="Calibri" w:cs="Calibri"/>
                <w:b/>
                <w:bCs/>
                <w:sz w:val="22"/>
                <w:szCs w:val="22"/>
              </w:rPr>
            </w:pPr>
            <w:r w:rsidRPr="007C5C92">
              <w:rPr>
                <w:rFonts w:ascii="Calibri" w:hAnsi="Calibri" w:cs="Calibri"/>
                <w:b/>
                <w:bCs/>
                <w:sz w:val="22"/>
                <w:szCs w:val="22"/>
              </w:rPr>
              <w:t>100</w:t>
            </w:r>
          </w:p>
        </w:tc>
        <w:tc>
          <w:tcPr>
            <w:tcW w:w="1136" w:type="dxa"/>
            <w:tcBorders>
              <w:top w:val="nil"/>
              <w:left w:val="nil"/>
              <w:bottom w:val="single" w:sz="4" w:space="0" w:color="auto"/>
              <w:right w:val="single" w:sz="4" w:space="0" w:color="auto"/>
            </w:tcBorders>
            <w:shd w:val="clear" w:color="auto" w:fill="D6E3BC"/>
            <w:vAlign w:val="center"/>
          </w:tcPr>
          <w:p w:rsidR="0029772B" w:rsidRPr="007C5C92" w:rsidRDefault="00423E89" w:rsidP="00190B98">
            <w:pPr>
              <w:jc w:val="center"/>
              <w:rPr>
                <w:rFonts w:ascii="Calibri" w:hAnsi="Calibri" w:cs="Calibri"/>
                <w:b/>
                <w:bCs/>
                <w:sz w:val="20"/>
                <w:szCs w:val="20"/>
              </w:rPr>
            </w:pPr>
            <w:r w:rsidRPr="007C5C92">
              <w:rPr>
                <w:rFonts w:ascii="Calibri" w:hAnsi="Calibri" w:cs="Calibri"/>
                <w:b/>
                <w:bCs/>
                <w:sz w:val="20"/>
                <w:szCs w:val="20"/>
              </w:rPr>
              <w:t>7</w:t>
            </w:r>
            <w:r w:rsidR="004931D4" w:rsidRPr="007C5C92">
              <w:rPr>
                <w:rFonts w:ascii="Calibri" w:hAnsi="Calibri" w:cs="Calibri"/>
                <w:b/>
                <w:bCs/>
                <w:sz w:val="20"/>
                <w:szCs w:val="20"/>
              </w:rPr>
              <w:t>.</w:t>
            </w:r>
            <w:r w:rsidRPr="007C5C92">
              <w:rPr>
                <w:rFonts w:ascii="Calibri" w:hAnsi="Calibri" w:cs="Calibri"/>
                <w:b/>
                <w:bCs/>
                <w:sz w:val="20"/>
                <w:szCs w:val="20"/>
              </w:rPr>
              <w:t>990</w:t>
            </w:r>
            <w:r w:rsidR="000C5AE2" w:rsidRPr="007C5C92">
              <w:rPr>
                <w:rFonts w:ascii="Calibri" w:hAnsi="Calibri" w:cs="Calibri"/>
                <w:b/>
                <w:bCs/>
                <w:sz w:val="20"/>
                <w:szCs w:val="20"/>
              </w:rPr>
              <w:t>.</w:t>
            </w:r>
            <w:r w:rsidRPr="007C5C92">
              <w:rPr>
                <w:rFonts w:ascii="Calibri" w:hAnsi="Calibri" w:cs="Calibri"/>
                <w:b/>
                <w:bCs/>
                <w:sz w:val="20"/>
                <w:szCs w:val="20"/>
              </w:rPr>
              <w:t>776</w:t>
            </w:r>
          </w:p>
        </w:tc>
        <w:tc>
          <w:tcPr>
            <w:tcW w:w="850" w:type="dxa"/>
            <w:tcBorders>
              <w:top w:val="nil"/>
              <w:left w:val="nil"/>
              <w:bottom w:val="single" w:sz="4" w:space="0" w:color="auto"/>
              <w:right w:val="single" w:sz="4" w:space="0" w:color="auto"/>
            </w:tcBorders>
            <w:shd w:val="clear" w:color="auto" w:fill="D6E3BC"/>
            <w:vAlign w:val="center"/>
          </w:tcPr>
          <w:p w:rsidR="0029772B" w:rsidRPr="007C5C92" w:rsidRDefault="00D82EC2">
            <w:pPr>
              <w:jc w:val="center"/>
              <w:rPr>
                <w:rFonts w:ascii="Calibri" w:hAnsi="Calibri" w:cs="Calibri"/>
                <w:b/>
                <w:bCs/>
                <w:sz w:val="22"/>
                <w:szCs w:val="22"/>
              </w:rPr>
            </w:pPr>
            <w:r w:rsidRPr="007C5C92">
              <w:rPr>
                <w:rFonts w:ascii="Calibri" w:hAnsi="Calibri" w:cs="Calibri"/>
                <w:b/>
                <w:bCs/>
                <w:sz w:val="22"/>
                <w:szCs w:val="22"/>
              </w:rPr>
              <w:t>100</w:t>
            </w:r>
          </w:p>
        </w:tc>
      </w:tr>
    </w:tbl>
    <w:p w:rsidR="00EB0544" w:rsidRPr="007C5C92" w:rsidRDefault="00EB0544" w:rsidP="00566F39">
      <w:pPr>
        <w:spacing w:before="120" w:after="120"/>
        <w:jc w:val="both"/>
        <w:rPr>
          <w:rFonts w:ascii="Calibri" w:hAnsi="Calibri"/>
          <w:sz w:val="22"/>
          <w:szCs w:val="22"/>
          <w:lang w:val="sr-Latn-BA"/>
        </w:rPr>
      </w:pPr>
    </w:p>
    <w:p w:rsidR="00566F39" w:rsidRPr="000173D9" w:rsidRDefault="00566F39" w:rsidP="00566F39">
      <w:pPr>
        <w:spacing w:before="120" w:after="120"/>
        <w:jc w:val="both"/>
        <w:rPr>
          <w:rFonts w:ascii="Calibri" w:hAnsi="Calibri"/>
          <w:sz w:val="22"/>
          <w:szCs w:val="22"/>
          <w:lang w:val="sr-Latn-BA"/>
        </w:rPr>
      </w:pPr>
      <w:r w:rsidRPr="000173D9">
        <w:rPr>
          <w:rFonts w:ascii="Calibri" w:hAnsi="Calibri"/>
          <w:sz w:val="22"/>
          <w:szCs w:val="22"/>
          <w:lang w:val="sr-Latn-BA"/>
        </w:rPr>
        <w:t>Sadašnja pozicija Društva, iz ugla sredstava i izvora kojima raspolaže, najbolje se vidi kroz dugoročnu i kratkoročnu finansijsku ravnotežu.</w:t>
      </w:r>
    </w:p>
    <w:p w:rsidR="00103AB8" w:rsidRPr="000173D9" w:rsidRDefault="00566F39" w:rsidP="00501456">
      <w:pPr>
        <w:spacing w:after="120"/>
        <w:jc w:val="both"/>
        <w:rPr>
          <w:rFonts w:ascii="Calibri" w:hAnsi="Calibri"/>
          <w:sz w:val="22"/>
          <w:szCs w:val="22"/>
          <w:lang w:val="sr-Latn-BA"/>
        </w:rPr>
      </w:pPr>
      <w:r w:rsidRPr="000173D9">
        <w:rPr>
          <w:rFonts w:ascii="Calibri" w:hAnsi="Calibri"/>
          <w:sz w:val="22"/>
          <w:szCs w:val="22"/>
          <w:lang w:val="sr-Latn-BA"/>
        </w:rPr>
        <w:t>Dugoročna finansijska ravnoteža postoji kada su dugoročni izvori veći od dugoročno vezanih sredstava. S obzirom da je kod Društva koeficijent dugoročne finansijske ravnoteže manji od jedan</w:t>
      </w:r>
      <w:r w:rsidR="002E60A5" w:rsidRPr="000173D9">
        <w:rPr>
          <w:rFonts w:ascii="Calibri" w:hAnsi="Calibri"/>
          <w:sz w:val="22"/>
          <w:szCs w:val="22"/>
          <w:lang w:val="sr-Latn-BA"/>
        </w:rPr>
        <w:t xml:space="preserve"> (&lt;1)</w:t>
      </w:r>
      <w:r w:rsidRPr="000173D9">
        <w:rPr>
          <w:rFonts w:ascii="Calibri" w:hAnsi="Calibri"/>
          <w:sz w:val="22"/>
          <w:szCs w:val="22"/>
          <w:lang w:val="sr-Latn-BA"/>
        </w:rPr>
        <w:t xml:space="preserve">, može se zaključiti da postoji dugoročna finansijska ravnoteža, odnosno da je Društvo  solventno. </w:t>
      </w:r>
      <w:r w:rsidR="00B61692" w:rsidRPr="000173D9">
        <w:rPr>
          <w:rFonts w:ascii="Calibri" w:hAnsi="Calibri"/>
          <w:b/>
          <w:sz w:val="22"/>
          <w:szCs w:val="22"/>
          <w:lang w:val="sr-Latn-BA"/>
        </w:rPr>
        <w:t>(</w:t>
      </w:r>
      <w:r w:rsidR="00103AB8" w:rsidRPr="000173D9">
        <w:rPr>
          <w:rFonts w:ascii="Calibri" w:hAnsi="Calibri"/>
          <w:b/>
          <w:sz w:val="22"/>
          <w:szCs w:val="22"/>
          <w:lang w:val="sr-Latn-BA"/>
        </w:rPr>
        <w:t>0,</w:t>
      </w:r>
      <w:r w:rsidR="0041445B" w:rsidRPr="000173D9">
        <w:rPr>
          <w:rFonts w:ascii="Calibri" w:hAnsi="Calibri"/>
          <w:b/>
          <w:sz w:val="22"/>
          <w:szCs w:val="22"/>
          <w:lang w:val="sr-Latn-BA"/>
        </w:rPr>
        <w:t>5</w:t>
      </w:r>
      <w:r w:rsidR="007C5C92" w:rsidRPr="000173D9">
        <w:rPr>
          <w:rFonts w:ascii="Calibri" w:hAnsi="Calibri"/>
          <w:b/>
          <w:sz w:val="22"/>
          <w:szCs w:val="22"/>
          <w:lang w:val="sr-Latn-BA"/>
        </w:rPr>
        <w:t>9</w:t>
      </w:r>
      <w:r w:rsidR="002E60A5" w:rsidRPr="000173D9">
        <w:rPr>
          <w:rFonts w:ascii="Calibri" w:hAnsi="Calibri"/>
          <w:b/>
          <w:sz w:val="22"/>
          <w:szCs w:val="22"/>
          <w:lang w:val="sr-Latn-BA"/>
        </w:rPr>
        <w:t xml:space="preserve"> </w:t>
      </w:r>
      <w:r w:rsidR="00B61692" w:rsidRPr="000173D9">
        <w:rPr>
          <w:rFonts w:ascii="Calibri" w:hAnsi="Calibri"/>
          <w:b/>
          <w:sz w:val="22"/>
          <w:szCs w:val="22"/>
          <w:lang w:val="sr-Latn-BA"/>
        </w:rPr>
        <w:t>&lt;</w:t>
      </w:r>
      <w:r w:rsidR="002E60A5" w:rsidRPr="000173D9">
        <w:rPr>
          <w:rFonts w:ascii="Calibri" w:hAnsi="Calibri"/>
          <w:b/>
          <w:sz w:val="22"/>
          <w:szCs w:val="22"/>
          <w:lang w:val="sr-Latn-BA"/>
        </w:rPr>
        <w:t xml:space="preserve"> 1)</w:t>
      </w:r>
      <w:r w:rsidR="00103AB8" w:rsidRPr="000173D9">
        <w:rPr>
          <w:rFonts w:ascii="Calibri" w:hAnsi="Calibri"/>
          <w:sz w:val="22"/>
          <w:szCs w:val="22"/>
          <w:lang w:val="sr-Latn-BA"/>
        </w:rPr>
        <w:t xml:space="preserve"> </w:t>
      </w:r>
    </w:p>
    <w:tbl>
      <w:tblPr>
        <w:tblW w:w="8128" w:type="dxa"/>
        <w:tblInd w:w="98" w:type="dxa"/>
        <w:tblLayout w:type="fixed"/>
        <w:tblLook w:val="04A0" w:firstRow="1" w:lastRow="0" w:firstColumn="1" w:lastColumn="0" w:noHBand="0" w:noVBand="1"/>
      </w:tblPr>
      <w:tblGrid>
        <w:gridCol w:w="2278"/>
        <w:gridCol w:w="270"/>
        <w:gridCol w:w="2880"/>
        <w:gridCol w:w="450"/>
        <w:gridCol w:w="1350"/>
        <w:gridCol w:w="900"/>
      </w:tblGrid>
      <w:tr w:rsidR="009D6209" w:rsidRPr="000173D9" w:rsidTr="00AE0816">
        <w:trPr>
          <w:trHeight w:val="360"/>
        </w:trPr>
        <w:tc>
          <w:tcPr>
            <w:tcW w:w="2278" w:type="dxa"/>
            <w:vMerge w:val="restart"/>
            <w:tcBorders>
              <w:top w:val="nil"/>
              <w:left w:val="nil"/>
            </w:tcBorders>
            <w:shd w:val="clear" w:color="auto" w:fill="auto"/>
            <w:noWrap/>
            <w:vAlign w:val="center"/>
            <w:hideMark/>
          </w:tcPr>
          <w:p w:rsidR="00566F39" w:rsidRPr="000173D9" w:rsidRDefault="00566F39" w:rsidP="00A05677">
            <w:pPr>
              <w:rPr>
                <w:rFonts w:ascii="Calibri" w:hAnsi="Calibri" w:cs="Times New Roman"/>
                <w:b/>
                <w:sz w:val="22"/>
                <w:szCs w:val="22"/>
                <w:lang w:val="en-US"/>
              </w:rPr>
            </w:pPr>
            <w:r w:rsidRPr="000173D9">
              <w:rPr>
                <w:rFonts w:ascii="Calibri" w:hAnsi="Calibri"/>
                <w:b/>
                <w:sz w:val="22"/>
                <w:szCs w:val="22"/>
                <w:lang w:val="sr-Latn-CS"/>
              </w:rPr>
              <w:t>Koeficijent dugoročne finansijske ravnoteže</w:t>
            </w:r>
          </w:p>
        </w:tc>
        <w:tc>
          <w:tcPr>
            <w:tcW w:w="270" w:type="dxa"/>
            <w:vMerge w:val="restart"/>
            <w:tcBorders>
              <w:top w:val="nil"/>
            </w:tcBorders>
            <w:shd w:val="clear" w:color="auto" w:fill="auto"/>
            <w:vAlign w:val="center"/>
          </w:tcPr>
          <w:p w:rsidR="00566F39" w:rsidRPr="000173D9" w:rsidRDefault="00566F39" w:rsidP="00AE0816">
            <w:pPr>
              <w:rPr>
                <w:rFonts w:ascii="Calibri" w:hAnsi="Calibri" w:cs="Times New Roman"/>
                <w:b/>
                <w:sz w:val="22"/>
                <w:szCs w:val="22"/>
                <w:lang w:val="en-US"/>
              </w:rPr>
            </w:pPr>
            <w:r w:rsidRPr="000173D9">
              <w:rPr>
                <w:rFonts w:ascii="Calibri" w:hAnsi="Calibri" w:cs="Times New Roman"/>
                <w:b/>
                <w:sz w:val="22"/>
                <w:szCs w:val="22"/>
                <w:lang w:val="en-US"/>
              </w:rPr>
              <w:t>=</w:t>
            </w:r>
          </w:p>
        </w:tc>
        <w:tc>
          <w:tcPr>
            <w:tcW w:w="2880" w:type="dxa"/>
            <w:tcBorders>
              <w:top w:val="nil"/>
              <w:left w:val="nil"/>
              <w:bottom w:val="single" w:sz="4" w:space="0" w:color="auto"/>
              <w:right w:val="nil"/>
            </w:tcBorders>
            <w:shd w:val="clear" w:color="auto" w:fill="auto"/>
            <w:vAlign w:val="bottom"/>
            <w:hideMark/>
          </w:tcPr>
          <w:p w:rsidR="00566F39" w:rsidRPr="000173D9" w:rsidRDefault="00566F39" w:rsidP="00AE0816">
            <w:pPr>
              <w:jc w:val="center"/>
              <w:rPr>
                <w:rFonts w:ascii="Calibri" w:hAnsi="Calibri" w:cs="Times New Roman"/>
                <w:b/>
                <w:bCs/>
                <w:sz w:val="22"/>
                <w:szCs w:val="22"/>
                <w:lang w:val="en-US"/>
              </w:rPr>
            </w:pPr>
            <w:r w:rsidRPr="000173D9">
              <w:rPr>
                <w:rFonts w:ascii="Calibri" w:hAnsi="Calibri" w:cs="Calibri"/>
                <w:b/>
                <w:sz w:val="22"/>
                <w:szCs w:val="22"/>
              </w:rPr>
              <w:t>Dugoročno mobilisana sredstva</w:t>
            </w:r>
          </w:p>
        </w:tc>
        <w:tc>
          <w:tcPr>
            <w:tcW w:w="450" w:type="dxa"/>
            <w:vMerge w:val="restart"/>
            <w:tcBorders>
              <w:top w:val="nil"/>
              <w:left w:val="nil"/>
              <w:right w:val="nil"/>
            </w:tcBorders>
            <w:shd w:val="clear" w:color="auto" w:fill="auto"/>
            <w:noWrap/>
            <w:vAlign w:val="center"/>
            <w:hideMark/>
          </w:tcPr>
          <w:p w:rsidR="00566F39" w:rsidRPr="000173D9" w:rsidRDefault="00566F39" w:rsidP="00AE0816">
            <w:pPr>
              <w:jc w:val="center"/>
              <w:rPr>
                <w:rFonts w:ascii="Calibri" w:hAnsi="Calibri" w:cs="Times New Roman"/>
                <w:b/>
                <w:bCs/>
                <w:sz w:val="22"/>
                <w:szCs w:val="22"/>
                <w:lang w:val="en-US"/>
              </w:rPr>
            </w:pPr>
            <w:r w:rsidRPr="000173D9">
              <w:rPr>
                <w:rFonts w:ascii="Calibri" w:hAnsi="Calibri" w:cs="Times New Roman"/>
                <w:b/>
                <w:bCs/>
                <w:sz w:val="22"/>
                <w:szCs w:val="22"/>
                <w:lang w:val="en-US"/>
              </w:rPr>
              <w:t>=</w:t>
            </w:r>
          </w:p>
        </w:tc>
        <w:tc>
          <w:tcPr>
            <w:tcW w:w="1350" w:type="dxa"/>
            <w:tcBorders>
              <w:top w:val="nil"/>
              <w:left w:val="nil"/>
              <w:bottom w:val="single" w:sz="4" w:space="0" w:color="auto"/>
              <w:right w:val="nil"/>
            </w:tcBorders>
            <w:shd w:val="clear" w:color="auto" w:fill="auto"/>
            <w:vAlign w:val="bottom"/>
            <w:hideMark/>
          </w:tcPr>
          <w:p w:rsidR="00566F39" w:rsidRPr="000173D9" w:rsidRDefault="0041445B" w:rsidP="00190B98">
            <w:pPr>
              <w:rPr>
                <w:rFonts w:ascii="Calibri" w:hAnsi="Calibri" w:cs="Times New Roman"/>
                <w:b/>
                <w:bCs/>
                <w:sz w:val="22"/>
                <w:szCs w:val="22"/>
                <w:lang w:val="en-US"/>
              </w:rPr>
            </w:pPr>
            <w:r w:rsidRPr="000173D9">
              <w:rPr>
                <w:rFonts w:ascii="Calibri" w:hAnsi="Calibri" w:cs="Calibri"/>
                <w:b/>
                <w:bCs/>
                <w:sz w:val="22"/>
                <w:szCs w:val="22"/>
              </w:rPr>
              <w:t>4</w:t>
            </w:r>
            <w:r w:rsidR="006D1F91" w:rsidRPr="000173D9">
              <w:rPr>
                <w:rFonts w:ascii="Calibri" w:hAnsi="Calibri" w:cs="Calibri"/>
                <w:b/>
                <w:bCs/>
                <w:sz w:val="22"/>
                <w:szCs w:val="22"/>
              </w:rPr>
              <w:t>.</w:t>
            </w:r>
            <w:r w:rsidRPr="000173D9">
              <w:rPr>
                <w:rFonts w:ascii="Calibri" w:hAnsi="Calibri" w:cs="Calibri"/>
                <w:b/>
                <w:bCs/>
                <w:sz w:val="22"/>
                <w:szCs w:val="22"/>
              </w:rPr>
              <w:t>559</w:t>
            </w:r>
            <w:r w:rsidR="002E52D0" w:rsidRPr="000173D9">
              <w:rPr>
                <w:rFonts w:ascii="Calibri" w:hAnsi="Calibri" w:cs="Calibri"/>
                <w:b/>
                <w:bCs/>
                <w:sz w:val="22"/>
                <w:szCs w:val="22"/>
              </w:rPr>
              <w:t>.</w:t>
            </w:r>
            <w:r w:rsidRPr="000173D9">
              <w:rPr>
                <w:rFonts w:ascii="Calibri" w:hAnsi="Calibri" w:cs="Calibri"/>
                <w:b/>
                <w:bCs/>
                <w:sz w:val="22"/>
                <w:szCs w:val="22"/>
              </w:rPr>
              <w:t>039</w:t>
            </w:r>
          </w:p>
        </w:tc>
        <w:tc>
          <w:tcPr>
            <w:tcW w:w="900" w:type="dxa"/>
            <w:vMerge w:val="restart"/>
            <w:tcBorders>
              <w:top w:val="nil"/>
              <w:left w:val="nil"/>
              <w:right w:val="nil"/>
            </w:tcBorders>
            <w:vAlign w:val="center"/>
          </w:tcPr>
          <w:p w:rsidR="00566F39" w:rsidRPr="000173D9" w:rsidRDefault="00103AB8" w:rsidP="00922056">
            <w:pPr>
              <w:rPr>
                <w:rFonts w:ascii="Calibri" w:hAnsi="Calibri" w:cs="Calibri"/>
                <w:b/>
                <w:bCs/>
                <w:sz w:val="22"/>
                <w:szCs w:val="22"/>
              </w:rPr>
            </w:pPr>
            <w:r w:rsidRPr="000173D9">
              <w:rPr>
                <w:rFonts w:ascii="Calibri" w:hAnsi="Calibri" w:cs="Calibri"/>
                <w:b/>
                <w:bCs/>
                <w:sz w:val="22"/>
                <w:szCs w:val="22"/>
              </w:rPr>
              <w:t>= 0,</w:t>
            </w:r>
            <w:r w:rsidR="0041445B" w:rsidRPr="000173D9">
              <w:rPr>
                <w:rFonts w:ascii="Calibri" w:hAnsi="Calibri" w:cs="Calibri"/>
                <w:b/>
                <w:bCs/>
                <w:sz w:val="22"/>
                <w:szCs w:val="22"/>
              </w:rPr>
              <w:t>5</w:t>
            </w:r>
            <w:r w:rsidR="007C5C92" w:rsidRPr="000173D9">
              <w:rPr>
                <w:rFonts w:ascii="Calibri" w:hAnsi="Calibri" w:cs="Calibri"/>
                <w:b/>
                <w:bCs/>
                <w:sz w:val="22"/>
                <w:szCs w:val="22"/>
              </w:rPr>
              <w:t>9</w:t>
            </w:r>
          </w:p>
        </w:tc>
      </w:tr>
      <w:tr w:rsidR="009D6209" w:rsidRPr="000173D9" w:rsidTr="00AE0816">
        <w:trPr>
          <w:trHeight w:val="367"/>
        </w:trPr>
        <w:tc>
          <w:tcPr>
            <w:tcW w:w="2278" w:type="dxa"/>
            <w:vMerge/>
            <w:tcBorders>
              <w:left w:val="nil"/>
              <w:bottom w:val="nil"/>
            </w:tcBorders>
            <w:shd w:val="clear" w:color="auto" w:fill="auto"/>
            <w:noWrap/>
            <w:vAlign w:val="bottom"/>
            <w:hideMark/>
          </w:tcPr>
          <w:p w:rsidR="00566F39" w:rsidRPr="000173D9" w:rsidRDefault="00566F39" w:rsidP="00AE0816">
            <w:pPr>
              <w:rPr>
                <w:rFonts w:ascii="Calibri" w:hAnsi="Calibri" w:cs="Times New Roman"/>
                <w:b/>
                <w:sz w:val="22"/>
                <w:szCs w:val="22"/>
                <w:highlight w:val="yellow"/>
                <w:lang w:val="en-US"/>
              </w:rPr>
            </w:pPr>
          </w:p>
        </w:tc>
        <w:tc>
          <w:tcPr>
            <w:tcW w:w="270" w:type="dxa"/>
            <w:vMerge/>
            <w:tcBorders>
              <w:bottom w:val="nil"/>
            </w:tcBorders>
            <w:shd w:val="clear" w:color="auto" w:fill="auto"/>
            <w:vAlign w:val="bottom"/>
          </w:tcPr>
          <w:p w:rsidR="00566F39" w:rsidRPr="000173D9" w:rsidRDefault="00566F39" w:rsidP="00AE0816">
            <w:pPr>
              <w:rPr>
                <w:rFonts w:ascii="Calibri" w:hAnsi="Calibri" w:cs="Times New Roman"/>
                <w:b/>
                <w:sz w:val="22"/>
                <w:szCs w:val="22"/>
                <w:highlight w:val="yellow"/>
                <w:lang w:val="en-US"/>
              </w:rPr>
            </w:pPr>
          </w:p>
        </w:tc>
        <w:tc>
          <w:tcPr>
            <w:tcW w:w="2880" w:type="dxa"/>
            <w:tcBorders>
              <w:top w:val="single" w:sz="4" w:space="0" w:color="auto"/>
              <w:left w:val="nil"/>
              <w:bottom w:val="nil"/>
              <w:right w:val="nil"/>
            </w:tcBorders>
            <w:shd w:val="clear" w:color="auto" w:fill="auto"/>
            <w:noWrap/>
            <w:hideMark/>
          </w:tcPr>
          <w:p w:rsidR="00566F39" w:rsidRPr="000173D9" w:rsidRDefault="00566F39" w:rsidP="00AE0816">
            <w:pPr>
              <w:jc w:val="center"/>
              <w:rPr>
                <w:rFonts w:ascii="Calibri" w:hAnsi="Calibri" w:cs="Times New Roman"/>
                <w:b/>
                <w:bCs/>
                <w:sz w:val="22"/>
                <w:szCs w:val="22"/>
                <w:lang w:val="en-US"/>
              </w:rPr>
            </w:pPr>
            <w:r w:rsidRPr="000173D9">
              <w:rPr>
                <w:rFonts w:ascii="Calibri" w:hAnsi="Calibri" w:cs="Calibri"/>
                <w:b/>
                <w:sz w:val="22"/>
                <w:szCs w:val="22"/>
              </w:rPr>
              <w:t>dugoročno raspoloživi izvori</w:t>
            </w:r>
          </w:p>
        </w:tc>
        <w:tc>
          <w:tcPr>
            <w:tcW w:w="450" w:type="dxa"/>
            <w:vMerge/>
            <w:tcBorders>
              <w:left w:val="nil"/>
              <w:bottom w:val="nil"/>
              <w:right w:val="nil"/>
            </w:tcBorders>
            <w:shd w:val="clear" w:color="auto" w:fill="auto"/>
            <w:noWrap/>
            <w:vAlign w:val="bottom"/>
            <w:hideMark/>
          </w:tcPr>
          <w:p w:rsidR="00566F39" w:rsidRPr="000173D9" w:rsidRDefault="00566F39" w:rsidP="00AE0816">
            <w:pPr>
              <w:rPr>
                <w:rFonts w:ascii="Calibri" w:hAnsi="Calibri" w:cs="Times New Roman"/>
                <w:b/>
                <w:sz w:val="22"/>
                <w:szCs w:val="22"/>
                <w:lang w:val="en-US"/>
              </w:rPr>
            </w:pPr>
          </w:p>
        </w:tc>
        <w:tc>
          <w:tcPr>
            <w:tcW w:w="1350" w:type="dxa"/>
            <w:tcBorders>
              <w:top w:val="single" w:sz="4" w:space="0" w:color="auto"/>
              <w:left w:val="nil"/>
              <w:bottom w:val="nil"/>
              <w:right w:val="nil"/>
            </w:tcBorders>
            <w:shd w:val="clear" w:color="auto" w:fill="auto"/>
            <w:hideMark/>
          </w:tcPr>
          <w:p w:rsidR="00566F39" w:rsidRPr="000173D9" w:rsidRDefault="0041445B" w:rsidP="00436195">
            <w:pPr>
              <w:rPr>
                <w:rFonts w:ascii="Calibri" w:hAnsi="Calibri" w:cs="Times New Roman"/>
                <w:b/>
                <w:bCs/>
                <w:sz w:val="22"/>
                <w:szCs w:val="22"/>
                <w:lang w:val="en-US"/>
              </w:rPr>
            </w:pPr>
            <w:r w:rsidRPr="000173D9">
              <w:rPr>
                <w:rFonts w:ascii="Calibri" w:hAnsi="Calibri" w:cs="Times New Roman"/>
                <w:b/>
                <w:bCs/>
                <w:sz w:val="22"/>
                <w:szCs w:val="22"/>
                <w:lang w:val="en-US"/>
              </w:rPr>
              <w:t>7</w:t>
            </w:r>
            <w:r w:rsidR="00CA415D" w:rsidRPr="000173D9">
              <w:rPr>
                <w:rFonts w:ascii="Calibri" w:hAnsi="Calibri" w:cs="Times New Roman"/>
                <w:b/>
                <w:bCs/>
                <w:sz w:val="22"/>
                <w:szCs w:val="22"/>
                <w:lang w:val="en-US"/>
              </w:rPr>
              <w:t>.</w:t>
            </w:r>
            <w:r w:rsidRPr="000173D9">
              <w:rPr>
                <w:rFonts w:ascii="Calibri" w:hAnsi="Calibri" w:cs="Times New Roman"/>
                <w:b/>
                <w:bCs/>
                <w:sz w:val="22"/>
                <w:szCs w:val="22"/>
                <w:lang w:val="en-US"/>
              </w:rPr>
              <w:t>750</w:t>
            </w:r>
            <w:r w:rsidR="002E52D0" w:rsidRPr="000173D9">
              <w:rPr>
                <w:rFonts w:ascii="Calibri" w:hAnsi="Calibri" w:cs="Times New Roman"/>
                <w:b/>
                <w:bCs/>
                <w:sz w:val="22"/>
                <w:szCs w:val="22"/>
                <w:lang w:val="en-US"/>
              </w:rPr>
              <w:t>.</w:t>
            </w:r>
            <w:r w:rsidRPr="000173D9">
              <w:rPr>
                <w:rFonts w:ascii="Calibri" w:hAnsi="Calibri" w:cs="Times New Roman"/>
                <w:b/>
                <w:bCs/>
                <w:sz w:val="22"/>
                <w:szCs w:val="22"/>
                <w:lang w:val="en-US"/>
              </w:rPr>
              <w:t>487</w:t>
            </w:r>
          </w:p>
        </w:tc>
        <w:tc>
          <w:tcPr>
            <w:tcW w:w="900" w:type="dxa"/>
            <w:vMerge/>
            <w:tcBorders>
              <w:left w:val="nil"/>
              <w:bottom w:val="nil"/>
              <w:right w:val="nil"/>
            </w:tcBorders>
          </w:tcPr>
          <w:p w:rsidR="00566F39" w:rsidRPr="000173D9" w:rsidRDefault="00566F39" w:rsidP="00AE0816">
            <w:pPr>
              <w:jc w:val="right"/>
              <w:rPr>
                <w:rFonts w:ascii="Calibri" w:hAnsi="Calibri" w:cs="Calibri"/>
                <w:b/>
                <w:bCs/>
                <w:sz w:val="22"/>
                <w:szCs w:val="22"/>
                <w:highlight w:val="yellow"/>
              </w:rPr>
            </w:pPr>
          </w:p>
        </w:tc>
      </w:tr>
    </w:tbl>
    <w:p w:rsidR="00566F39" w:rsidRPr="000173D9" w:rsidRDefault="00566F39" w:rsidP="00566F39">
      <w:pPr>
        <w:spacing w:before="120" w:after="120"/>
        <w:jc w:val="both"/>
        <w:rPr>
          <w:rFonts w:ascii="Calibri" w:hAnsi="Calibri"/>
          <w:sz w:val="22"/>
          <w:szCs w:val="22"/>
          <w:lang w:val="sr-Latn-BA"/>
        </w:rPr>
      </w:pPr>
      <w:r w:rsidRPr="000173D9">
        <w:rPr>
          <w:rFonts w:ascii="Calibri" w:hAnsi="Calibri"/>
          <w:sz w:val="22"/>
          <w:szCs w:val="22"/>
          <w:lang w:val="sr-Latn-BA"/>
        </w:rPr>
        <w:t xml:space="preserve">Pored dugoročne finansijske ravnoteže, koja ukazuje na </w:t>
      </w:r>
      <w:r w:rsidRPr="000173D9">
        <w:rPr>
          <w:rFonts w:ascii="Calibri" w:hAnsi="Calibri"/>
          <w:b/>
          <w:i/>
          <w:sz w:val="22"/>
          <w:szCs w:val="22"/>
          <w:lang w:val="sr-Latn-BA"/>
        </w:rPr>
        <w:t>solventnost</w:t>
      </w:r>
      <w:r w:rsidRPr="000173D9">
        <w:rPr>
          <w:rFonts w:ascii="Calibri" w:hAnsi="Calibri"/>
          <w:sz w:val="22"/>
          <w:szCs w:val="22"/>
          <w:lang w:val="sr-Latn-BA"/>
        </w:rPr>
        <w:t xml:space="preserve"> Društva, neophodno je analizirati i kratkoročnu finansijsku ravnotežu, koja ukazuje na  </w:t>
      </w:r>
      <w:r w:rsidRPr="000173D9">
        <w:rPr>
          <w:rFonts w:ascii="Calibri" w:hAnsi="Calibri"/>
          <w:b/>
          <w:i/>
          <w:sz w:val="22"/>
          <w:szCs w:val="22"/>
          <w:lang w:val="sr-Latn-BA"/>
        </w:rPr>
        <w:t xml:space="preserve">likvidnost </w:t>
      </w:r>
      <w:r w:rsidRPr="000173D9">
        <w:rPr>
          <w:rFonts w:ascii="Calibri" w:hAnsi="Calibri"/>
          <w:sz w:val="22"/>
          <w:szCs w:val="22"/>
          <w:lang w:val="sr-Latn-BA"/>
        </w:rPr>
        <w:t xml:space="preserve">Društva. </w:t>
      </w:r>
    </w:p>
    <w:p w:rsidR="00566F39" w:rsidRPr="000173D9" w:rsidRDefault="00566F39" w:rsidP="00566F39">
      <w:pPr>
        <w:spacing w:before="120" w:after="120"/>
        <w:jc w:val="both"/>
        <w:rPr>
          <w:rFonts w:ascii="Calibri" w:hAnsi="Calibri"/>
          <w:b/>
          <w:sz w:val="22"/>
          <w:szCs w:val="22"/>
          <w:lang w:val="sr-Latn-BA"/>
        </w:rPr>
      </w:pPr>
      <w:r w:rsidRPr="000173D9">
        <w:rPr>
          <w:rFonts w:ascii="Calibri" w:hAnsi="Calibri"/>
          <w:sz w:val="22"/>
          <w:szCs w:val="22"/>
          <w:lang w:val="sr-Latn-BA"/>
        </w:rPr>
        <w:t>Kratkoročna finansijska ravnoteža postoji (likvidnost privrednog društva nije ugrožena) kada je koeficijent kratkoročne finansijske ravnoteže veći od jedan</w:t>
      </w:r>
      <w:r w:rsidR="00B61692" w:rsidRPr="000173D9">
        <w:rPr>
          <w:rFonts w:ascii="Calibri" w:hAnsi="Calibri"/>
          <w:sz w:val="22"/>
          <w:szCs w:val="22"/>
          <w:lang w:val="sr-Latn-BA"/>
        </w:rPr>
        <w:t xml:space="preserve"> (</w:t>
      </w:r>
      <w:r w:rsidR="00B61692" w:rsidRPr="000173D9">
        <w:rPr>
          <w:rFonts w:ascii="Calibri" w:hAnsi="Calibri" w:cs="Calibri"/>
          <w:sz w:val="22"/>
          <w:szCs w:val="22"/>
          <w:lang w:val="sr-Latn-BA"/>
        </w:rPr>
        <w:t>&gt;</w:t>
      </w:r>
      <w:r w:rsidR="00B61692" w:rsidRPr="000173D9">
        <w:rPr>
          <w:rFonts w:ascii="Calibri" w:hAnsi="Calibri"/>
          <w:sz w:val="22"/>
          <w:szCs w:val="22"/>
          <w:lang w:val="sr-Latn-BA"/>
        </w:rPr>
        <w:t>1)</w:t>
      </w:r>
      <w:r w:rsidRPr="000173D9">
        <w:rPr>
          <w:rFonts w:ascii="Calibri" w:hAnsi="Calibri"/>
          <w:b/>
          <w:sz w:val="22"/>
          <w:szCs w:val="22"/>
          <w:lang w:val="sr-Latn-BA"/>
        </w:rPr>
        <w:t>.</w:t>
      </w:r>
      <w:r w:rsidR="00B61692" w:rsidRPr="000173D9">
        <w:rPr>
          <w:rFonts w:ascii="Calibri" w:hAnsi="Calibri"/>
          <w:b/>
          <w:sz w:val="22"/>
          <w:szCs w:val="22"/>
          <w:lang w:val="sr-Latn-BA"/>
        </w:rPr>
        <w:t xml:space="preserve"> (</w:t>
      </w:r>
      <w:r w:rsidR="007C3E40" w:rsidRPr="000173D9">
        <w:rPr>
          <w:rFonts w:ascii="Calibri" w:hAnsi="Calibri"/>
          <w:b/>
          <w:sz w:val="22"/>
          <w:szCs w:val="22"/>
          <w:lang w:val="sr-Latn-BA"/>
        </w:rPr>
        <w:t>134</w:t>
      </w:r>
      <w:r w:rsidR="006A6A98" w:rsidRPr="000173D9">
        <w:rPr>
          <w:rFonts w:ascii="Calibri" w:hAnsi="Calibri"/>
          <w:b/>
          <w:sz w:val="22"/>
          <w:szCs w:val="22"/>
          <w:lang w:val="sr-Latn-BA"/>
        </w:rPr>
        <w:t>,</w:t>
      </w:r>
      <w:r w:rsidR="007C3E40" w:rsidRPr="000173D9">
        <w:rPr>
          <w:rFonts w:ascii="Calibri" w:hAnsi="Calibri"/>
          <w:b/>
          <w:sz w:val="22"/>
          <w:szCs w:val="22"/>
          <w:lang w:val="sr-Latn-BA"/>
        </w:rPr>
        <w:t>55</w:t>
      </w:r>
      <w:r w:rsidR="002E60A5" w:rsidRPr="000173D9">
        <w:rPr>
          <w:rFonts w:ascii="Calibri" w:hAnsi="Calibri"/>
          <w:b/>
          <w:sz w:val="22"/>
          <w:szCs w:val="22"/>
          <w:lang w:val="sr-Latn-BA"/>
        </w:rPr>
        <w:t>&gt; 1)</w:t>
      </w:r>
      <w:r w:rsidR="005A110F" w:rsidRPr="000173D9">
        <w:rPr>
          <w:rFonts w:ascii="Calibri" w:hAnsi="Calibri"/>
          <w:b/>
          <w:sz w:val="22"/>
          <w:szCs w:val="22"/>
          <w:lang w:val="sr-Latn-BA"/>
        </w:rPr>
        <w:t xml:space="preserve">. </w:t>
      </w:r>
    </w:p>
    <w:tbl>
      <w:tblPr>
        <w:tblW w:w="9233" w:type="dxa"/>
        <w:tblInd w:w="98" w:type="dxa"/>
        <w:tblLayout w:type="fixed"/>
        <w:tblLook w:val="04A0" w:firstRow="1" w:lastRow="0" w:firstColumn="1" w:lastColumn="0" w:noHBand="0" w:noVBand="1"/>
      </w:tblPr>
      <w:tblGrid>
        <w:gridCol w:w="2523"/>
        <w:gridCol w:w="315"/>
        <w:gridCol w:w="3927"/>
        <w:gridCol w:w="426"/>
        <w:gridCol w:w="1256"/>
        <w:gridCol w:w="786"/>
      </w:tblGrid>
      <w:tr w:rsidR="009D6209" w:rsidRPr="000173D9" w:rsidTr="007C3E40">
        <w:trPr>
          <w:trHeight w:val="390"/>
        </w:trPr>
        <w:tc>
          <w:tcPr>
            <w:tcW w:w="2523" w:type="dxa"/>
            <w:vMerge w:val="restart"/>
            <w:tcBorders>
              <w:top w:val="nil"/>
              <w:left w:val="nil"/>
            </w:tcBorders>
            <w:shd w:val="clear" w:color="auto" w:fill="auto"/>
            <w:noWrap/>
            <w:vAlign w:val="center"/>
            <w:hideMark/>
          </w:tcPr>
          <w:p w:rsidR="00566F39" w:rsidRPr="000173D9" w:rsidRDefault="00566F39" w:rsidP="00A05677">
            <w:pPr>
              <w:rPr>
                <w:rFonts w:ascii="Calibri" w:hAnsi="Calibri" w:cs="Times New Roman"/>
                <w:b/>
                <w:sz w:val="22"/>
                <w:szCs w:val="22"/>
                <w:lang w:val="en-US"/>
              </w:rPr>
            </w:pPr>
            <w:r w:rsidRPr="000173D9">
              <w:rPr>
                <w:rFonts w:ascii="Calibri" w:hAnsi="Calibri"/>
                <w:b/>
                <w:sz w:val="22"/>
                <w:szCs w:val="22"/>
                <w:lang w:val="sr-Latn-CS"/>
              </w:rPr>
              <w:t>Koeficijent</w:t>
            </w:r>
            <w:r w:rsidR="009C0CE2" w:rsidRPr="000173D9">
              <w:rPr>
                <w:rFonts w:ascii="Calibri" w:hAnsi="Calibri"/>
                <w:b/>
                <w:sz w:val="22"/>
                <w:szCs w:val="22"/>
                <w:lang w:val="sr-Latn-CS"/>
              </w:rPr>
              <w:t xml:space="preserve"> </w:t>
            </w:r>
            <w:r w:rsidRPr="000173D9">
              <w:rPr>
                <w:rFonts w:ascii="Calibri" w:hAnsi="Calibri"/>
                <w:b/>
                <w:sz w:val="22"/>
                <w:szCs w:val="22"/>
                <w:lang w:val="sr-Latn-CS"/>
              </w:rPr>
              <w:t>kratkoročne finansijske ravnoteže</w:t>
            </w:r>
          </w:p>
        </w:tc>
        <w:tc>
          <w:tcPr>
            <w:tcW w:w="315" w:type="dxa"/>
            <w:vMerge w:val="restart"/>
            <w:tcBorders>
              <w:top w:val="nil"/>
            </w:tcBorders>
            <w:shd w:val="clear" w:color="auto" w:fill="auto"/>
            <w:vAlign w:val="center"/>
          </w:tcPr>
          <w:p w:rsidR="00566F39" w:rsidRPr="000173D9" w:rsidRDefault="00566F39" w:rsidP="00AE0816">
            <w:pPr>
              <w:rPr>
                <w:rFonts w:ascii="Calibri" w:hAnsi="Calibri" w:cs="Times New Roman"/>
                <w:b/>
                <w:sz w:val="22"/>
                <w:szCs w:val="22"/>
                <w:lang w:val="en-US"/>
              </w:rPr>
            </w:pPr>
            <w:r w:rsidRPr="000173D9">
              <w:rPr>
                <w:rFonts w:ascii="Calibri" w:hAnsi="Calibri" w:cs="Times New Roman"/>
                <w:b/>
                <w:sz w:val="22"/>
                <w:szCs w:val="22"/>
                <w:lang w:val="en-US"/>
              </w:rPr>
              <w:t>=</w:t>
            </w:r>
          </w:p>
        </w:tc>
        <w:tc>
          <w:tcPr>
            <w:tcW w:w="3927" w:type="dxa"/>
            <w:tcBorders>
              <w:top w:val="nil"/>
              <w:left w:val="nil"/>
              <w:bottom w:val="single" w:sz="4" w:space="0" w:color="auto"/>
              <w:right w:val="nil"/>
            </w:tcBorders>
            <w:shd w:val="clear" w:color="auto" w:fill="auto"/>
            <w:vAlign w:val="bottom"/>
            <w:hideMark/>
          </w:tcPr>
          <w:p w:rsidR="00566F39" w:rsidRPr="000173D9" w:rsidRDefault="00566F39" w:rsidP="00AE0816">
            <w:pPr>
              <w:jc w:val="center"/>
              <w:rPr>
                <w:rFonts w:ascii="Calibri" w:hAnsi="Calibri" w:cs="Times New Roman"/>
                <w:b/>
                <w:bCs/>
                <w:sz w:val="22"/>
                <w:szCs w:val="22"/>
                <w:lang w:val="en-US"/>
              </w:rPr>
            </w:pPr>
            <w:r w:rsidRPr="000173D9">
              <w:rPr>
                <w:rFonts w:ascii="Calibri" w:hAnsi="Calibri" w:cs="Calibri"/>
                <w:b/>
                <w:bCs/>
                <w:sz w:val="22"/>
                <w:szCs w:val="22"/>
              </w:rPr>
              <w:t>Likvidna kratkoročno vezana sredstva</w:t>
            </w:r>
          </w:p>
        </w:tc>
        <w:tc>
          <w:tcPr>
            <w:tcW w:w="426" w:type="dxa"/>
            <w:vMerge w:val="restart"/>
            <w:tcBorders>
              <w:top w:val="nil"/>
              <w:left w:val="nil"/>
              <w:right w:val="nil"/>
            </w:tcBorders>
            <w:shd w:val="clear" w:color="auto" w:fill="auto"/>
            <w:noWrap/>
            <w:vAlign w:val="center"/>
            <w:hideMark/>
          </w:tcPr>
          <w:p w:rsidR="00566F39" w:rsidRPr="000173D9" w:rsidRDefault="00566F39" w:rsidP="007C3E40">
            <w:pPr>
              <w:rPr>
                <w:rFonts w:ascii="Calibri" w:hAnsi="Calibri" w:cs="Times New Roman"/>
                <w:b/>
                <w:bCs/>
                <w:sz w:val="22"/>
                <w:szCs w:val="22"/>
                <w:lang w:val="en-US"/>
              </w:rPr>
            </w:pPr>
            <w:r w:rsidRPr="000173D9">
              <w:rPr>
                <w:rFonts w:ascii="Calibri" w:hAnsi="Calibri" w:cs="Times New Roman"/>
                <w:b/>
                <w:bCs/>
                <w:sz w:val="22"/>
                <w:szCs w:val="22"/>
                <w:lang w:val="en-US"/>
              </w:rPr>
              <w:t>=</w:t>
            </w:r>
          </w:p>
        </w:tc>
        <w:tc>
          <w:tcPr>
            <w:tcW w:w="1256" w:type="dxa"/>
            <w:tcBorders>
              <w:top w:val="nil"/>
              <w:left w:val="nil"/>
              <w:bottom w:val="single" w:sz="4" w:space="0" w:color="auto"/>
              <w:right w:val="nil"/>
            </w:tcBorders>
            <w:shd w:val="clear" w:color="auto" w:fill="auto"/>
            <w:vAlign w:val="bottom"/>
            <w:hideMark/>
          </w:tcPr>
          <w:p w:rsidR="00566F39" w:rsidRPr="000173D9" w:rsidRDefault="0041445B" w:rsidP="00190B98">
            <w:pPr>
              <w:rPr>
                <w:rFonts w:ascii="Calibri" w:hAnsi="Calibri" w:cs="Times New Roman"/>
                <w:b/>
                <w:bCs/>
                <w:sz w:val="22"/>
                <w:szCs w:val="22"/>
                <w:lang w:val="en-US"/>
              </w:rPr>
            </w:pPr>
            <w:r w:rsidRPr="000173D9">
              <w:rPr>
                <w:rFonts w:ascii="Calibri" w:hAnsi="Calibri" w:cs="Times New Roman"/>
                <w:b/>
                <w:bCs/>
                <w:sz w:val="22"/>
                <w:szCs w:val="22"/>
                <w:lang w:val="en-US"/>
              </w:rPr>
              <w:t>3.430.387</w:t>
            </w:r>
          </w:p>
        </w:tc>
        <w:tc>
          <w:tcPr>
            <w:tcW w:w="786" w:type="dxa"/>
            <w:vMerge w:val="restart"/>
            <w:tcBorders>
              <w:top w:val="nil"/>
              <w:left w:val="nil"/>
              <w:right w:val="nil"/>
            </w:tcBorders>
            <w:vAlign w:val="center"/>
          </w:tcPr>
          <w:p w:rsidR="004A408E" w:rsidRPr="000173D9" w:rsidRDefault="007C3E40" w:rsidP="00A62E59">
            <w:pPr>
              <w:rPr>
                <w:rFonts w:ascii="Calibri" w:hAnsi="Calibri" w:cs="Calibri"/>
                <w:b/>
                <w:bCs/>
                <w:sz w:val="22"/>
                <w:szCs w:val="22"/>
              </w:rPr>
            </w:pPr>
            <w:r w:rsidRPr="000173D9">
              <w:rPr>
                <w:rFonts w:ascii="Calibri" w:hAnsi="Calibri" w:cs="Calibri"/>
                <w:b/>
                <w:bCs/>
                <w:sz w:val="22"/>
                <w:szCs w:val="22"/>
              </w:rPr>
              <w:t>=134</w:t>
            </w:r>
            <w:r w:rsidR="00EA5B80" w:rsidRPr="000173D9">
              <w:rPr>
                <w:rFonts w:ascii="Calibri" w:hAnsi="Calibri" w:cs="Calibri"/>
                <w:b/>
                <w:bCs/>
                <w:sz w:val="22"/>
                <w:szCs w:val="22"/>
              </w:rPr>
              <w:t>,</w:t>
            </w:r>
            <w:r w:rsidRPr="000173D9">
              <w:rPr>
                <w:rFonts w:ascii="Calibri" w:hAnsi="Calibri" w:cs="Calibri"/>
                <w:b/>
                <w:bCs/>
                <w:sz w:val="22"/>
                <w:szCs w:val="22"/>
              </w:rPr>
              <w:t>5</w:t>
            </w:r>
            <w:r w:rsidR="00120A8F" w:rsidRPr="000173D9">
              <w:rPr>
                <w:rFonts w:ascii="Calibri" w:hAnsi="Calibri" w:cs="Calibri"/>
                <w:b/>
                <w:bCs/>
                <w:sz w:val="22"/>
                <w:szCs w:val="22"/>
              </w:rPr>
              <w:t>5</w:t>
            </w:r>
          </w:p>
        </w:tc>
      </w:tr>
      <w:tr w:rsidR="009D6209" w:rsidRPr="000173D9" w:rsidTr="007C3E40">
        <w:trPr>
          <w:trHeight w:val="398"/>
        </w:trPr>
        <w:tc>
          <w:tcPr>
            <w:tcW w:w="2523" w:type="dxa"/>
            <w:vMerge/>
            <w:tcBorders>
              <w:left w:val="nil"/>
              <w:bottom w:val="nil"/>
            </w:tcBorders>
            <w:shd w:val="clear" w:color="auto" w:fill="auto"/>
            <w:noWrap/>
            <w:vAlign w:val="bottom"/>
            <w:hideMark/>
          </w:tcPr>
          <w:p w:rsidR="00566F39" w:rsidRPr="000173D9" w:rsidRDefault="00566F39" w:rsidP="00AE0816">
            <w:pPr>
              <w:rPr>
                <w:rFonts w:ascii="Calibri" w:hAnsi="Calibri" w:cs="Times New Roman"/>
                <w:b/>
                <w:sz w:val="22"/>
                <w:szCs w:val="22"/>
                <w:highlight w:val="yellow"/>
                <w:lang w:val="en-US"/>
              </w:rPr>
            </w:pPr>
          </w:p>
        </w:tc>
        <w:tc>
          <w:tcPr>
            <w:tcW w:w="315" w:type="dxa"/>
            <w:vMerge/>
            <w:tcBorders>
              <w:bottom w:val="nil"/>
            </w:tcBorders>
            <w:shd w:val="clear" w:color="auto" w:fill="auto"/>
            <w:vAlign w:val="bottom"/>
          </w:tcPr>
          <w:p w:rsidR="00566F39" w:rsidRPr="000173D9" w:rsidRDefault="00566F39" w:rsidP="00AE0816">
            <w:pPr>
              <w:rPr>
                <w:rFonts w:ascii="Calibri" w:hAnsi="Calibri" w:cs="Times New Roman"/>
                <w:b/>
                <w:sz w:val="22"/>
                <w:szCs w:val="22"/>
                <w:highlight w:val="yellow"/>
                <w:lang w:val="en-US"/>
              </w:rPr>
            </w:pPr>
          </w:p>
        </w:tc>
        <w:tc>
          <w:tcPr>
            <w:tcW w:w="3927" w:type="dxa"/>
            <w:tcBorders>
              <w:top w:val="single" w:sz="4" w:space="0" w:color="auto"/>
              <w:left w:val="nil"/>
              <w:bottom w:val="nil"/>
              <w:right w:val="nil"/>
            </w:tcBorders>
            <w:shd w:val="clear" w:color="auto" w:fill="auto"/>
            <w:noWrap/>
            <w:hideMark/>
          </w:tcPr>
          <w:p w:rsidR="00566F39" w:rsidRPr="000173D9" w:rsidRDefault="00566F39" w:rsidP="00AE0816">
            <w:pPr>
              <w:jc w:val="center"/>
              <w:rPr>
                <w:rFonts w:ascii="Calibri" w:hAnsi="Calibri" w:cs="Times New Roman"/>
                <w:b/>
                <w:bCs/>
                <w:sz w:val="22"/>
                <w:szCs w:val="22"/>
                <w:lang w:val="en-US"/>
              </w:rPr>
            </w:pPr>
            <w:r w:rsidRPr="000173D9">
              <w:rPr>
                <w:rFonts w:ascii="Calibri" w:hAnsi="Calibri" w:cs="Calibri"/>
                <w:b/>
                <w:bCs/>
                <w:sz w:val="22"/>
                <w:szCs w:val="22"/>
              </w:rPr>
              <w:t>Kratkoročne obaveze</w:t>
            </w:r>
          </w:p>
        </w:tc>
        <w:tc>
          <w:tcPr>
            <w:tcW w:w="426" w:type="dxa"/>
            <w:vMerge/>
            <w:tcBorders>
              <w:left w:val="nil"/>
              <w:bottom w:val="nil"/>
              <w:right w:val="nil"/>
            </w:tcBorders>
            <w:shd w:val="clear" w:color="auto" w:fill="auto"/>
            <w:noWrap/>
            <w:vAlign w:val="bottom"/>
            <w:hideMark/>
          </w:tcPr>
          <w:p w:rsidR="00566F39" w:rsidRPr="000173D9" w:rsidRDefault="00566F39" w:rsidP="00AE0816">
            <w:pPr>
              <w:rPr>
                <w:rFonts w:ascii="Calibri" w:hAnsi="Calibri" w:cs="Times New Roman"/>
                <w:b/>
                <w:sz w:val="22"/>
                <w:szCs w:val="22"/>
                <w:lang w:val="en-US"/>
              </w:rPr>
            </w:pPr>
          </w:p>
        </w:tc>
        <w:tc>
          <w:tcPr>
            <w:tcW w:w="1256" w:type="dxa"/>
            <w:tcBorders>
              <w:top w:val="single" w:sz="4" w:space="0" w:color="auto"/>
              <w:left w:val="nil"/>
              <w:bottom w:val="nil"/>
              <w:right w:val="nil"/>
            </w:tcBorders>
            <w:shd w:val="clear" w:color="auto" w:fill="auto"/>
            <w:hideMark/>
          </w:tcPr>
          <w:p w:rsidR="00566F39" w:rsidRPr="000173D9" w:rsidRDefault="00744D21" w:rsidP="00AE0816">
            <w:pPr>
              <w:rPr>
                <w:rFonts w:ascii="Calibri" w:hAnsi="Calibri" w:cs="Times New Roman"/>
                <w:b/>
                <w:bCs/>
                <w:sz w:val="22"/>
                <w:szCs w:val="22"/>
                <w:lang w:val="en-US"/>
              </w:rPr>
            </w:pPr>
            <w:r w:rsidRPr="000173D9">
              <w:rPr>
                <w:rFonts w:ascii="Calibri" w:hAnsi="Calibri" w:cs="Times New Roman"/>
                <w:b/>
                <w:bCs/>
                <w:sz w:val="22"/>
                <w:szCs w:val="22"/>
                <w:lang w:val="en-US"/>
              </w:rPr>
              <w:t xml:space="preserve"> </w:t>
            </w:r>
            <w:r w:rsidR="00B0159D" w:rsidRPr="000173D9">
              <w:rPr>
                <w:rFonts w:ascii="Calibri" w:hAnsi="Calibri" w:cs="Times New Roman"/>
                <w:b/>
                <w:bCs/>
                <w:sz w:val="22"/>
                <w:szCs w:val="22"/>
                <w:lang w:val="en-US"/>
              </w:rPr>
              <w:t xml:space="preserve">   </w:t>
            </w:r>
            <w:r w:rsidR="0041445B" w:rsidRPr="000173D9">
              <w:rPr>
                <w:rFonts w:ascii="Calibri" w:hAnsi="Calibri" w:cs="Times New Roman"/>
                <w:b/>
                <w:bCs/>
                <w:sz w:val="22"/>
                <w:szCs w:val="22"/>
                <w:lang w:val="en-US"/>
              </w:rPr>
              <w:t>25</w:t>
            </w:r>
            <w:r w:rsidR="006D1F91" w:rsidRPr="000173D9">
              <w:rPr>
                <w:rFonts w:ascii="Calibri" w:hAnsi="Calibri" w:cs="Times New Roman"/>
                <w:b/>
                <w:bCs/>
                <w:sz w:val="22"/>
                <w:szCs w:val="22"/>
                <w:lang w:val="en-US"/>
              </w:rPr>
              <w:t>.</w:t>
            </w:r>
            <w:r w:rsidR="0041445B" w:rsidRPr="000173D9">
              <w:rPr>
                <w:rFonts w:ascii="Calibri" w:hAnsi="Calibri" w:cs="Times New Roman"/>
                <w:b/>
                <w:bCs/>
                <w:sz w:val="22"/>
                <w:szCs w:val="22"/>
                <w:lang w:val="en-US"/>
              </w:rPr>
              <w:t>494</w:t>
            </w:r>
          </w:p>
        </w:tc>
        <w:tc>
          <w:tcPr>
            <w:tcW w:w="786" w:type="dxa"/>
            <w:vMerge/>
            <w:tcBorders>
              <w:left w:val="nil"/>
              <w:bottom w:val="nil"/>
              <w:right w:val="nil"/>
            </w:tcBorders>
          </w:tcPr>
          <w:p w:rsidR="00566F39" w:rsidRPr="000173D9" w:rsidRDefault="00566F39" w:rsidP="00AE0816">
            <w:pPr>
              <w:jc w:val="right"/>
              <w:rPr>
                <w:rFonts w:ascii="Calibri" w:hAnsi="Calibri" w:cs="Calibri"/>
                <w:b/>
                <w:bCs/>
                <w:sz w:val="22"/>
                <w:szCs w:val="22"/>
                <w:highlight w:val="yellow"/>
              </w:rPr>
            </w:pPr>
          </w:p>
        </w:tc>
      </w:tr>
    </w:tbl>
    <w:p w:rsidR="00B53E6A" w:rsidRPr="000173D9" w:rsidRDefault="00B87654" w:rsidP="00A67A1C">
      <w:pPr>
        <w:pStyle w:val="Heading2"/>
        <w:numPr>
          <w:ilvl w:val="0"/>
          <w:numId w:val="0"/>
        </w:numPr>
        <w:tabs>
          <w:tab w:val="left" w:pos="0"/>
        </w:tabs>
        <w:spacing w:before="60" w:after="120"/>
        <w:ind w:left="-90"/>
        <w:rPr>
          <w:rFonts w:ascii="Calibri" w:hAnsi="Calibri" w:cs="Calibri"/>
          <w:i/>
          <w:sz w:val="22"/>
          <w:szCs w:val="22"/>
        </w:rPr>
      </w:pPr>
      <w:r w:rsidRPr="000173D9">
        <w:rPr>
          <w:rFonts w:ascii="Calibri" w:hAnsi="Calibri" w:cs="Calibri"/>
          <w:sz w:val="22"/>
          <w:szCs w:val="22"/>
        </w:rPr>
        <w:t>Koeficijent zaduženosti</w:t>
      </w:r>
      <w:r w:rsidRPr="000173D9">
        <w:rPr>
          <w:rFonts w:ascii="Calibri" w:hAnsi="Calibri" w:cs="Calibri"/>
          <w:b w:val="0"/>
          <w:sz w:val="22"/>
          <w:szCs w:val="22"/>
        </w:rPr>
        <w:t xml:space="preserve"> pokazuje do koje mjere društvo koristi zaduživanje kao oblik finansiranja, odnosno koliki je procenat imovine nabavljen zaduživanjem. Vrijednost ovog pokazatelja bi trebala biti 50% ili manja.</w:t>
      </w:r>
      <w:r w:rsidR="00766DD0" w:rsidRPr="000173D9">
        <w:rPr>
          <w:rFonts w:ascii="Calibri" w:hAnsi="Calibri" w:cs="Calibri"/>
          <w:sz w:val="22"/>
          <w:szCs w:val="22"/>
        </w:rPr>
        <w:t>(0,0</w:t>
      </w:r>
      <w:r w:rsidR="00522991" w:rsidRPr="000173D9">
        <w:rPr>
          <w:rFonts w:ascii="Calibri" w:hAnsi="Calibri" w:cs="Calibri"/>
          <w:sz w:val="22"/>
          <w:szCs w:val="22"/>
        </w:rPr>
        <w:t>0</w:t>
      </w:r>
      <w:r w:rsidR="007C3E40" w:rsidRPr="000173D9">
        <w:rPr>
          <w:rFonts w:ascii="Calibri" w:hAnsi="Calibri" w:cs="Calibri"/>
          <w:sz w:val="22"/>
          <w:szCs w:val="22"/>
        </w:rPr>
        <w:t>3</w:t>
      </w:r>
      <w:r w:rsidR="002E60A5" w:rsidRPr="000173D9">
        <w:rPr>
          <w:rFonts w:ascii="Calibri" w:hAnsi="Calibri" w:cs="Calibri"/>
          <w:sz w:val="22"/>
          <w:szCs w:val="22"/>
        </w:rPr>
        <w:t xml:space="preserve"> &lt; 0,50)</w:t>
      </w:r>
    </w:p>
    <w:tbl>
      <w:tblPr>
        <w:tblW w:w="8128" w:type="dxa"/>
        <w:tblInd w:w="98" w:type="dxa"/>
        <w:tblLayout w:type="fixed"/>
        <w:tblLook w:val="04A0" w:firstRow="1" w:lastRow="0" w:firstColumn="1" w:lastColumn="0" w:noHBand="0" w:noVBand="1"/>
      </w:tblPr>
      <w:tblGrid>
        <w:gridCol w:w="2278"/>
        <w:gridCol w:w="270"/>
        <w:gridCol w:w="2880"/>
        <w:gridCol w:w="450"/>
        <w:gridCol w:w="1350"/>
        <w:gridCol w:w="900"/>
      </w:tblGrid>
      <w:tr w:rsidR="009D6209" w:rsidRPr="003315C5" w:rsidTr="00AE0816">
        <w:trPr>
          <w:trHeight w:val="360"/>
        </w:trPr>
        <w:tc>
          <w:tcPr>
            <w:tcW w:w="2278" w:type="dxa"/>
            <w:vMerge w:val="restart"/>
            <w:tcBorders>
              <w:top w:val="nil"/>
              <w:left w:val="nil"/>
            </w:tcBorders>
            <w:shd w:val="clear" w:color="auto" w:fill="auto"/>
            <w:noWrap/>
            <w:vAlign w:val="center"/>
            <w:hideMark/>
          </w:tcPr>
          <w:p w:rsidR="00B87654" w:rsidRPr="00015EC1" w:rsidRDefault="00B87654" w:rsidP="00B87654">
            <w:pPr>
              <w:rPr>
                <w:rFonts w:ascii="Calibri" w:hAnsi="Calibri" w:cs="Times New Roman"/>
                <w:b/>
                <w:sz w:val="22"/>
                <w:szCs w:val="22"/>
                <w:lang w:val="en-US"/>
              </w:rPr>
            </w:pPr>
            <w:r w:rsidRPr="00015EC1">
              <w:rPr>
                <w:rFonts w:ascii="Calibri" w:hAnsi="Calibri"/>
                <w:b/>
                <w:sz w:val="22"/>
                <w:szCs w:val="22"/>
                <w:lang w:val="sr-Latn-CS"/>
              </w:rPr>
              <w:t xml:space="preserve"> Koeficijent</w:t>
            </w:r>
            <w:r w:rsidR="009C0CE2" w:rsidRPr="00015EC1">
              <w:rPr>
                <w:rFonts w:ascii="Calibri" w:hAnsi="Calibri"/>
                <w:b/>
                <w:sz w:val="22"/>
                <w:szCs w:val="22"/>
                <w:lang w:val="sr-Latn-CS"/>
              </w:rPr>
              <w:t xml:space="preserve"> </w:t>
            </w:r>
            <w:r w:rsidRPr="00015EC1">
              <w:rPr>
                <w:rFonts w:ascii="Calibri" w:hAnsi="Calibri"/>
                <w:b/>
                <w:sz w:val="22"/>
                <w:szCs w:val="22"/>
                <w:lang w:val="sr-Latn-CS"/>
              </w:rPr>
              <w:t>zaduženosti</w:t>
            </w:r>
          </w:p>
        </w:tc>
        <w:tc>
          <w:tcPr>
            <w:tcW w:w="270" w:type="dxa"/>
            <w:vMerge w:val="restart"/>
            <w:tcBorders>
              <w:top w:val="nil"/>
            </w:tcBorders>
            <w:shd w:val="clear" w:color="auto" w:fill="auto"/>
            <w:vAlign w:val="center"/>
          </w:tcPr>
          <w:p w:rsidR="00B87654" w:rsidRPr="00015EC1" w:rsidRDefault="00B87654" w:rsidP="00AE0816">
            <w:pPr>
              <w:rPr>
                <w:rFonts w:ascii="Calibri" w:hAnsi="Calibri" w:cs="Times New Roman"/>
                <w:b/>
                <w:sz w:val="22"/>
                <w:szCs w:val="22"/>
                <w:lang w:val="en-US"/>
              </w:rPr>
            </w:pPr>
            <w:r w:rsidRPr="00015EC1">
              <w:rPr>
                <w:rFonts w:ascii="Calibri" w:hAnsi="Calibri" w:cs="Times New Roman"/>
                <w:b/>
                <w:sz w:val="22"/>
                <w:szCs w:val="22"/>
                <w:lang w:val="en-US"/>
              </w:rPr>
              <w:t>=</w:t>
            </w:r>
          </w:p>
        </w:tc>
        <w:tc>
          <w:tcPr>
            <w:tcW w:w="2880" w:type="dxa"/>
            <w:tcBorders>
              <w:top w:val="nil"/>
              <w:left w:val="nil"/>
              <w:bottom w:val="single" w:sz="4" w:space="0" w:color="auto"/>
              <w:right w:val="nil"/>
            </w:tcBorders>
            <w:shd w:val="clear" w:color="auto" w:fill="auto"/>
            <w:vAlign w:val="bottom"/>
            <w:hideMark/>
          </w:tcPr>
          <w:p w:rsidR="00B87654" w:rsidRPr="00015EC1" w:rsidRDefault="00B87654" w:rsidP="00AE0816">
            <w:pPr>
              <w:jc w:val="center"/>
              <w:rPr>
                <w:rFonts w:ascii="Calibri" w:hAnsi="Calibri" w:cs="Times New Roman"/>
                <w:b/>
                <w:bCs/>
                <w:sz w:val="22"/>
                <w:szCs w:val="22"/>
                <w:lang w:val="en-US"/>
              </w:rPr>
            </w:pPr>
            <w:r w:rsidRPr="00015EC1">
              <w:rPr>
                <w:rFonts w:ascii="Calibri" w:hAnsi="Calibri" w:cs="Calibri"/>
                <w:b/>
                <w:sz w:val="22"/>
                <w:szCs w:val="22"/>
              </w:rPr>
              <w:t>Ukupne obaveze</w:t>
            </w:r>
          </w:p>
        </w:tc>
        <w:tc>
          <w:tcPr>
            <w:tcW w:w="450" w:type="dxa"/>
            <w:vMerge w:val="restart"/>
            <w:tcBorders>
              <w:top w:val="nil"/>
              <w:left w:val="nil"/>
              <w:right w:val="nil"/>
            </w:tcBorders>
            <w:shd w:val="clear" w:color="auto" w:fill="auto"/>
            <w:noWrap/>
            <w:vAlign w:val="center"/>
            <w:hideMark/>
          </w:tcPr>
          <w:p w:rsidR="00B87654" w:rsidRPr="00015EC1" w:rsidRDefault="00B87654" w:rsidP="00AE0816">
            <w:pPr>
              <w:jc w:val="center"/>
              <w:rPr>
                <w:rFonts w:ascii="Calibri" w:hAnsi="Calibri" w:cs="Times New Roman"/>
                <w:b/>
                <w:bCs/>
                <w:sz w:val="22"/>
                <w:szCs w:val="22"/>
                <w:lang w:val="en-US"/>
              </w:rPr>
            </w:pPr>
            <w:r w:rsidRPr="00015EC1">
              <w:rPr>
                <w:rFonts w:ascii="Calibri" w:hAnsi="Calibri" w:cs="Times New Roman"/>
                <w:b/>
                <w:bCs/>
                <w:sz w:val="22"/>
                <w:szCs w:val="22"/>
                <w:lang w:val="en-US"/>
              </w:rPr>
              <w:t>=</w:t>
            </w:r>
          </w:p>
        </w:tc>
        <w:tc>
          <w:tcPr>
            <w:tcW w:w="1350" w:type="dxa"/>
            <w:tcBorders>
              <w:top w:val="nil"/>
              <w:left w:val="nil"/>
              <w:bottom w:val="single" w:sz="4" w:space="0" w:color="auto"/>
              <w:right w:val="nil"/>
            </w:tcBorders>
            <w:shd w:val="clear" w:color="auto" w:fill="auto"/>
            <w:vAlign w:val="bottom"/>
            <w:hideMark/>
          </w:tcPr>
          <w:p w:rsidR="00B87654" w:rsidRPr="00015EC1" w:rsidRDefault="00B0159D" w:rsidP="00A009E7">
            <w:pPr>
              <w:rPr>
                <w:rFonts w:ascii="Calibri" w:hAnsi="Calibri" w:cs="Times New Roman"/>
                <w:b/>
                <w:bCs/>
                <w:sz w:val="22"/>
                <w:szCs w:val="22"/>
                <w:lang w:val="en-US"/>
              </w:rPr>
            </w:pPr>
            <w:r w:rsidRPr="00015EC1">
              <w:rPr>
                <w:rFonts w:ascii="Calibri" w:hAnsi="Calibri" w:cs="Calibri"/>
                <w:b/>
                <w:bCs/>
                <w:sz w:val="22"/>
                <w:szCs w:val="22"/>
              </w:rPr>
              <w:t xml:space="preserve">   </w:t>
            </w:r>
            <w:r w:rsidR="007C3E40" w:rsidRPr="00015EC1">
              <w:rPr>
                <w:rFonts w:ascii="Calibri" w:hAnsi="Calibri" w:cs="Calibri"/>
                <w:b/>
                <w:bCs/>
                <w:sz w:val="22"/>
                <w:szCs w:val="22"/>
              </w:rPr>
              <w:t>25</w:t>
            </w:r>
            <w:r w:rsidR="00522991" w:rsidRPr="00015EC1">
              <w:rPr>
                <w:rFonts w:ascii="Calibri" w:hAnsi="Calibri" w:cs="Calibri"/>
                <w:b/>
                <w:bCs/>
                <w:sz w:val="22"/>
                <w:szCs w:val="22"/>
              </w:rPr>
              <w:t>.</w:t>
            </w:r>
            <w:r w:rsidR="007C3E40" w:rsidRPr="00015EC1">
              <w:rPr>
                <w:rFonts w:ascii="Calibri" w:hAnsi="Calibri" w:cs="Calibri"/>
                <w:b/>
                <w:bCs/>
                <w:sz w:val="22"/>
                <w:szCs w:val="22"/>
              </w:rPr>
              <w:t>494</w:t>
            </w:r>
          </w:p>
        </w:tc>
        <w:tc>
          <w:tcPr>
            <w:tcW w:w="900" w:type="dxa"/>
            <w:vMerge w:val="restart"/>
            <w:tcBorders>
              <w:top w:val="nil"/>
              <w:left w:val="nil"/>
              <w:right w:val="nil"/>
            </w:tcBorders>
            <w:vAlign w:val="center"/>
          </w:tcPr>
          <w:p w:rsidR="00CA3120" w:rsidRPr="00015EC1" w:rsidRDefault="00B87654" w:rsidP="00A009E7">
            <w:pPr>
              <w:rPr>
                <w:rFonts w:ascii="Calibri" w:hAnsi="Calibri" w:cs="Calibri"/>
                <w:b/>
                <w:bCs/>
                <w:sz w:val="22"/>
                <w:szCs w:val="22"/>
              </w:rPr>
            </w:pPr>
            <w:r w:rsidRPr="00015EC1">
              <w:rPr>
                <w:rFonts w:ascii="Calibri" w:hAnsi="Calibri" w:cs="Calibri"/>
                <w:b/>
                <w:bCs/>
                <w:sz w:val="22"/>
                <w:szCs w:val="22"/>
              </w:rPr>
              <w:t xml:space="preserve">= </w:t>
            </w:r>
            <w:r w:rsidR="00172707" w:rsidRPr="00015EC1">
              <w:rPr>
                <w:rFonts w:ascii="Calibri" w:hAnsi="Calibri" w:cs="Calibri"/>
                <w:b/>
                <w:bCs/>
                <w:sz w:val="22"/>
                <w:szCs w:val="22"/>
              </w:rPr>
              <w:t>0</w:t>
            </w:r>
            <w:r w:rsidR="00EA5B80" w:rsidRPr="00015EC1">
              <w:rPr>
                <w:rFonts w:ascii="Calibri" w:hAnsi="Calibri" w:cs="Calibri"/>
                <w:b/>
                <w:bCs/>
                <w:sz w:val="22"/>
                <w:szCs w:val="22"/>
              </w:rPr>
              <w:t>,</w:t>
            </w:r>
            <w:r w:rsidR="00172707" w:rsidRPr="00015EC1">
              <w:rPr>
                <w:rFonts w:ascii="Calibri" w:hAnsi="Calibri" w:cs="Calibri"/>
                <w:b/>
                <w:bCs/>
                <w:sz w:val="22"/>
                <w:szCs w:val="22"/>
              </w:rPr>
              <w:t>0</w:t>
            </w:r>
            <w:r w:rsidR="00522991" w:rsidRPr="00015EC1">
              <w:rPr>
                <w:rFonts w:ascii="Calibri" w:hAnsi="Calibri" w:cs="Calibri"/>
                <w:b/>
                <w:bCs/>
                <w:sz w:val="22"/>
                <w:szCs w:val="22"/>
              </w:rPr>
              <w:t>0</w:t>
            </w:r>
            <w:r w:rsidR="007C3E40" w:rsidRPr="00015EC1">
              <w:rPr>
                <w:rFonts w:ascii="Calibri" w:hAnsi="Calibri" w:cs="Calibri"/>
                <w:b/>
                <w:bCs/>
                <w:sz w:val="22"/>
                <w:szCs w:val="22"/>
              </w:rPr>
              <w:t>3</w:t>
            </w:r>
          </w:p>
        </w:tc>
      </w:tr>
      <w:tr w:rsidR="00B87654" w:rsidRPr="003315C5" w:rsidTr="00AE0816">
        <w:trPr>
          <w:trHeight w:val="367"/>
        </w:trPr>
        <w:tc>
          <w:tcPr>
            <w:tcW w:w="2278" w:type="dxa"/>
            <w:vMerge/>
            <w:tcBorders>
              <w:left w:val="nil"/>
              <w:bottom w:val="nil"/>
            </w:tcBorders>
            <w:shd w:val="clear" w:color="auto" w:fill="auto"/>
            <w:noWrap/>
            <w:vAlign w:val="bottom"/>
            <w:hideMark/>
          </w:tcPr>
          <w:p w:rsidR="00B87654" w:rsidRPr="003315C5" w:rsidRDefault="00B87654" w:rsidP="00AE0816">
            <w:pPr>
              <w:rPr>
                <w:rFonts w:ascii="Calibri" w:hAnsi="Calibri" w:cs="Times New Roman"/>
                <w:b/>
                <w:sz w:val="22"/>
                <w:szCs w:val="22"/>
                <w:highlight w:val="yellow"/>
                <w:lang w:val="en-US"/>
              </w:rPr>
            </w:pPr>
          </w:p>
        </w:tc>
        <w:tc>
          <w:tcPr>
            <w:tcW w:w="270" w:type="dxa"/>
            <w:vMerge/>
            <w:tcBorders>
              <w:bottom w:val="nil"/>
            </w:tcBorders>
            <w:shd w:val="clear" w:color="auto" w:fill="auto"/>
            <w:vAlign w:val="bottom"/>
          </w:tcPr>
          <w:p w:rsidR="00B87654" w:rsidRPr="003315C5" w:rsidRDefault="00B87654" w:rsidP="00AE0816">
            <w:pPr>
              <w:rPr>
                <w:rFonts w:ascii="Calibri" w:hAnsi="Calibri" w:cs="Times New Roman"/>
                <w:b/>
                <w:sz w:val="22"/>
                <w:szCs w:val="22"/>
                <w:highlight w:val="yellow"/>
                <w:lang w:val="en-US"/>
              </w:rPr>
            </w:pPr>
          </w:p>
        </w:tc>
        <w:tc>
          <w:tcPr>
            <w:tcW w:w="2880" w:type="dxa"/>
            <w:tcBorders>
              <w:top w:val="single" w:sz="4" w:space="0" w:color="auto"/>
              <w:left w:val="nil"/>
              <w:bottom w:val="nil"/>
              <w:right w:val="nil"/>
            </w:tcBorders>
            <w:shd w:val="clear" w:color="auto" w:fill="auto"/>
            <w:noWrap/>
            <w:hideMark/>
          </w:tcPr>
          <w:p w:rsidR="00B87654" w:rsidRPr="00015EC1" w:rsidRDefault="00B87654" w:rsidP="00AE0816">
            <w:pPr>
              <w:jc w:val="center"/>
              <w:rPr>
                <w:rFonts w:ascii="Calibri" w:hAnsi="Calibri" w:cs="Times New Roman"/>
                <w:b/>
                <w:bCs/>
                <w:sz w:val="22"/>
                <w:szCs w:val="22"/>
                <w:lang w:val="en-US"/>
              </w:rPr>
            </w:pPr>
            <w:r w:rsidRPr="00015EC1">
              <w:rPr>
                <w:rFonts w:ascii="Calibri" w:hAnsi="Calibri" w:cs="Calibri"/>
                <w:b/>
                <w:sz w:val="22"/>
                <w:szCs w:val="22"/>
              </w:rPr>
              <w:t>Ukupna imovina</w:t>
            </w:r>
          </w:p>
        </w:tc>
        <w:tc>
          <w:tcPr>
            <w:tcW w:w="450" w:type="dxa"/>
            <w:vMerge/>
            <w:tcBorders>
              <w:left w:val="nil"/>
              <w:bottom w:val="nil"/>
              <w:right w:val="nil"/>
            </w:tcBorders>
            <w:shd w:val="clear" w:color="auto" w:fill="auto"/>
            <w:noWrap/>
            <w:vAlign w:val="bottom"/>
            <w:hideMark/>
          </w:tcPr>
          <w:p w:rsidR="00B87654" w:rsidRPr="00015EC1" w:rsidRDefault="00B87654" w:rsidP="00AE0816">
            <w:pPr>
              <w:rPr>
                <w:rFonts w:ascii="Calibri" w:hAnsi="Calibri" w:cs="Times New Roman"/>
                <w:b/>
                <w:sz w:val="22"/>
                <w:szCs w:val="22"/>
                <w:lang w:val="en-US"/>
              </w:rPr>
            </w:pPr>
          </w:p>
        </w:tc>
        <w:tc>
          <w:tcPr>
            <w:tcW w:w="1350" w:type="dxa"/>
            <w:tcBorders>
              <w:top w:val="single" w:sz="4" w:space="0" w:color="auto"/>
              <w:left w:val="nil"/>
              <w:bottom w:val="nil"/>
              <w:right w:val="nil"/>
            </w:tcBorders>
            <w:shd w:val="clear" w:color="auto" w:fill="auto"/>
            <w:hideMark/>
          </w:tcPr>
          <w:p w:rsidR="00B87654" w:rsidRPr="00015EC1" w:rsidRDefault="007C3E40" w:rsidP="00A009E7">
            <w:pPr>
              <w:rPr>
                <w:rFonts w:ascii="Calibri" w:hAnsi="Calibri" w:cs="Times New Roman"/>
                <w:b/>
                <w:bCs/>
                <w:sz w:val="22"/>
                <w:szCs w:val="22"/>
                <w:lang w:val="en-US"/>
              </w:rPr>
            </w:pPr>
            <w:r w:rsidRPr="00015EC1">
              <w:rPr>
                <w:rFonts w:ascii="Calibri" w:hAnsi="Calibri" w:cs="Calibri"/>
                <w:b/>
                <w:bCs/>
                <w:sz w:val="22"/>
                <w:szCs w:val="22"/>
              </w:rPr>
              <w:t>7</w:t>
            </w:r>
            <w:r w:rsidR="00522991" w:rsidRPr="00015EC1">
              <w:rPr>
                <w:rFonts w:ascii="Calibri" w:hAnsi="Calibri" w:cs="Calibri"/>
                <w:b/>
                <w:bCs/>
                <w:sz w:val="22"/>
                <w:szCs w:val="22"/>
              </w:rPr>
              <w:t>.</w:t>
            </w:r>
            <w:r w:rsidRPr="00015EC1">
              <w:rPr>
                <w:rFonts w:ascii="Calibri" w:hAnsi="Calibri" w:cs="Calibri"/>
                <w:b/>
                <w:bCs/>
                <w:sz w:val="22"/>
                <w:szCs w:val="22"/>
              </w:rPr>
              <w:t>990</w:t>
            </w:r>
            <w:r w:rsidR="00B0159D" w:rsidRPr="00015EC1">
              <w:rPr>
                <w:rFonts w:ascii="Calibri" w:hAnsi="Calibri" w:cs="Calibri"/>
                <w:b/>
                <w:bCs/>
                <w:sz w:val="22"/>
                <w:szCs w:val="22"/>
              </w:rPr>
              <w:t>.</w:t>
            </w:r>
            <w:r w:rsidRPr="00015EC1">
              <w:rPr>
                <w:rFonts w:ascii="Calibri" w:hAnsi="Calibri" w:cs="Calibri"/>
                <w:b/>
                <w:bCs/>
                <w:sz w:val="22"/>
                <w:szCs w:val="22"/>
              </w:rPr>
              <w:t>776</w:t>
            </w:r>
          </w:p>
        </w:tc>
        <w:tc>
          <w:tcPr>
            <w:tcW w:w="900" w:type="dxa"/>
            <w:vMerge/>
            <w:tcBorders>
              <w:left w:val="nil"/>
              <w:bottom w:val="nil"/>
              <w:right w:val="nil"/>
            </w:tcBorders>
          </w:tcPr>
          <w:p w:rsidR="00B87654" w:rsidRPr="003315C5" w:rsidRDefault="00B87654" w:rsidP="00AE0816">
            <w:pPr>
              <w:jc w:val="right"/>
              <w:rPr>
                <w:rFonts w:ascii="Calibri" w:hAnsi="Calibri" w:cs="Calibri"/>
                <w:b/>
                <w:bCs/>
                <w:sz w:val="22"/>
                <w:szCs w:val="22"/>
                <w:highlight w:val="yellow"/>
              </w:rPr>
            </w:pPr>
          </w:p>
        </w:tc>
      </w:tr>
    </w:tbl>
    <w:p w:rsidR="00B87654" w:rsidRPr="00015EC1" w:rsidRDefault="00CA3120" w:rsidP="001065DF">
      <w:pPr>
        <w:pStyle w:val="Heading2"/>
        <w:numPr>
          <w:ilvl w:val="0"/>
          <w:numId w:val="0"/>
        </w:numPr>
        <w:tabs>
          <w:tab w:val="left" w:pos="0"/>
        </w:tabs>
        <w:spacing w:before="60" w:after="120"/>
        <w:rPr>
          <w:rFonts w:ascii="Calibri" w:hAnsi="Calibri" w:cs="Calibri"/>
          <w:b w:val="0"/>
          <w:sz w:val="22"/>
          <w:szCs w:val="22"/>
        </w:rPr>
      </w:pPr>
      <w:r w:rsidRPr="00015EC1">
        <w:rPr>
          <w:rFonts w:ascii="Calibri" w:hAnsi="Calibri" w:cs="Calibri"/>
          <w:sz w:val="22"/>
          <w:szCs w:val="22"/>
        </w:rPr>
        <w:t>Koeficijenti obrta</w:t>
      </w:r>
      <w:r w:rsidRPr="00015EC1">
        <w:rPr>
          <w:rFonts w:ascii="Calibri" w:hAnsi="Calibri" w:cs="Calibri"/>
          <w:b w:val="0"/>
          <w:sz w:val="22"/>
          <w:szCs w:val="22"/>
        </w:rPr>
        <w:t xml:space="preserve"> pokazuju koliko efikasno menadžment angažuje povjerenu mu imovinu</w:t>
      </w:r>
      <w:r w:rsidR="00CB44E0" w:rsidRPr="00015EC1">
        <w:rPr>
          <w:rFonts w:ascii="Calibri" w:hAnsi="Calibri" w:cs="Calibri"/>
          <w:b w:val="0"/>
          <w:sz w:val="22"/>
          <w:szCs w:val="22"/>
        </w:rPr>
        <w:t>.</w:t>
      </w:r>
    </w:p>
    <w:p w:rsidR="002B7681" w:rsidRPr="00015EC1" w:rsidRDefault="002B7681" w:rsidP="00CB44E0">
      <w:pPr>
        <w:rPr>
          <w:rFonts w:asciiTheme="minorHAnsi" w:hAnsiTheme="minorHAnsi"/>
          <w:b/>
          <w:sz w:val="22"/>
          <w:szCs w:val="22"/>
        </w:rPr>
      </w:pPr>
    </w:p>
    <w:p w:rsidR="00CB44E0" w:rsidRPr="00015EC1" w:rsidRDefault="00CB44E0" w:rsidP="00CB44E0">
      <w:pPr>
        <w:rPr>
          <w:rFonts w:asciiTheme="minorHAnsi" w:hAnsiTheme="minorHAnsi"/>
          <w:sz w:val="22"/>
          <w:szCs w:val="22"/>
        </w:rPr>
      </w:pPr>
      <w:r w:rsidRPr="00015EC1">
        <w:rPr>
          <w:rFonts w:asciiTheme="minorHAnsi" w:hAnsiTheme="minorHAnsi"/>
          <w:b/>
          <w:sz w:val="22"/>
          <w:szCs w:val="22"/>
        </w:rPr>
        <w:t>Koeficijent obrta ukupne imovine</w:t>
      </w:r>
      <w:r w:rsidRPr="00015EC1">
        <w:rPr>
          <w:rFonts w:asciiTheme="minorHAnsi" w:hAnsiTheme="minorHAnsi"/>
          <w:sz w:val="22"/>
          <w:szCs w:val="22"/>
        </w:rPr>
        <w:t xml:space="preserve"> pokazuje koliko se puta obrne ukupna imovina u toku jedne godine.</w:t>
      </w:r>
    </w:p>
    <w:tbl>
      <w:tblPr>
        <w:tblW w:w="8128" w:type="dxa"/>
        <w:tblInd w:w="98" w:type="dxa"/>
        <w:tblLayout w:type="fixed"/>
        <w:tblLook w:val="04A0" w:firstRow="1" w:lastRow="0" w:firstColumn="1" w:lastColumn="0" w:noHBand="0" w:noVBand="1"/>
      </w:tblPr>
      <w:tblGrid>
        <w:gridCol w:w="2278"/>
        <w:gridCol w:w="270"/>
        <w:gridCol w:w="2880"/>
        <w:gridCol w:w="450"/>
        <w:gridCol w:w="1350"/>
        <w:gridCol w:w="900"/>
      </w:tblGrid>
      <w:tr w:rsidR="009D6209" w:rsidRPr="003315C5" w:rsidTr="00AE0816">
        <w:trPr>
          <w:trHeight w:val="360"/>
        </w:trPr>
        <w:tc>
          <w:tcPr>
            <w:tcW w:w="2278" w:type="dxa"/>
            <w:vMerge w:val="restart"/>
            <w:tcBorders>
              <w:top w:val="nil"/>
              <w:left w:val="nil"/>
            </w:tcBorders>
            <w:shd w:val="clear" w:color="auto" w:fill="auto"/>
            <w:noWrap/>
            <w:vAlign w:val="center"/>
            <w:hideMark/>
          </w:tcPr>
          <w:p w:rsidR="00731410" w:rsidRPr="00015EC1" w:rsidRDefault="00731410" w:rsidP="00CB44E0">
            <w:pPr>
              <w:rPr>
                <w:rFonts w:ascii="Calibri" w:hAnsi="Calibri"/>
                <w:b/>
                <w:sz w:val="22"/>
                <w:szCs w:val="22"/>
                <w:lang w:val="sr-Latn-CS"/>
              </w:rPr>
            </w:pPr>
          </w:p>
          <w:p w:rsidR="00CB44E0" w:rsidRPr="00015EC1" w:rsidRDefault="00CB44E0" w:rsidP="00CB44E0">
            <w:pPr>
              <w:rPr>
                <w:rFonts w:ascii="Calibri" w:hAnsi="Calibri"/>
                <w:b/>
                <w:sz w:val="22"/>
                <w:szCs w:val="22"/>
                <w:lang w:val="sr-Latn-CS"/>
              </w:rPr>
            </w:pPr>
            <w:r w:rsidRPr="00015EC1">
              <w:rPr>
                <w:rFonts w:ascii="Calibri" w:hAnsi="Calibri"/>
                <w:b/>
                <w:sz w:val="22"/>
                <w:szCs w:val="22"/>
                <w:lang w:val="sr-Latn-CS"/>
              </w:rPr>
              <w:t>Koeficijent</w:t>
            </w:r>
            <w:r w:rsidR="005A110F" w:rsidRPr="00015EC1">
              <w:rPr>
                <w:rFonts w:ascii="Calibri" w:hAnsi="Calibri"/>
                <w:b/>
                <w:sz w:val="22"/>
                <w:szCs w:val="22"/>
                <w:lang w:val="sr-Latn-CS"/>
              </w:rPr>
              <w:t xml:space="preserve"> </w:t>
            </w:r>
            <w:r w:rsidRPr="00015EC1">
              <w:rPr>
                <w:rFonts w:ascii="Calibri" w:hAnsi="Calibri"/>
                <w:b/>
                <w:sz w:val="22"/>
                <w:szCs w:val="22"/>
                <w:lang w:val="sr-Latn-CS"/>
              </w:rPr>
              <w:t>obrta ukupne imovine</w:t>
            </w:r>
          </w:p>
          <w:p w:rsidR="005A110F" w:rsidRPr="00015EC1" w:rsidRDefault="005A110F" w:rsidP="00CB44E0">
            <w:pPr>
              <w:rPr>
                <w:rFonts w:ascii="Calibri" w:hAnsi="Calibri" w:cs="Times New Roman"/>
                <w:b/>
                <w:sz w:val="22"/>
                <w:szCs w:val="22"/>
                <w:lang w:val="en-US"/>
              </w:rPr>
            </w:pPr>
          </w:p>
        </w:tc>
        <w:tc>
          <w:tcPr>
            <w:tcW w:w="270" w:type="dxa"/>
            <w:vMerge w:val="restart"/>
            <w:tcBorders>
              <w:top w:val="nil"/>
            </w:tcBorders>
            <w:shd w:val="clear" w:color="auto" w:fill="auto"/>
            <w:vAlign w:val="center"/>
          </w:tcPr>
          <w:p w:rsidR="00CB44E0" w:rsidRPr="00015EC1" w:rsidRDefault="00CB44E0" w:rsidP="00AE0816">
            <w:pPr>
              <w:rPr>
                <w:rFonts w:ascii="Calibri" w:hAnsi="Calibri" w:cs="Times New Roman"/>
                <w:b/>
                <w:sz w:val="22"/>
                <w:szCs w:val="22"/>
                <w:lang w:val="en-US"/>
              </w:rPr>
            </w:pPr>
            <w:r w:rsidRPr="00015EC1">
              <w:rPr>
                <w:rFonts w:ascii="Calibri" w:hAnsi="Calibri" w:cs="Times New Roman"/>
                <w:b/>
                <w:sz w:val="22"/>
                <w:szCs w:val="22"/>
                <w:lang w:val="en-US"/>
              </w:rPr>
              <w:t>=</w:t>
            </w:r>
          </w:p>
        </w:tc>
        <w:tc>
          <w:tcPr>
            <w:tcW w:w="2880" w:type="dxa"/>
            <w:tcBorders>
              <w:top w:val="nil"/>
              <w:left w:val="nil"/>
              <w:bottom w:val="single" w:sz="4" w:space="0" w:color="auto"/>
              <w:right w:val="nil"/>
            </w:tcBorders>
            <w:shd w:val="clear" w:color="auto" w:fill="auto"/>
            <w:vAlign w:val="bottom"/>
            <w:hideMark/>
          </w:tcPr>
          <w:p w:rsidR="00CB44E0" w:rsidRPr="00015EC1" w:rsidRDefault="00CB44E0" w:rsidP="00AE0816">
            <w:pPr>
              <w:jc w:val="center"/>
              <w:rPr>
                <w:rFonts w:ascii="Calibri" w:hAnsi="Calibri" w:cs="Times New Roman"/>
                <w:b/>
                <w:bCs/>
                <w:sz w:val="22"/>
                <w:szCs w:val="22"/>
                <w:lang w:val="en-US"/>
              </w:rPr>
            </w:pPr>
            <w:r w:rsidRPr="00015EC1">
              <w:rPr>
                <w:rFonts w:ascii="Calibri" w:hAnsi="Calibri" w:cs="Calibri"/>
                <w:b/>
                <w:sz w:val="22"/>
                <w:szCs w:val="22"/>
              </w:rPr>
              <w:t>Ukupan prihod</w:t>
            </w:r>
          </w:p>
        </w:tc>
        <w:tc>
          <w:tcPr>
            <w:tcW w:w="450" w:type="dxa"/>
            <w:vMerge w:val="restart"/>
            <w:tcBorders>
              <w:top w:val="nil"/>
              <w:left w:val="nil"/>
              <w:right w:val="nil"/>
            </w:tcBorders>
            <w:shd w:val="clear" w:color="auto" w:fill="auto"/>
            <w:noWrap/>
            <w:vAlign w:val="center"/>
            <w:hideMark/>
          </w:tcPr>
          <w:p w:rsidR="00CB44E0" w:rsidRPr="00015EC1" w:rsidRDefault="00CB44E0" w:rsidP="00AE0816">
            <w:pPr>
              <w:jc w:val="center"/>
              <w:rPr>
                <w:rFonts w:ascii="Calibri" w:hAnsi="Calibri" w:cs="Times New Roman"/>
                <w:b/>
                <w:bCs/>
                <w:sz w:val="22"/>
                <w:szCs w:val="22"/>
                <w:lang w:val="en-US"/>
              </w:rPr>
            </w:pPr>
            <w:r w:rsidRPr="00015EC1">
              <w:rPr>
                <w:rFonts w:ascii="Calibri" w:hAnsi="Calibri" w:cs="Times New Roman"/>
                <w:b/>
                <w:bCs/>
                <w:sz w:val="22"/>
                <w:szCs w:val="22"/>
                <w:lang w:val="en-US"/>
              </w:rPr>
              <w:t>=</w:t>
            </w:r>
          </w:p>
        </w:tc>
        <w:tc>
          <w:tcPr>
            <w:tcW w:w="1350" w:type="dxa"/>
            <w:tcBorders>
              <w:top w:val="nil"/>
              <w:left w:val="nil"/>
              <w:bottom w:val="single" w:sz="4" w:space="0" w:color="auto"/>
              <w:right w:val="nil"/>
            </w:tcBorders>
            <w:shd w:val="clear" w:color="auto" w:fill="auto"/>
            <w:vAlign w:val="bottom"/>
            <w:hideMark/>
          </w:tcPr>
          <w:p w:rsidR="00CB44E0" w:rsidRPr="00015EC1" w:rsidRDefault="00B0159D" w:rsidP="00921A4F">
            <w:pPr>
              <w:rPr>
                <w:rFonts w:ascii="Calibri" w:hAnsi="Calibri" w:cs="Times New Roman"/>
                <w:b/>
                <w:bCs/>
                <w:sz w:val="22"/>
                <w:szCs w:val="22"/>
                <w:lang w:val="en-US"/>
              </w:rPr>
            </w:pPr>
            <w:r w:rsidRPr="00015EC1">
              <w:rPr>
                <w:rFonts w:ascii="Calibri" w:hAnsi="Calibri" w:cs="Calibri"/>
                <w:b/>
                <w:bCs/>
                <w:sz w:val="22"/>
                <w:szCs w:val="22"/>
              </w:rPr>
              <w:t xml:space="preserve">   </w:t>
            </w:r>
            <w:r w:rsidR="007C3E40" w:rsidRPr="00015EC1">
              <w:rPr>
                <w:rFonts w:ascii="Calibri" w:hAnsi="Calibri" w:cs="Calibri"/>
                <w:b/>
                <w:bCs/>
                <w:sz w:val="22"/>
                <w:szCs w:val="22"/>
              </w:rPr>
              <w:t>167</w:t>
            </w:r>
            <w:r w:rsidR="00DC5261" w:rsidRPr="00015EC1">
              <w:rPr>
                <w:rFonts w:ascii="Calibri" w:hAnsi="Calibri" w:cs="Calibri"/>
                <w:b/>
                <w:bCs/>
                <w:sz w:val="22"/>
                <w:szCs w:val="22"/>
              </w:rPr>
              <w:t>.</w:t>
            </w:r>
            <w:r w:rsidR="007C3E40" w:rsidRPr="00015EC1">
              <w:rPr>
                <w:rFonts w:ascii="Calibri" w:hAnsi="Calibri" w:cs="Calibri"/>
                <w:b/>
                <w:bCs/>
                <w:sz w:val="22"/>
                <w:szCs w:val="22"/>
              </w:rPr>
              <w:t>607</w:t>
            </w:r>
          </w:p>
        </w:tc>
        <w:tc>
          <w:tcPr>
            <w:tcW w:w="900" w:type="dxa"/>
            <w:vMerge w:val="restart"/>
            <w:tcBorders>
              <w:top w:val="nil"/>
              <w:left w:val="nil"/>
              <w:right w:val="nil"/>
            </w:tcBorders>
            <w:vAlign w:val="center"/>
          </w:tcPr>
          <w:p w:rsidR="005F55B5" w:rsidRPr="00015EC1" w:rsidRDefault="005F55B5" w:rsidP="00CB44E0">
            <w:pPr>
              <w:rPr>
                <w:rFonts w:ascii="Calibri" w:hAnsi="Calibri" w:cs="Calibri"/>
                <w:b/>
                <w:bCs/>
                <w:sz w:val="22"/>
                <w:szCs w:val="22"/>
              </w:rPr>
            </w:pPr>
          </w:p>
          <w:p w:rsidR="00CB44E0" w:rsidRPr="00015EC1" w:rsidRDefault="00CB44E0" w:rsidP="00CB44E0">
            <w:pPr>
              <w:rPr>
                <w:rFonts w:ascii="Calibri" w:hAnsi="Calibri" w:cs="Calibri"/>
                <w:b/>
                <w:bCs/>
                <w:sz w:val="22"/>
                <w:szCs w:val="22"/>
              </w:rPr>
            </w:pPr>
            <w:r w:rsidRPr="00015EC1">
              <w:rPr>
                <w:rFonts w:ascii="Calibri" w:hAnsi="Calibri" w:cs="Calibri"/>
                <w:b/>
                <w:bCs/>
                <w:sz w:val="22"/>
                <w:szCs w:val="22"/>
              </w:rPr>
              <w:t>= 0,</w:t>
            </w:r>
            <w:r w:rsidR="00337C9E" w:rsidRPr="00015EC1">
              <w:rPr>
                <w:rFonts w:ascii="Calibri" w:hAnsi="Calibri" w:cs="Calibri"/>
                <w:b/>
                <w:bCs/>
                <w:sz w:val="22"/>
                <w:szCs w:val="22"/>
              </w:rPr>
              <w:t>0</w:t>
            </w:r>
            <w:r w:rsidR="00FE7EE0" w:rsidRPr="00015EC1">
              <w:rPr>
                <w:rFonts w:ascii="Calibri" w:hAnsi="Calibri" w:cs="Calibri"/>
                <w:b/>
                <w:bCs/>
                <w:sz w:val="22"/>
                <w:szCs w:val="22"/>
              </w:rPr>
              <w:t>2</w:t>
            </w:r>
          </w:p>
          <w:p w:rsidR="0002382B" w:rsidRPr="00015EC1" w:rsidRDefault="0002382B" w:rsidP="00CB44E0">
            <w:pPr>
              <w:rPr>
                <w:rFonts w:ascii="Calibri" w:hAnsi="Calibri" w:cs="Calibri"/>
                <w:b/>
                <w:bCs/>
                <w:sz w:val="22"/>
                <w:szCs w:val="22"/>
              </w:rPr>
            </w:pPr>
          </w:p>
        </w:tc>
      </w:tr>
      <w:tr w:rsidR="009D6209" w:rsidRPr="003315C5" w:rsidTr="00AE0816">
        <w:trPr>
          <w:trHeight w:val="367"/>
        </w:trPr>
        <w:tc>
          <w:tcPr>
            <w:tcW w:w="2278" w:type="dxa"/>
            <w:vMerge/>
            <w:tcBorders>
              <w:left w:val="nil"/>
              <w:bottom w:val="nil"/>
            </w:tcBorders>
            <w:shd w:val="clear" w:color="auto" w:fill="auto"/>
            <w:noWrap/>
            <w:vAlign w:val="bottom"/>
            <w:hideMark/>
          </w:tcPr>
          <w:p w:rsidR="00CB44E0" w:rsidRPr="003315C5" w:rsidRDefault="00CB44E0" w:rsidP="00AE0816">
            <w:pPr>
              <w:rPr>
                <w:rFonts w:ascii="Calibri" w:hAnsi="Calibri" w:cs="Times New Roman"/>
                <w:b/>
                <w:sz w:val="22"/>
                <w:szCs w:val="22"/>
                <w:highlight w:val="yellow"/>
                <w:lang w:val="en-US"/>
              </w:rPr>
            </w:pPr>
          </w:p>
        </w:tc>
        <w:tc>
          <w:tcPr>
            <w:tcW w:w="270" w:type="dxa"/>
            <w:vMerge/>
            <w:tcBorders>
              <w:bottom w:val="nil"/>
            </w:tcBorders>
            <w:shd w:val="clear" w:color="auto" w:fill="auto"/>
            <w:vAlign w:val="bottom"/>
          </w:tcPr>
          <w:p w:rsidR="00CB44E0" w:rsidRPr="003315C5" w:rsidRDefault="00CB44E0" w:rsidP="00AE0816">
            <w:pPr>
              <w:rPr>
                <w:rFonts w:ascii="Calibri" w:hAnsi="Calibri" w:cs="Times New Roman"/>
                <w:b/>
                <w:sz w:val="22"/>
                <w:szCs w:val="22"/>
                <w:highlight w:val="yellow"/>
                <w:lang w:val="en-US"/>
              </w:rPr>
            </w:pPr>
          </w:p>
        </w:tc>
        <w:tc>
          <w:tcPr>
            <w:tcW w:w="2880" w:type="dxa"/>
            <w:tcBorders>
              <w:top w:val="single" w:sz="4" w:space="0" w:color="auto"/>
              <w:left w:val="nil"/>
              <w:bottom w:val="nil"/>
              <w:right w:val="nil"/>
            </w:tcBorders>
            <w:shd w:val="clear" w:color="auto" w:fill="auto"/>
            <w:noWrap/>
            <w:hideMark/>
          </w:tcPr>
          <w:p w:rsidR="00CB44E0" w:rsidRPr="00015EC1" w:rsidRDefault="00CB44E0" w:rsidP="00AE0816">
            <w:pPr>
              <w:jc w:val="center"/>
              <w:rPr>
                <w:rFonts w:ascii="Calibri" w:hAnsi="Calibri" w:cs="Times New Roman"/>
                <w:b/>
                <w:bCs/>
                <w:sz w:val="22"/>
                <w:szCs w:val="22"/>
                <w:lang w:val="en-US"/>
              </w:rPr>
            </w:pPr>
            <w:r w:rsidRPr="00015EC1">
              <w:rPr>
                <w:rFonts w:ascii="Calibri" w:hAnsi="Calibri" w:cs="Calibri"/>
                <w:b/>
                <w:sz w:val="22"/>
                <w:szCs w:val="22"/>
              </w:rPr>
              <w:t>Ukupna imovina</w:t>
            </w:r>
          </w:p>
        </w:tc>
        <w:tc>
          <w:tcPr>
            <w:tcW w:w="450" w:type="dxa"/>
            <w:vMerge/>
            <w:tcBorders>
              <w:left w:val="nil"/>
              <w:bottom w:val="nil"/>
              <w:right w:val="nil"/>
            </w:tcBorders>
            <w:shd w:val="clear" w:color="auto" w:fill="auto"/>
            <w:noWrap/>
            <w:vAlign w:val="bottom"/>
            <w:hideMark/>
          </w:tcPr>
          <w:p w:rsidR="00CB44E0" w:rsidRPr="00015EC1" w:rsidRDefault="00CB44E0" w:rsidP="00AE0816">
            <w:pPr>
              <w:rPr>
                <w:rFonts w:ascii="Calibri" w:hAnsi="Calibri" w:cs="Times New Roman"/>
                <w:b/>
                <w:sz w:val="22"/>
                <w:szCs w:val="22"/>
                <w:lang w:val="en-US"/>
              </w:rPr>
            </w:pPr>
          </w:p>
        </w:tc>
        <w:tc>
          <w:tcPr>
            <w:tcW w:w="1350" w:type="dxa"/>
            <w:tcBorders>
              <w:top w:val="single" w:sz="4" w:space="0" w:color="auto"/>
              <w:left w:val="nil"/>
              <w:bottom w:val="nil"/>
              <w:right w:val="nil"/>
            </w:tcBorders>
            <w:shd w:val="clear" w:color="auto" w:fill="auto"/>
            <w:hideMark/>
          </w:tcPr>
          <w:p w:rsidR="005A110F" w:rsidRPr="00015EC1" w:rsidRDefault="00FE7EE0" w:rsidP="00921A4F">
            <w:pPr>
              <w:rPr>
                <w:rFonts w:ascii="Calibri" w:hAnsi="Calibri" w:cs="Times New Roman"/>
                <w:b/>
                <w:bCs/>
                <w:sz w:val="22"/>
                <w:szCs w:val="22"/>
                <w:lang w:val="en-US"/>
              </w:rPr>
            </w:pPr>
            <w:r w:rsidRPr="00015EC1">
              <w:rPr>
                <w:rFonts w:ascii="Calibri" w:hAnsi="Calibri" w:cs="Calibri"/>
                <w:b/>
                <w:bCs/>
                <w:sz w:val="22"/>
                <w:szCs w:val="22"/>
              </w:rPr>
              <w:t>7</w:t>
            </w:r>
            <w:r w:rsidR="00DC5261" w:rsidRPr="00015EC1">
              <w:rPr>
                <w:rFonts w:ascii="Calibri" w:hAnsi="Calibri" w:cs="Calibri"/>
                <w:b/>
                <w:bCs/>
                <w:sz w:val="22"/>
                <w:szCs w:val="22"/>
              </w:rPr>
              <w:t>.</w:t>
            </w:r>
            <w:r w:rsidRPr="00015EC1">
              <w:rPr>
                <w:rFonts w:ascii="Calibri" w:hAnsi="Calibri" w:cs="Calibri"/>
                <w:b/>
                <w:bCs/>
                <w:sz w:val="22"/>
                <w:szCs w:val="22"/>
              </w:rPr>
              <w:t>990</w:t>
            </w:r>
            <w:r w:rsidR="00B0159D" w:rsidRPr="00015EC1">
              <w:rPr>
                <w:rFonts w:ascii="Calibri" w:hAnsi="Calibri" w:cs="Calibri"/>
                <w:b/>
                <w:bCs/>
                <w:sz w:val="22"/>
                <w:szCs w:val="22"/>
              </w:rPr>
              <w:t>.</w:t>
            </w:r>
            <w:r w:rsidRPr="00015EC1">
              <w:rPr>
                <w:rFonts w:ascii="Calibri" w:hAnsi="Calibri" w:cs="Calibri"/>
                <w:b/>
                <w:bCs/>
                <w:sz w:val="22"/>
                <w:szCs w:val="22"/>
              </w:rPr>
              <w:t>776</w:t>
            </w:r>
          </w:p>
        </w:tc>
        <w:tc>
          <w:tcPr>
            <w:tcW w:w="900" w:type="dxa"/>
            <w:vMerge/>
            <w:tcBorders>
              <w:left w:val="nil"/>
              <w:bottom w:val="nil"/>
              <w:right w:val="nil"/>
            </w:tcBorders>
          </w:tcPr>
          <w:p w:rsidR="00CB44E0" w:rsidRPr="003315C5" w:rsidRDefault="00CB44E0" w:rsidP="00AE0816">
            <w:pPr>
              <w:jc w:val="right"/>
              <w:rPr>
                <w:rFonts w:ascii="Calibri" w:hAnsi="Calibri" w:cs="Calibri"/>
                <w:b/>
                <w:bCs/>
                <w:sz w:val="22"/>
                <w:szCs w:val="22"/>
                <w:highlight w:val="yellow"/>
              </w:rPr>
            </w:pPr>
          </w:p>
        </w:tc>
      </w:tr>
    </w:tbl>
    <w:p w:rsidR="005F55B5" w:rsidRPr="003315C5" w:rsidRDefault="005F55B5" w:rsidP="00F91936">
      <w:pPr>
        <w:rPr>
          <w:rFonts w:asciiTheme="minorHAnsi" w:hAnsiTheme="minorHAnsi"/>
          <w:sz w:val="22"/>
          <w:szCs w:val="22"/>
          <w:highlight w:val="yellow"/>
        </w:rPr>
      </w:pPr>
    </w:p>
    <w:p w:rsidR="002F317F" w:rsidRPr="003315C5" w:rsidRDefault="002F317F" w:rsidP="00F91936">
      <w:pPr>
        <w:rPr>
          <w:rFonts w:asciiTheme="minorHAnsi" w:hAnsiTheme="minorHAnsi"/>
          <w:b/>
          <w:sz w:val="22"/>
          <w:szCs w:val="22"/>
          <w:highlight w:val="yellow"/>
        </w:rPr>
      </w:pPr>
    </w:p>
    <w:p w:rsidR="00F91936" w:rsidRPr="00015EC1" w:rsidRDefault="00F91936" w:rsidP="00F91936">
      <w:pPr>
        <w:rPr>
          <w:rFonts w:asciiTheme="minorHAnsi" w:hAnsiTheme="minorHAnsi"/>
          <w:sz w:val="22"/>
          <w:szCs w:val="22"/>
        </w:rPr>
      </w:pPr>
      <w:r w:rsidRPr="00015EC1">
        <w:rPr>
          <w:rFonts w:asciiTheme="minorHAnsi" w:hAnsiTheme="minorHAnsi"/>
          <w:b/>
          <w:sz w:val="22"/>
          <w:szCs w:val="22"/>
        </w:rPr>
        <w:t xml:space="preserve">Koeficijent obrta </w:t>
      </w:r>
      <w:r w:rsidR="00731410" w:rsidRPr="00015EC1">
        <w:rPr>
          <w:rFonts w:asciiTheme="minorHAnsi" w:hAnsiTheme="minorHAnsi"/>
          <w:b/>
          <w:sz w:val="22"/>
          <w:szCs w:val="22"/>
        </w:rPr>
        <w:t xml:space="preserve">kratkoročne </w:t>
      </w:r>
      <w:r w:rsidRPr="00015EC1">
        <w:rPr>
          <w:rFonts w:asciiTheme="minorHAnsi" w:hAnsiTheme="minorHAnsi"/>
          <w:b/>
          <w:sz w:val="22"/>
          <w:szCs w:val="22"/>
        </w:rPr>
        <w:t xml:space="preserve">  imovine</w:t>
      </w:r>
      <w:r w:rsidRPr="00015EC1">
        <w:rPr>
          <w:rFonts w:asciiTheme="minorHAnsi" w:hAnsiTheme="minorHAnsi"/>
          <w:sz w:val="22"/>
          <w:szCs w:val="22"/>
        </w:rPr>
        <w:t xml:space="preserve"> pokazuje koliko se puta obrne kratko</w:t>
      </w:r>
      <w:r w:rsidR="00731410" w:rsidRPr="00015EC1">
        <w:rPr>
          <w:rFonts w:asciiTheme="minorHAnsi" w:hAnsiTheme="minorHAnsi"/>
          <w:sz w:val="22"/>
          <w:szCs w:val="22"/>
        </w:rPr>
        <w:t>ročna</w:t>
      </w:r>
      <w:r w:rsidRPr="00015EC1">
        <w:rPr>
          <w:rFonts w:asciiTheme="minorHAnsi" w:hAnsiTheme="minorHAnsi"/>
          <w:sz w:val="22"/>
          <w:szCs w:val="22"/>
        </w:rPr>
        <w:t xml:space="preserve">  imovina u toku jedne godine.</w:t>
      </w:r>
    </w:p>
    <w:p w:rsidR="00F91936" w:rsidRPr="00015EC1" w:rsidRDefault="00F91936" w:rsidP="00F91936">
      <w:pPr>
        <w:rPr>
          <w:rFonts w:asciiTheme="minorHAnsi" w:hAnsiTheme="minorHAnsi"/>
          <w:sz w:val="22"/>
          <w:szCs w:val="22"/>
        </w:rPr>
      </w:pPr>
      <w:r w:rsidRPr="00015EC1">
        <w:rPr>
          <w:rFonts w:asciiTheme="minorHAnsi" w:hAnsiTheme="minorHAnsi"/>
          <w:sz w:val="22"/>
          <w:szCs w:val="22"/>
        </w:rPr>
        <w:t>Mjeri</w:t>
      </w:r>
      <w:r w:rsidR="00731410" w:rsidRPr="00015EC1">
        <w:rPr>
          <w:rFonts w:asciiTheme="minorHAnsi" w:hAnsiTheme="minorHAnsi"/>
          <w:sz w:val="22"/>
          <w:szCs w:val="22"/>
        </w:rPr>
        <w:t xml:space="preserve"> </w:t>
      </w:r>
      <w:r w:rsidRPr="00015EC1">
        <w:rPr>
          <w:rFonts w:asciiTheme="minorHAnsi" w:hAnsiTheme="minorHAnsi"/>
          <w:sz w:val="22"/>
          <w:szCs w:val="22"/>
        </w:rPr>
        <w:t xml:space="preserve"> relativnu efikasnost kojom društvo koristi kratko</w:t>
      </w:r>
      <w:r w:rsidR="00731410" w:rsidRPr="00015EC1">
        <w:rPr>
          <w:rFonts w:asciiTheme="minorHAnsi" w:hAnsiTheme="minorHAnsi"/>
          <w:sz w:val="22"/>
          <w:szCs w:val="22"/>
        </w:rPr>
        <w:t xml:space="preserve">ročnu </w:t>
      </w:r>
      <w:r w:rsidRPr="00015EC1">
        <w:rPr>
          <w:rFonts w:asciiTheme="minorHAnsi" w:hAnsiTheme="minorHAnsi"/>
          <w:sz w:val="22"/>
          <w:szCs w:val="22"/>
        </w:rPr>
        <w:t xml:space="preserve"> imovinu za stvaranje prihoda.</w:t>
      </w:r>
    </w:p>
    <w:tbl>
      <w:tblPr>
        <w:tblW w:w="8128" w:type="dxa"/>
        <w:tblInd w:w="98" w:type="dxa"/>
        <w:tblLayout w:type="fixed"/>
        <w:tblLook w:val="04A0" w:firstRow="1" w:lastRow="0" w:firstColumn="1" w:lastColumn="0" w:noHBand="0" w:noVBand="1"/>
      </w:tblPr>
      <w:tblGrid>
        <w:gridCol w:w="2278"/>
        <w:gridCol w:w="270"/>
        <w:gridCol w:w="2880"/>
        <w:gridCol w:w="450"/>
        <w:gridCol w:w="1350"/>
        <w:gridCol w:w="900"/>
      </w:tblGrid>
      <w:tr w:rsidR="009D6209" w:rsidRPr="003315C5" w:rsidTr="00AE0816">
        <w:trPr>
          <w:trHeight w:val="360"/>
        </w:trPr>
        <w:tc>
          <w:tcPr>
            <w:tcW w:w="2278" w:type="dxa"/>
            <w:vMerge w:val="restart"/>
            <w:tcBorders>
              <w:top w:val="nil"/>
              <w:left w:val="nil"/>
            </w:tcBorders>
            <w:shd w:val="clear" w:color="auto" w:fill="auto"/>
            <w:noWrap/>
            <w:vAlign w:val="center"/>
            <w:hideMark/>
          </w:tcPr>
          <w:p w:rsidR="00F91936" w:rsidRPr="00015EC1" w:rsidRDefault="00F91936" w:rsidP="00731410">
            <w:pPr>
              <w:rPr>
                <w:rFonts w:ascii="Calibri" w:hAnsi="Calibri" w:cs="Times New Roman"/>
                <w:b/>
                <w:sz w:val="22"/>
                <w:szCs w:val="22"/>
                <w:lang w:val="en-US"/>
              </w:rPr>
            </w:pPr>
            <w:r w:rsidRPr="00015EC1">
              <w:rPr>
                <w:rFonts w:ascii="Calibri" w:hAnsi="Calibri"/>
                <w:b/>
                <w:sz w:val="22"/>
                <w:szCs w:val="22"/>
                <w:lang w:val="sr-Latn-CS"/>
              </w:rPr>
              <w:t>Koeficijent</w:t>
            </w:r>
            <w:r w:rsidR="009C0CE2" w:rsidRPr="00015EC1">
              <w:rPr>
                <w:rFonts w:ascii="Calibri" w:hAnsi="Calibri"/>
                <w:b/>
                <w:sz w:val="22"/>
                <w:szCs w:val="22"/>
                <w:lang w:val="sr-Latn-CS"/>
              </w:rPr>
              <w:t xml:space="preserve"> </w:t>
            </w:r>
            <w:r w:rsidRPr="00015EC1">
              <w:rPr>
                <w:rFonts w:ascii="Calibri" w:hAnsi="Calibri"/>
                <w:b/>
                <w:sz w:val="22"/>
                <w:szCs w:val="22"/>
                <w:lang w:val="sr-Latn-CS"/>
              </w:rPr>
              <w:t>obrta kratko</w:t>
            </w:r>
            <w:r w:rsidR="00731410" w:rsidRPr="00015EC1">
              <w:rPr>
                <w:rFonts w:ascii="Calibri" w:hAnsi="Calibri"/>
                <w:b/>
                <w:sz w:val="22"/>
                <w:szCs w:val="22"/>
                <w:lang w:val="sr-Latn-CS"/>
              </w:rPr>
              <w:t>ročne</w:t>
            </w:r>
            <w:r w:rsidRPr="00015EC1">
              <w:rPr>
                <w:rFonts w:ascii="Calibri" w:hAnsi="Calibri"/>
                <w:b/>
                <w:sz w:val="22"/>
                <w:szCs w:val="22"/>
                <w:lang w:val="sr-Latn-CS"/>
              </w:rPr>
              <w:t xml:space="preserve">  imovine</w:t>
            </w:r>
          </w:p>
        </w:tc>
        <w:tc>
          <w:tcPr>
            <w:tcW w:w="270" w:type="dxa"/>
            <w:vMerge w:val="restart"/>
            <w:tcBorders>
              <w:top w:val="nil"/>
            </w:tcBorders>
            <w:shd w:val="clear" w:color="auto" w:fill="auto"/>
            <w:vAlign w:val="center"/>
          </w:tcPr>
          <w:p w:rsidR="00F91936" w:rsidRPr="00015EC1" w:rsidRDefault="00F91936" w:rsidP="00AE0816">
            <w:pPr>
              <w:rPr>
                <w:rFonts w:ascii="Calibri" w:hAnsi="Calibri" w:cs="Times New Roman"/>
                <w:b/>
                <w:sz w:val="22"/>
                <w:szCs w:val="22"/>
                <w:lang w:val="en-US"/>
              </w:rPr>
            </w:pPr>
            <w:r w:rsidRPr="00015EC1">
              <w:rPr>
                <w:rFonts w:ascii="Calibri" w:hAnsi="Calibri" w:cs="Times New Roman"/>
                <w:b/>
                <w:sz w:val="22"/>
                <w:szCs w:val="22"/>
                <w:lang w:val="en-US"/>
              </w:rPr>
              <w:t>=</w:t>
            </w:r>
          </w:p>
        </w:tc>
        <w:tc>
          <w:tcPr>
            <w:tcW w:w="2880" w:type="dxa"/>
            <w:tcBorders>
              <w:top w:val="nil"/>
              <w:left w:val="nil"/>
              <w:bottom w:val="single" w:sz="4" w:space="0" w:color="auto"/>
              <w:right w:val="nil"/>
            </w:tcBorders>
            <w:shd w:val="clear" w:color="auto" w:fill="auto"/>
            <w:vAlign w:val="bottom"/>
            <w:hideMark/>
          </w:tcPr>
          <w:p w:rsidR="00F91936" w:rsidRPr="00015EC1" w:rsidRDefault="00F91936" w:rsidP="00AE0816">
            <w:pPr>
              <w:jc w:val="center"/>
              <w:rPr>
                <w:rFonts w:ascii="Calibri" w:hAnsi="Calibri" w:cs="Times New Roman"/>
                <w:b/>
                <w:bCs/>
                <w:sz w:val="22"/>
                <w:szCs w:val="22"/>
                <w:lang w:val="en-US"/>
              </w:rPr>
            </w:pPr>
            <w:r w:rsidRPr="00015EC1">
              <w:rPr>
                <w:rFonts w:ascii="Calibri" w:hAnsi="Calibri" w:cs="Calibri"/>
                <w:b/>
                <w:sz w:val="22"/>
                <w:szCs w:val="22"/>
              </w:rPr>
              <w:t>Ukupan prihod</w:t>
            </w:r>
          </w:p>
        </w:tc>
        <w:tc>
          <w:tcPr>
            <w:tcW w:w="450" w:type="dxa"/>
            <w:vMerge w:val="restart"/>
            <w:tcBorders>
              <w:top w:val="nil"/>
              <w:left w:val="nil"/>
              <w:right w:val="nil"/>
            </w:tcBorders>
            <w:shd w:val="clear" w:color="auto" w:fill="auto"/>
            <w:noWrap/>
            <w:vAlign w:val="center"/>
            <w:hideMark/>
          </w:tcPr>
          <w:p w:rsidR="00F91936" w:rsidRPr="00015EC1" w:rsidRDefault="00F91936" w:rsidP="00AE0816">
            <w:pPr>
              <w:jc w:val="center"/>
              <w:rPr>
                <w:rFonts w:ascii="Calibri" w:hAnsi="Calibri" w:cs="Times New Roman"/>
                <w:b/>
                <w:bCs/>
                <w:sz w:val="22"/>
                <w:szCs w:val="22"/>
                <w:lang w:val="en-US"/>
              </w:rPr>
            </w:pPr>
            <w:r w:rsidRPr="00015EC1">
              <w:rPr>
                <w:rFonts w:ascii="Calibri" w:hAnsi="Calibri" w:cs="Times New Roman"/>
                <w:b/>
                <w:bCs/>
                <w:sz w:val="22"/>
                <w:szCs w:val="22"/>
                <w:lang w:val="en-US"/>
              </w:rPr>
              <w:t>=</w:t>
            </w:r>
          </w:p>
        </w:tc>
        <w:tc>
          <w:tcPr>
            <w:tcW w:w="1350" w:type="dxa"/>
            <w:tcBorders>
              <w:top w:val="nil"/>
              <w:left w:val="nil"/>
              <w:bottom w:val="single" w:sz="4" w:space="0" w:color="auto"/>
              <w:right w:val="nil"/>
            </w:tcBorders>
            <w:shd w:val="clear" w:color="auto" w:fill="auto"/>
            <w:vAlign w:val="bottom"/>
            <w:hideMark/>
          </w:tcPr>
          <w:p w:rsidR="00F91936" w:rsidRPr="00015EC1" w:rsidRDefault="00B0159D" w:rsidP="00AE0816">
            <w:pPr>
              <w:rPr>
                <w:rFonts w:ascii="Calibri" w:hAnsi="Calibri" w:cs="Times New Roman"/>
                <w:b/>
                <w:bCs/>
                <w:sz w:val="22"/>
                <w:szCs w:val="22"/>
                <w:lang w:val="en-US"/>
              </w:rPr>
            </w:pPr>
            <w:r w:rsidRPr="00015EC1">
              <w:rPr>
                <w:rFonts w:ascii="Calibri" w:hAnsi="Calibri" w:cs="Calibri"/>
                <w:b/>
                <w:bCs/>
                <w:sz w:val="22"/>
                <w:szCs w:val="22"/>
              </w:rPr>
              <w:t xml:space="preserve">  </w:t>
            </w:r>
            <w:r w:rsidR="007C3E40" w:rsidRPr="00015EC1">
              <w:rPr>
                <w:rFonts w:ascii="Calibri" w:hAnsi="Calibri" w:cs="Calibri"/>
                <w:b/>
                <w:bCs/>
                <w:sz w:val="22"/>
                <w:szCs w:val="22"/>
              </w:rPr>
              <w:t>167</w:t>
            </w:r>
            <w:r w:rsidR="00DC5261" w:rsidRPr="00015EC1">
              <w:rPr>
                <w:rFonts w:ascii="Calibri" w:hAnsi="Calibri" w:cs="Calibri"/>
                <w:b/>
                <w:bCs/>
                <w:sz w:val="22"/>
                <w:szCs w:val="22"/>
              </w:rPr>
              <w:t>.</w:t>
            </w:r>
            <w:r w:rsidR="007C3E40" w:rsidRPr="00015EC1">
              <w:rPr>
                <w:rFonts w:ascii="Calibri" w:hAnsi="Calibri" w:cs="Calibri"/>
                <w:b/>
                <w:bCs/>
                <w:sz w:val="22"/>
                <w:szCs w:val="22"/>
              </w:rPr>
              <w:t>607</w:t>
            </w:r>
          </w:p>
        </w:tc>
        <w:tc>
          <w:tcPr>
            <w:tcW w:w="900" w:type="dxa"/>
            <w:vMerge w:val="restart"/>
            <w:tcBorders>
              <w:top w:val="nil"/>
              <w:left w:val="nil"/>
              <w:right w:val="nil"/>
            </w:tcBorders>
            <w:vAlign w:val="center"/>
          </w:tcPr>
          <w:p w:rsidR="00F91936" w:rsidRPr="00015EC1" w:rsidRDefault="00863D8B" w:rsidP="00863D8B">
            <w:pPr>
              <w:rPr>
                <w:rFonts w:ascii="Calibri" w:hAnsi="Calibri" w:cs="Calibri"/>
                <w:b/>
                <w:bCs/>
                <w:sz w:val="22"/>
                <w:szCs w:val="22"/>
              </w:rPr>
            </w:pPr>
            <w:r w:rsidRPr="00015EC1">
              <w:rPr>
                <w:rFonts w:ascii="Calibri" w:hAnsi="Calibri" w:cs="Calibri"/>
                <w:b/>
                <w:bCs/>
                <w:sz w:val="22"/>
                <w:szCs w:val="22"/>
              </w:rPr>
              <w:t xml:space="preserve">= </w:t>
            </w:r>
            <w:r w:rsidR="00337C9E" w:rsidRPr="00015EC1">
              <w:rPr>
                <w:rFonts w:ascii="Calibri" w:hAnsi="Calibri" w:cs="Calibri"/>
                <w:b/>
                <w:bCs/>
                <w:sz w:val="22"/>
                <w:szCs w:val="22"/>
              </w:rPr>
              <w:t>0</w:t>
            </w:r>
            <w:r w:rsidR="00EA5B80" w:rsidRPr="00015EC1">
              <w:rPr>
                <w:rFonts w:ascii="Calibri" w:hAnsi="Calibri" w:cs="Calibri"/>
                <w:b/>
                <w:bCs/>
                <w:sz w:val="22"/>
                <w:szCs w:val="22"/>
              </w:rPr>
              <w:t>,</w:t>
            </w:r>
            <w:r w:rsidR="00337C9E" w:rsidRPr="00015EC1">
              <w:rPr>
                <w:rFonts w:ascii="Calibri" w:hAnsi="Calibri" w:cs="Calibri"/>
                <w:b/>
                <w:bCs/>
                <w:sz w:val="22"/>
                <w:szCs w:val="22"/>
              </w:rPr>
              <w:t>0</w:t>
            </w:r>
            <w:r w:rsidR="007C3E40" w:rsidRPr="00015EC1">
              <w:rPr>
                <w:rFonts w:ascii="Calibri" w:hAnsi="Calibri" w:cs="Calibri"/>
                <w:b/>
                <w:bCs/>
                <w:sz w:val="22"/>
                <w:szCs w:val="22"/>
              </w:rPr>
              <w:t>4</w:t>
            </w:r>
            <w:r w:rsidR="00015EC1">
              <w:rPr>
                <w:rFonts w:ascii="Calibri" w:hAnsi="Calibri" w:cs="Calibri"/>
                <w:b/>
                <w:bCs/>
                <w:sz w:val="22"/>
                <w:szCs w:val="22"/>
              </w:rPr>
              <w:t>9</w:t>
            </w:r>
          </w:p>
        </w:tc>
      </w:tr>
      <w:tr w:rsidR="009D6209" w:rsidRPr="003315C5" w:rsidTr="00AE0816">
        <w:trPr>
          <w:trHeight w:val="367"/>
        </w:trPr>
        <w:tc>
          <w:tcPr>
            <w:tcW w:w="2278" w:type="dxa"/>
            <w:vMerge/>
            <w:tcBorders>
              <w:left w:val="nil"/>
              <w:bottom w:val="nil"/>
            </w:tcBorders>
            <w:shd w:val="clear" w:color="auto" w:fill="auto"/>
            <w:noWrap/>
            <w:vAlign w:val="bottom"/>
            <w:hideMark/>
          </w:tcPr>
          <w:p w:rsidR="00F91936" w:rsidRPr="003315C5" w:rsidRDefault="00F91936" w:rsidP="00AE0816">
            <w:pPr>
              <w:rPr>
                <w:rFonts w:ascii="Calibri" w:hAnsi="Calibri" w:cs="Times New Roman"/>
                <w:b/>
                <w:sz w:val="22"/>
                <w:szCs w:val="22"/>
                <w:highlight w:val="yellow"/>
                <w:lang w:val="en-US"/>
              </w:rPr>
            </w:pPr>
          </w:p>
        </w:tc>
        <w:tc>
          <w:tcPr>
            <w:tcW w:w="270" w:type="dxa"/>
            <w:vMerge/>
            <w:tcBorders>
              <w:bottom w:val="nil"/>
            </w:tcBorders>
            <w:shd w:val="clear" w:color="auto" w:fill="auto"/>
            <w:vAlign w:val="bottom"/>
          </w:tcPr>
          <w:p w:rsidR="00F91936" w:rsidRPr="003315C5" w:rsidRDefault="00F91936" w:rsidP="00AE0816">
            <w:pPr>
              <w:rPr>
                <w:rFonts w:ascii="Calibri" w:hAnsi="Calibri" w:cs="Times New Roman"/>
                <w:b/>
                <w:sz w:val="22"/>
                <w:szCs w:val="22"/>
                <w:highlight w:val="yellow"/>
                <w:lang w:val="en-US"/>
              </w:rPr>
            </w:pPr>
          </w:p>
        </w:tc>
        <w:tc>
          <w:tcPr>
            <w:tcW w:w="2880" w:type="dxa"/>
            <w:tcBorders>
              <w:top w:val="single" w:sz="4" w:space="0" w:color="auto"/>
              <w:left w:val="nil"/>
              <w:bottom w:val="nil"/>
              <w:right w:val="nil"/>
            </w:tcBorders>
            <w:shd w:val="clear" w:color="auto" w:fill="auto"/>
            <w:noWrap/>
            <w:hideMark/>
          </w:tcPr>
          <w:p w:rsidR="00F91936" w:rsidRPr="00015EC1" w:rsidRDefault="00F91936" w:rsidP="00731410">
            <w:pPr>
              <w:jc w:val="center"/>
              <w:rPr>
                <w:rFonts w:ascii="Calibri" w:hAnsi="Calibri" w:cs="Times New Roman"/>
                <w:b/>
                <w:bCs/>
                <w:sz w:val="22"/>
                <w:szCs w:val="22"/>
                <w:lang w:val="en-US"/>
              </w:rPr>
            </w:pPr>
            <w:r w:rsidRPr="00015EC1">
              <w:rPr>
                <w:rFonts w:ascii="Calibri" w:hAnsi="Calibri" w:cs="Calibri"/>
                <w:b/>
                <w:sz w:val="22"/>
                <w:szCs w:val="22"/>
              </w:rPr>
              <w:t>Kratko</w:t>
            </w:r>
            <w:r w:rsidR="00731410" w:rsidRPr="00015EC1">
              <w:rPr>
                <w:rFonts w:ascii="Calibri" w:hAnsi="Calibri" w:cs="Calibri"/>
                <w:b/>
                <w:sz w:val="22"/>
                <w:szCs w:val="22"/>
              </w:rPr>
              <w:t>ročna</w:t>
            </w:r>
            <w:r w:rsidRPr="00015EC1">
              <w:rPr>
                <w:rFonts w:ascii="Calibri" w:hAnsi="Calibri" w:cs="Calibri"/>
                <w:b/>
                <w:sz w:val="22"/>
                <w:szCs w:val="22"/>
              </w:rPr>
              <w:t xml:space="preserve">  imovina</w:t>
            </w:r>
          </w:p>
        </w:tc>
        <w:tc>
          <w:tcPr>
            <w:tcW w:w="450" w:type="dxa"/>
            <w:vMerge/>
            <w:tcBorders>
              <w:left w:val="nil"/>
              <w:bottom w:val="nil"/>
              <w:right w:val="nil"/>
            </w:tcBorders>
            <w:shd w:val="clear" w:color="auto" w:fill="auto"/>
            <w:noWrap/>
            <w:vAlign w:val="bottom"/>
            <w:hideMark/>
          </w:tcPr>
          <w:p w:rsidR="00F91936" w:rsidRPr="00015EC1" w:rsidRDefault="00F91936" w:rsidP="00AE0816">
            <w:pPr>
              <w:rPr>
                <w:rFonts w:ascii="Calibri" w:hAnsi="Calibri" w:cs="Times New Roman"/>
                <w:b/>
                <w:sz w:val="22"/>
                <w:szCs w:val="22"/>
                <w:lang w:val="en-US"/>
              </w:rPr>
            </w:pPr>
          </w:p>
        </w:tc>
        <w:tc>
          <w:tcPr>
            <w:tcW w:w="1350" w:type="dxa"/>
            <w:tcBorders>
              <w:top w:val="single" w:sz="4" w:space="0" w:color="auto"/>
              <w:left w:val="nil"/>
              <w:bottom w:val="nil"/>
              <w:right w:val="nil"/>
            </w:tcBorders>
            <w:shd w:val="clear" w:color="auto" w:fill="auto"/>
            <w:hideMark/>
          </w:tcPr>
          <w:p w:rsidR="00F91936" w:rsidRPr="00015EC1" w:rsidRDefault="007C3E40" w:rsidP="00731410">
            <w:pPr>
              <w:rPr>
                <w:rFonts w:ascii="Calibri" w:hAnsi="Calibri" w:cs="Times New Roman"/>
                <w:b/>
                <w:bCs/>
                <w:sz w:val="22"/>
                <w:szCs w:val="22"/>
                <w:lang w:val="en-US"/>
              </w:rPr>
            </w:pPr>
            <w:r w:rsidRPr="00015EC1">
              <w:rPr>
                <w:rFonts w:ascii="Calibri" w:hAnsi="Calibri" w:cs="Calibri"/>
                <w:b/>
                <w:bCs/>
                <w:sz w:val="22"/>
                <w:szCs w:val="22"/>
              </w:rPr>
              <w:t>3</w:t>
            </w:r>
            <w:r w:rsidR="00D82EC2" w:rsidRPr="00015EC1">
              <w:rPr>
                <w:rFonts w:ascii="Calibri" w:hAnsi="Calibri" w:cs="Calibri"/>
                <w:b/>
                <w:bCs/>
                <w:sz w:val="22"/>
                <w:szCs w:val="22"/>
              </w:rPr>
              <w:t>.</w:t>
            </w:r>
            <w:r w:rsidR="00DC5261" w:rsidRPr="00015EC1">
              <w:rPr>
                <w:rFonts w:ascii="Calibri" w:hAnsi="Calibri" w:cs="Calibri"/>
                <w:b/>
                <w:bCs/>
                <w:sz w:val="22"/>
                <w:szCs w:val="22"/>
              </w:rPr>
              <w:t>4</w:t>
            </w:r>
            <w:r w:rsidRPr="00015EC1">
              <w:rPr>
                <w:rFonts w:ascii="Calibri" w:hAnsi="Calibri" w:cs="Calibri"/>
                <w:b/>
                <w:bCs/>
                <w:sz w:val="22"/>
                <w:szCs w:val="22"/>
              </w:rPr>
              <w:t>31</w:t>
            </w:r>
            <w:r w:rsidR="00B0159D" w:rsidRPr="00015EC1">
              <w:rPr>
                <w:rFonts w:ascii="Calibri" w:hAnsi="Calibri" w:cs="Calibri"/>
                <w:b/>
                <w:bCs/>
                <w:sz w:val="22"/>
                <w:szCs w:val="22"/>
              </w:rPr>
              <w:t>.</w:t>
            </w:r>
            <w:r w:rsidRPr="00015EC1">
              <w:rPr>
                <w:rFonts w:ascii="Calibri" w:hAnsi="Calibri" w:cs="Calibri"/>
                <w:b/>
                <w:bCs/>
                <w:sz w:val="22"/>
                <w:szCs w:val="22"/>
              </w:rPr>
              <w:t>737</w:t>
            </w:r>
          </w:p>
        </w:tc>
        <w:tc>
          <w:tcPr>
            <w:tcW w:w="900" w:type="dxa"/>
            <w:vMerge/>
            <w:tcBorders>
              <w:left w:val="nil"/>
              <w:bottom w:val="nil"/>
              <w:right w:val="nil"/>
            </w:tcBorders>
          </w:tcPr>
          <w:p w:rsidR="00F91936" w:rsidRPr="003315C5" w:rsidRDefault="00F91936" w:rsidP="00AE0816">
            <w:pPr>
              <w:jc w:val="right"/>
              <w:rPr>
                <w:rFonts w:ascii="Calibri" w:hAnsi="Calibri" w:cs="Calibri"/>
                <w:b/>
                <w:bCs/>
                <w:sz w:val="22"/>
                <w:szCs w:val="22"/>
                <w:highlight w:val="yellow"/>
              </w:rPr>
            </w:pPr>
          </w:p>
        </w:tc>
      </w:tr>
    </w:tbl>
    <w:p w:rsidR="00951EC3" w:rsidRPr="003315C5" w:rsidRDefault="00951EC3" w:rsidP="00531F73">
      <w:pPr>
        <w:spacing w:after="120"/>
        <w:rPr>
          <w:rFonts w:asciiTheme="minorHAnsi" w:hAnsiTheme="minorHAnsi"/>
          <w:b/>
          <w:sz w:val="22"/>
          <w:szCs w:val="22"/>
          <w:highlight w:val="yellow"/>
        </w:rPr>
      </w:pPr>
    </w:p>
    <w:p w:rsidR="00A75B06" w:rsidRPr="00015EC1" w:rsidRDefault="00A75B06" w:rsidP="00531F73">
      <w:pPr>
        <w:spacing w:after="120"/>
        <w:rPr>
          <w:rFonts w:asciiTheme="minorHAnsi" w:hAnsiTheme="minorHAnsi"/>
          <w:sz w:val="22"/>
          <w:szCs w:val="22"/>
        </w:rPr>
      </w:pPr>
      <w:r w:rsidRPr="00015EC1">
        <w:rPr>
          <w:rFonts w:asciiTheme="minorHAnsi" w:hAnsiTheme="minorHAnsi"/>
          <w:b/>
          <w:sz w:val="22"/>
          <w:szCs w:val="22"/>
        </w:rPr>
        <w:t>Koeficijent obrta dugoročne   imovine</w:t>
      </w:r>
      <w:r w:rsidRPr="00015EC1">
        <w:rPr>
          <w:rFonts w:asciiTheme="minorHAnsi" w:hAnsiTheme="minorHAnsi"/>
          <w:sz w:val="22"/>
          <w:szCs w:val="22"/>
        </w:rPr>
        <w:t xml:space="preserve"> pokazuje koliko </w:t>
      </w:r>
      <w:r w:rsidR="00055A9D" w:rsidRPr="00015EC1">
        <w:rPr>
          <w:rFonts w:asciiTheme="minorHAnsi" w:hAnsiTheme="minorHAnsi"/>
          <w:sz w:val="22"/>
          <w:szCs w:val="22"/>
        </w:rPr>
        <w:t>uspješno društvo koristi dugoročnu imovinu s ciljem stvaranja prihoda.</w:t>
      </w:r>
    </w:p>
    <w:p w:rsidR="00055A9D" w:rsidRPr="00015EC1" w:rsidRDefault="00055A9D" w:rsidP="00A75B06">
      <w:pPr>
        <w:rPr>
          <w:rFonts w:asciiTheme="minorHAnsi" w:hAnsiTheme="minorHAnsi"/>
          <w:sz w:val="22"/>
          <w:szCs w:val="22"/>
        </w:rPr>
      </w:pPr>
      <w:r w:rsidRPr="00015EC1">
        <w:rPr>
          <w:rFonts w:asciiTheme="minorHAnsi" w:hAnsiTheme="minorHAnsi"/>
          <w:sz w:val="22"/>
          <w:szCs w:val="22"/>
        </w:rPr>
        <w:t xml:space="preserve">Poželjno je postići  što veću vrijednost pokazatelja </w:t>
      </w:r>
      <w:r w:rsidR="00AE50C9" w:rsidRPr="00015EC1">
        <w:rPr>
          <w:rFonts w:asciiTheme="minorHAnsi" w:hAnsiTheme="minorHAnsi"/>
          <w:sz w:val="22"/>
          <w:szCs w:val="22"/>
        </w:rPr>
        <w:t xml:space="preserve"> </w:t>
      </w:r>
      <w:r w:rsidRPr="00015EC1">
        <w:rPr>
          <w:rFonts w:asciiTheme="minorHAnsi" w:hAnsiTheme="minorHAnsi"/>
          <w:sz w:val="22"/>
          <w:szCs w:val="22"/>
        </w:rPr>
        <w:t>jer to znači da je manje novca potrebno za stvaranje prihoda vezano u fiksnoj imovini.</w:t>
      </w:r>
    </w:p>
    <w:p w:rsidR="00055A9D" w:rsidRPr="00015EC1" w:rsidRDefault="00055A9D" w:rsidP="00A75B06">
      <w:pPr>
        <w:rPr>
          <w:rFonts w:asciiTheme="minorHAnsi" w:hAnsiTheme="minorHAnsi"/>
          <w:sz w:val="22"/>
          <w:szCs w:val="22"/>
        </w:rPr>
      </w:pPr>
      <w:r w:rsidRPr="00015EC1">
        <w:rPr>
          <w:rFonts w:asciiTheme="minorHAnsi" w:hAnsiTheme="minorHAnsi"/>
          <w:sz w:val="22"/>
          <w:szCs w:val="22"/>
        </w:rPr>
        <w:t>Opadajući pokazatelj može biti indikator preinvestiranja u neki oblik stalne imovine.</w:t>
      </w:r>
    </w:p>
    <w:p w:rsidR="002F317F" w:rsidRPr="00015EC1" w:rsidRDefault="002F317F" w:rsidP="00A75B06">
      <w:pPr>
        <w:rPr>
          <w:rFonts w:asciiTheme="minorHAnsi" w:hAnsiTheme="minorHAnsi"/>
          <w:sz w:val="22"/>
          <w:szCs w:val="22"/>
        </w:rPr>
      </w:pPr>
    </w:p>
    <w:tbl>
      <w:tblPr>
        <w:tblW w:w="8128" w:type="dxa"/>
        <w:tblInd w:w="98" w:type="dxa"/>
        <w:tblLayout w:type="fixed"/>
        <w:tblLook w:val="04A0" w:firstRow="1" w:lastRow="0" w:firstColumn="1" w:lastColumn="0" w:noHBand="0" w:noVBand="1"/>
      </w:tblPr>
      <w:tblGrid>
        <w:gridCol w:w="2278"/>
        <w:gridCol w:w="270"/>
        <w:gridCol w:w="2880"/>
        <w:gridCol w:w="450"/>
        <w:gridCol w:w="1350"/>
        <w:gridCol w:w="900"/>
      </w:tblGrid>
      <w:tr w:rsidR="009D6209" w:rsidRPr="005711FE" w:rsidTr="00AE0816">
        <w:trPr>
          <w:trHeight w:val="360"/>
        </w:trPr>
        <w:tc>
          <w:tcPr>
            <w:tcW w:w="2278" w:type="dxa"/>
            <w:vMerge w:val="restart"/>
            <w:tcBorders>
              <w:top w:val="nil"/>
              <w:left w:val="nil"/>
            </w:tcBorders>
            <w:shd w:val="clear" w:color="auto" w:fill="auto"/>
            <w:noWrap/>
            <w:vAlign w:val="center"/>
            <w:hideMark/>
          </w:tcPr>
          <w:p w:rsidR="002459E3" w:rsidRPr="00015EC1" w:rsidRDefault="002459E3" w:rsidP="002459E3">
            <w:pPr>
              <w:rPr>
                <w:rFonts w:ascii="Calibri" w:hAnsi="Calibri" w:cs="Times New Roman"/>
                <w:b/>
                <w:sz w:val="22"/>
                <w:szCs w:val="22"/>
                <w:lang w:val="en-US"/>
              </w:rPr>
            </w:pPr>
            <w:r w:rsidRPr="00015EC1">
              <w:rPr>
                <w:rFonts w:ascii="Calibri" w:hAnsi="Calibri"/>
                <w:b/>
                <w:sz w:val="22"/>
                <w:szCs w:val="22"/>
                <w:lang w:val="sr-Latn-CS"/>
              </w:rPr>
              <w:t>Koeficijent</w:t>
            </w:r>
            <w:r w:rsidR="00BE5CAB" w:rsidRPr="00015EC1">
              <w:rPr>
                <w:rFonts w:ascii="Calibri" w:hAnsi="Calibri"/>
                <w:b/>
                <w:sz w:val="22"/>
                <w:szCs w:val="22"/>
                <w:lang w:val="sr-Latn-CS"/>
              </w:rPr>
              <w:t xml:space="preserve"> </w:t>
            </w:r>
            <w:r w:rsidRPr="00015EC1">
              <w:rPr>
                <w:rFonts w:ascii="Calibri" w:hAnsi="Calibri"/>
                <w:b/>
                <w:sz w:val="22"/>
                <w:szCs w:val="22"/>
                <w:lang w:val="sr-Latn-CS"/>
              </w:rPr>
              <w:t>obrta dugoročne  imovine</w:t>
            </w:r>
          </w:p>
        </w:tc>
        <w:tc>
          <w:tcPr>
            <w:tcW w:w="270" w:type="dxa"/>
            <w:vMerge w:val="restart"/>
            <w:tcBorders>
              <w:top w:val="nil"/>
            </w:tcBorders>
            <w:shd w:val="clear" w:color="auto" w:fill="auto"/>
            <w:vAlign w:val="center"/>
          </w:tcPr>
          <w:p w:rsidR="002459E3" w:rsidRPr="00015EC1" w:rsidRDefault="002459E3" w:rsidP="00AE0816">
            <w:pPr>
              <w:rPr>
                <w:rFonts w:ascii="Calibri" w:hAnsi="Calibri" w:cs="Times New Roman"/>
                <w:b/>
                <w:sz w:val="22"/>
                <w:szCs w:val="22"/>
                <w:lang w:val="en-US"/>
              </w:rPr>
            </w:pPr>
            <w:r w:rsidRPr="00015EC1">
              <w:rPr>
                <w:rFonts w:ascii="Calibri" w:hAnsi="Calibri" w:cs="Times New Roman"/>
                <w:b/>
                <w:sz w:val="22"/>
                <w:szCs w:val="22"/>
                <w:lang w:val="en-US"/>
              </w:rPr>
              <w:t>=</w:t>
            </w:r>
          </w:p>
        </w:tc>
        <w:tc>
          <w:tcPr>
            <w:tcW w:w="2880" w:type="dxa"/>
            <w:tcBorders>
              <w:top w:val="nil"/>
              <w:left w:val="nil"/>
              <w:bottom w:val="single" w:sz="4" w:space="0" w:color="auto"/>
              <w:right w:val="nil"/>
            </w:tcBorders>
            <w:shd w:val="clear" w:color="auto" w:fill="auto"/>
            <w:vAlign w:val="bottom"/>
            <w:hideMark/>
          </w:tcPr>
          <w:p w:rsidR="002459E3" w:rsidRPr="00015EC1" w:rsidRDefault="002459E3" w:rsidP="00AE0816">
            <w:pPr>
              <w:jc w:val="center"/>
              <w:rPr>
                <w:rFonts w:ascii="Calibri" w:hAnsi="Calibri" w:cs="Times New Roman"/>
                <w:b/>
                <w:bCs/>
                <w:sz w:val="22"/>
                <w:szCs w:val="22"/>
                <w:lang w:val="en-US"/>
              </w:rPr>
            </w:pPr>
            <w:r w:rsidRPr="00015EC1">
              <w:rPr>
                <w:rFonts w:ascii="Calibri" w:hAnsi="Calibri" w:cs="Calibri"/>
                <w:b/>
                <w:sz w:val="22"/>
                <w:szCs w:val="22"/>
              </w:rPr>
              <w:t>Ukupan prihod</w:t>
            </w:r>
          </w:p>
        </w:tc>
        <w:tc>
          <w:tcPr>
            <w:tcW w:w="450" w:type="dxa"/>
            <w:vMerge w:val="restart"/>
            <w:tcBorders>
              <w:top w:val="nil"/>
              <w:left w:val="nil"/>
              <w:right w:val="nil"/>
            </w:tcBorders>
            <w:shd w:val="clear" w:color="auto" w:fill="auto"/>
            <w:noWrap/>
            <w:vAlign w:val="center"/>
            <w:hideMark/>
          </w:tcPr>
          <w:p w:rsidR="002459E3" w:rsidRPr="00015EC1" w:rsidRDefault="002459E3" w:rsidP="00AE0816">
            <w:pPr>
              <w:jc w:val="center"/>
              <w:rPr>
                <w:rFonts w:ascii="Calibri" w:hAnsi="Calibri" w:cs="Times New Roman"/>
                <w:b/>
                <w:bCs/>
                <w:sz w:val="22"/>
                <w:szCs w:val="22"/>
                <w:lang w:val="en-US"/>
              </w:rPr>
            </w:pPr>
            <w:r w:rsidRPr="00015EC1">
              <w:rPr>
                <w:rFonts w:ascii="Calibri" w:hAnsi="Calibri" w:cs="Times New Roman"/>
                <w:b/>
                <w:bCs/>
                <w:sz w:val="22"/>
                <w:szCs w:val="22"/>
                <w:lang w:val="en-US"/>
              </w:rPr>
              <w:t>=</w:t>
            </w:r>
          </w:p>
        </w:tc>
        <w:tc>
          <w:tcPr>
            <w:tcW w:w="1350" w:type="dxa"/>
            <w:tcBorders>
              <w:top w:val="nil"/>
              <w:left w:val="nil"/>
              <w:bottom w:val="single" w:sz="4" w:space="0" w:color="auto"/>
              <w:right w:val="nil"/>
            </w:tcBorders>
            <w:shd w:val="clear" w:color="auto" w:fill="auto"/>
            <w:vAlign w:val="bottom"/>
            <w:hideMark/>
          </w:tcPr>
          <w:p w:rsidR="002459E3" w:rsidRPr="00015EC1" w:rsidRDefault="00E57326" w:rsidP="00951EC3">
            <w:pPr>
              <w:rPr>
                <w:rFonts w:ascii="Calibri" w:hAnsi="Calibri" w:cs="Times New Roman"/>
                <w:b/>
                <w:bCs/>
                <w:sz w:val="22"/>
                <w:szCs w:val="22"/>
                <w:lang w:val="en-US"/>
              </w:rPr>
            </w:pPr>
            <w:r w:rsidRPr="00015EC1">
              <w:rPr>
                <w:rFonts w:ascii="Calibri" w:hAnsi="Calibri" w:cs="Calibri"/>
                <w:b/>
                <w:bCs/>
                <w:sz w:val="22"/>
                <w:szCs w:val="22"/>
              </w:rPr>
              <w:t xml:space="preserve">  </w:t>
            </w:r>
            <w:r w:rsidR="00FE7EE0" w:rsidRPr="00015EC1">
              <w:rPr>
                <w:rFonts w:ascii="Calibri" w:hAnsi="Calibri" w:cs="Calibri"/>
                <w:b/>
                <w:bCs/>
                <w:sz w:val="22"/>
                <w:szCs w:val="22"/>
              </w:rPr>
              <w:t>167</w:t>
            </w:r>
            <w:r w:rsidR="00DC5261" w:rsidRPr="00015EC1">
              <w:rPr>
                <w:rFonts w:ascii="Calibri" w:hAnsi="Calibri" w:cs="Calibri"/>
                <w:b/>
                <w:bCs/>
                <w:sz w:val="22"/>
                <w:szCs w:val="22"/>
              </w:rPr>
              <w:t>.</w:t>
            </w:r>
            <w:r w:rsidR="00FE7EE0" w:rsidRPr="00015EC1">
              <w:rPr>
                <w:rFonts w:ascii="Calibri" w:hAnsi="Calibri" w:cs="Calibri"/>
                <w:b/>
                <w:bCs/>
                <w:sz w:val="22"/>
                <w:szCs w:val="22"/>
              </w:rPr>
              <w:t>607</w:t>
            </w:r>
          </w:p>
        </w:tc>
        <w:tc>
          <w:tcPr>
            <w:tcW w:w="900" w:type="dxa"/>
            <w:vMerge w:val="restart"/>
            <w:tcBorders>
              <w:top w:val="nil"/>
              <w:left w:val="nil"/>
              <w:right w:val="nil"/>
            </w:tcBorders>
            <w:vAlign w:val="center"/>
          </w:tcPr>
          <w:p w:rsidR="002459E3" w:rsidRPr="005711FE" w:rsidRDefault="009C0CE2" w:rsidP="00AE50C9">
            <w:pPr>
              <w:rPr>
                <w:rFonts w:ascii="Calibri" w:hAnsi="Calibri" w:cs="Calibri"/>
                <w:b/>
                <w:bCs/>
                <w:sz w:val="22"/>
                <w:szCs w:val="22"/>
              </w:rPr>
            </w:pPr>
            <w:r w:rsidRPr="00015EC1">
              <w:rPr>
                <w:rFonts w:ascii="Calibri" w:hAnsi="Calibri" w:cs="Calibri"/>
                <w:b/>
                <w:bCs/>
                <w:sz w:val="22"/>
                <w:szCs w:val="22"/>
              </w:rPr>
              <w:t xml:space="preserve">= </w:t>
            </w:r>
            <w:r w:rsidR="00E24E56" w:rsidRPr="00015EC1">
              <w:rPr>
                <w:rFonts w:ascii="Calibri" w:hAnsi="Calibri" w:cs="Calibri"/>
                <w:b/>
                <w:bCs/>
                <w:sz w:val="22"/>
                <w:szCs w:val="22"/>
              </w:rPr>
              <w:t>0</w:t>
            </w:r>
            <w:r w:rsidR="00EA5B80" w:rsidRPr="00015EC1">
              <w:rPr>
                <w:rFonts w:ascii="Calibri" w:hAnsi="Calibri" w:cs="Calibri"/>
                <w:b/>
                <w:bCs/>
                <w:sz w:val="22"/>
                <w:szCs w:val="22"/>
              </w:rPr>
              <w:t>,</w:t>
            </w:r>
            <w:r w:rsidR="00337C9E" w:rsidRPr="00015EC1">
              <w:rPr>
                <w:rFonts w:ascii="Calibri" w:hAnsi="Calibri" w:cs="Calibri"/>
                <w:b/>
                <w:bCs/>
                <w:sz w:val="22"/>
                <w:szCs w:val="22"/>
              </w:rPr>
              <w:t>0</w:t>
            </w:r>
            <w:r w:rsidR="00FE7EE0" w:rsidRPr="00015EC1">
              <w:rPr>
                <w:rFonts w:ascii="Calibri" w:hAnsi="Calibri" w:cs="Calibri"/>
                <w:b/>
                <w:bCs/>
                <w:sz w:val="22"/>
                <w:szCs w:val="22"/>
              </w:rPr>
              <w:t>3</w:t>
            </w:r>
            <w:r w:rsidR="00015EC1">
              <w:rPr>
                <w:rFonts w:ascii="Calibri" w:hAnsi="Calibri" w:cs="Calibri"/>
                <w:b/>
                <w:bCs/>
                <w:sz w:val="22"/>
                <w:szCs w:val="22"/>
              </w:rPr>
              <w:t>7</w:t>
            </w:r>
          </w:p>
        </w:tc>
      </w:tr>
      <w:tr w:rsidR="009D6209" w:rsidRPr="009D6209" w:rsidTr="00AE0816">
        <w:trPr>
          <w:trHeight w:val="367"/>
        </w:trPr>
        <w:tc>
          <w:tcPr>
            <w:tcW w:w="2278" w:type="dxa"/>
            <w:vMerge/>
            <w:tcBorders>
              <w:left w:val="nil"/>
              <w:bottom w:val="nil"/>
            </w:tcBorders>
            <w:shd w:val="clear" w:color="auto" w:fill="auto"/>
            <w:noWrap/>
            <w:vAlign w:val="bottom"/>
            <w:hideMark/>
          </w:tcPr>
          <w:p w:rsidR="002459E3" w:rsidRPr="00AE50C9" w:rsidRDefault="002459E3" w:rsidP="00AE0816">
            <w:pPr>
              <w:rPr>
                <w:rFonts w:ascii="Calibri" w:hAnsi="Calibri" w:cs="Times New Roman"/>
                <w:b/>
                <w:sz w:val="22"/>
                <w:szCs w:val="22"/>
                <w:lang w:val="en-US"/>
              </w:rPr>
            </w:pPr>
          </w:p>
        </w:tc>
        <w:tc>
          <w:tcPr>
            <w:tcW w:w="270" w:type="dxa"/>
            <w:vMerge/>
            <w:tcBorders>
              <w:bottom w:val="nil"/>
            </w:tcBorders>
            <w:shd w:val="clear" w:color="auto" w:fill="auto"/>
            <w:vAlign w:val="bottom"/>
          </w:tcPr>
          <w:p w:rsidR="002459E3" w:rsidRPr="00AE50C9" w:rsidRDefault="002459E3" w:rsidP="00AE0816">
            <w:pPr>
              <w:rPr>
                <w:rFonts w:ascii="Calibri" w:hAnsi="Calibri" w:cs="Times New Roman"/>
                <w:b/>
                <w:sz w:val="22"/>
                <w:szCs w:val="22"/>
                <w:lang w:val="en-US"/>
              </w:rPr>
            </w:pPr>
          </w:p>
        </w:tc>
        <w:tc>
          <w:tcPr>
            <w:tcW w:w="2880" w:type="dxa"/>
            <w:tcBorders>
              <w:top w:val="single" w:sz="4" w:space="0" w:color="auto"/>
              <w:left w:val="nil"/>
              <w:bottom w:val="nil"/>
              <w:right w:val="nil"/>
            </w:tcBorders>
            <w:shd w:val="clear" w:color="auto" w:fill="auto"/>
            <w:noWrap/>
            <w:hideMark/>
          </w:tcPr>
          <w:p w:rsidR="002459E3" w:rsidRPr="00AE50C9" w:rsidRDefault="002459E3" w:rsidP="00AE0816">
            <w:pPr>
              <w:jc w:val="center"/>
              <w:rPr>
                <w:rFonts w:ascii="Calibri" w:hAnsi="Calibri" w:cs="Times New Roman"/>
                <w:b/>
                <w:bCs/>
                <w:sz w:val="20"/>
                <w:szCs w:val="22"/>
                <w:lang w:val="en-US"/>
              </w:rPr>
            </w:pPr>
            <w:r w:rsidRPr="00AE50C9">
              <w:rPr>
                <w:rFonts w:ascii="Calibri" w:hAnsi="Calibri" w:cs="Calibri"/>
                <w:b/>
                <w:sz w:val="20"/>
                <w:szCs w:val="22"/>
              </w:rPr>
              <w:t>Dugoročna  imovina</w:t>
            </w:r>
          </w:p>
        </w:tc>
        <w:tc>
          <w:tcPr>
            <w:tcW w:w="450" w:type="dxa"/>
            <w:vMerge/>
            <w:tcBorders>
              <w:left w:val="nil"/>
              <w:bottom w:val="nil"/>
              <w:right w:val="nil"/>
            </w:tcBorders>
            <w:shd w:val="clear" w:color="auto" w:fill="auto"/>
            <w:noWrap/>
            <w:vAlign w:val="bottom"/>
            <w:hideMark/>
          </w:tcPr>
          <w:p w:rsidR="002459E3" w:rsidRPr="00AE50C9" w:rsidRDefault="002459E3" w:rsidP="00AE0816">
            <w:pPr>
              <w:rPr>
                <w:rFonts w:ascii="Calibri" w:hAnsi="Calibri" w:cs="Times New Roman"/>
                <w:b/>
                <w:sz w:val="22"/>
                <w:szCs w:val="22"/>
                <w:lang w:val="en-US"/>
              </w:rPr>
            </w:pPr>
          </w:p>
        </w:tc>
        <w:tc>
          <w:tcPr>
            <w:tcW w:w="1350" w:type="dxa"/>
            <w:tcBorders>
              <w:top w:val="single" w:sz="4" w:space="0" w:color="auto"/>
              <w:left w:val="nil"/>
              <w:bottom w:val="nil"/>
              <w:right w:val="nil"/>
            </w:tcBorders>
            <w:shd w:val="clear" w:color="auto" w:fill="auto"/>
            <w:hideMark/>
          </w:tcPr>
          <w:p w:rsidR="002459E3" w:rsidRPr="009D6209" w:rsidRDefault="00FE7EE0" w:rsidP="00190B98">
            <w:pPr>
              <w:rPr>
                <w:rFonts w:ascii="Calibri" w:hAnsi="Calibri" w:cs="Times New Roman"/>
                <w:b/>
                <w:bCs/>
                <w:sz w:val="20"/>
                <w:szCs w:val="22"/>
                <w:lang w:val="en-US"/>
              </w:rPr>
            </w:pPr>
            <w:r>
              <w:rPr>
                <w:rFonts w:ascii="Calibri" w:hAnsi="Calibri" w:cs="Times New Roman"/>
                <w:b/>
                <w:bCs/>
                <w:sz w:val="20"/>
                <w:szCs w:val="22"/>
                <w:lang w:val="en-US"/>
              </w:rPr>
              <w:t>4</w:t>
            </w:r>
            <w:r w:rsidR="00E24E56">
              <w:rPr>
                <w:rFonts w:ascii="Calibri" w:hAnsi="Calibri" w:cs="Times New Roman"/>
                <w:b/>
                <w:bCs/>
                <w:sz w:val="20"/>
                <w:szCs w:val="22"/>
                <w:lang w:val="en-US"/>
              </w:rPr>
              <w:t>.</w:t>
            </w:r>
            <w:r>
              <w:rPr>
                <w:rFonts w:ascii="Calibri" w:hAnsi="Calibri" w:cs="Times New Roman"/>
                <w:b/>
                <w:bCs/>
                <w:sz w:val="20"/>
                <w:szCs w:val="22"/>
                <w:lang w:val="en-US"/>
              </w:rPr>
              <w:t>559</w:t>
            </w:r>
            <w:r w:rsidR="00E57326">
              <w:rPr>
                <w:rFonts w:ascii="Calibri" w:hAnsi="Calibri" w:cs="Times New Roman"/>
                <w:b/>
                <w:bCs/>
                <w:sz w:val="20"/>
                <w:szCs w:val="22"/>
                <w:lang w:val="en-US"/>
              </w:rPr>
              <w:t>.</w:t>
            </w:r>
            <w:r>
              <w:rPr>
                <w:rFonts w:ascii="Calibri" w:hAnsi="Calibri" w:cs="Times New Roman"/>
                <w:b/>
                <w:bCs/>
                <w:sz w:val="20"/>
                <w:szCs w:val="22"/>
                <w:lang w:val="en-US"/>
              </w:rPr>
              <w:t>039</w:t>
            </w:r>
          </w:p>
        </w:tc>
        <w:tc>
          <w:tcPr>
            <w:tcW w:w="900" w:type="dxa"/>
            <w:vMerge/>
            <w:tcBorders>
              <w:left w:val="nil"/>
              <w:bottom w:val="nil"/>
              <w:right w:val="nil"/>
            </w:tcBorders>
          </w:tcPr>
          <w:p w:rsidR="002459E3" w:rsidRPr="009D6209" w:rsidRDefault="002459E3" w:rsidP="00AE0816">
            <w:pPr>
              <w:jc w:val="right"/>
              <w:rPr>
                <w:rFonts w:ascii="Calibri" w:hAnsi="Calibri" w:cs="Calibri"/>
                <w:b/>
                <w:bCs/>
                <w:sz w:val="20"/>
                <w:szCs w:val="22"/>
              </w:rPr>
            </w:pPr>
          </w:p>
        </w:tc>
      </w:tr>
    </w:tbl>
    <w:p w:rsidR="0048467D" w:rsidRDefault="0048467D" w:rsidP="00566F39">
      <w:pPr>
        <w:pStyle w:val="Heading2"/>
        <w:numPr>
          <w:ilvl w:val="0"/>
          <w:numId w:val="0"/>
        </w:numPr>
        <w:tabs>
          <w:tab w:val="left" w:pos="0"/>
        </w:tabs>
        <w:spacing w:before="60" w:after="120"/>
        <w:ind w:left="357"/>
        <w:rPr>
          <w:rFonts w:ascii="Calibri" w:hAnsi="Calibri" w:cs="Calibri"/>
          <w:i/>
          <w:szCs w:val="22"/>
        </w:rPr>
      </w:pPr>
    </w:p>
    <w:p w:rsidR="00F622C5" w:rsidRPr="00F622C5" w:rsidRDefault="00F622C5" w:rsidP="00F622C5"/>
    <w:p w:rsidR="006F15C0" w:rsidRPr="006F15C0" w:rsidRDefault="006F15C0" w:rsidP="006F15C0"/>
    <w:p w:rsidR="00566F39" w:rsidRPr="0055072A" w:rsidRDefault="008E483E" w:rsidP="00566F39">
      <w:pPr>
        <w:pStyle w:val="Heading2"/>
        <w:numPr>
          <w:ilvl w:val="0"/>
          <w:numId w:val="0"/>
        </w:numPr>
        <w:tabs>
          <w:tab w:val="left" w:pos="0"/>
        </w:tabs>
        <w:spacing w:before="60" w:after="120"/>
        <w:ind w:left="357"/>
        <w:rPr>
          <w:rFonts w:ascii="Calibri" w:hAnsi="Calibri" w:cs="Calibri"/>
          <w:i/>
          <w:szCs w:val="22"/>
          <w:u w:val="single"/>
        </w:rPr>
      </w:pPr>
      <w:r w:rsidRPr="0055072A">
        <w:rPr>
          <w:rFonts w:ascii="Calibri" w:hAnsi="Calibri" w:cs="Calibri"/>
          <w:i/>
          <w:szCs w:val="22"/>
        </w:rPr>
        <w:t>3</w:t>
      </w:r>
      <w:r w:rsidR="00566F39" w:rsidRPr="0055072A">
        <w:rPr>
          <w:rFonts w:ascii="Calibri" w:hAnsi="Calibri" w:cs="Calibri"/>
          <w:i/>
          <w:szCs w:val="22"/>
        </w:rPr>
        <w:t>.4. Analiza prinosnog položaja Društva</w:t>
      </w:r>
    </w:p>
    <w:p w:rsidR="00584966" w:rsidRPr="0055072A" w:rsidRDefault="00584966" w:rsidP="00566F39">
      <w:pPr>
        <w:spacing w:after="120"/>
        <w:jc w:val="both"/>
        <w:rPr>
          <w:rFonts w:ascii="Calibri" w:hAnsi="Calibri"/>
          <w:sz w:val="22"/>
          <w:szCs w:val="22"/>
          <w:lang w:val="sr-Latn-BA"/>
        </w:rPr>
      </w:pPr>
    </w:p>
    <w:tbl>
      <w:tblPr>
        <w:tblpPr w:leftFromText="180" w:rightFromText="180" w:vertAnchor="text" w:tblpY="1"/>
        <w:tblOverlap w:val="never"/>
        <w:tblW w:w="5252" w:type="dxa"/>
        <w:tblLayout w:type="fixed"/>
        <w:tblLook w:val="04A0" w:firstRow="1" w:lastRow="0" w:firstColumn="1" w:lastColumn="0" w:noHBand="0" w:noVBand="1"/>
      </w:tblPr>
      <w:tblGrid>
        <w:gridCol w:w="2978"/>
        <w:gridCol w:w="1138"/>
        <w:gridCol w:w="1124"/>
        <w:gridCol w:w="12"/>
      </w:tblGrid>
      <w:tr w:rsidR="00584966" w:rsidRPr="000173D9" w:rsidTr="00E24E56">
        <w:trPr>
          <w:gridAfter w:val="1"/>
          <w:wAfter w:w="12" w:type="dxa"/>
          <w:trHeight w:val="136"/>
        </w:trPr>
        <w:tc>
          <w:tcPr>
            <w:tcW w:w="2978" w:type="dxa"/>
            <w:vMerge w:val="restart"/>
            <w:tcBorders>
              <w:top w:val="single" w:sz="4" w:space="0" w:color="auto"/>
              <w:left w:val="single" w:sz="4" w:space="0" w:color="auto"/>
              <w:right w:val="single" w:sz="4" w:space="0" w:color="auto"/>
            </w:tcBorders>
            <w:vAlign w:val="center"/>
            <w:hideMark/>
          </w:tcPr>
          <w:p w:rsidR="00584966" w:rsidRPr="000173D9" w:rsidRDefault="00584966" w:rsidP="003F0D1F">
            <w:pPr>
              <w:jc w:val="center"/>
              <w:rPr>
                <w:rFonts w:ascii="Calibri" w:hAnsi="Calibri" w:cs="Calibri"/>
                <w:b/>
                <w:sz w:val="22"/>
                <w:szCs w:val="22"/>
              </w:rPr>
            </w:pPr>
            <w:r w:rsidRPr="000173D9">
              <w:rPr>
                <w:rFonts w:ascii="Calibri" w:hAnsi="Calibri" w:cs="Calibri"/>
                <w:b/>
                <w:sz w:val="22"/>
                <w:szCs w:val="22"/>
              </w:rPr>
              <w:t>P O Z I C I J A</w:t>
            </w:r>
          </w:p>
        </w:tc>
        <w:tc>
          <w:tcPr>
            <w:tcW w:w="2262" w:type="dxa"/>
            <w:gridSpan w:val="2"/>
            <w:tcBorders>
              <w:top w:val="single" w:sz="4" w:space="0" w:color="auto"/>
              <w:left w:val="single" w:sz="4" w:space="0" w:color="auto"/>
              <w:bottom w:val="single" w:sz="4" w:space="0" w:color="auto"/>
              <w:right w:val="single" w:sz="4" w:space="0" w:color="000000"/>
            </w:tcBorders>
            <w:vAlign w:val="center"/>
            <w:hideMark/>
          </w:tcPr>
          <w:p w:rsidR="00584966" w:rsidRPr="000173D9" w:rsidRDefault="003F0D1F" w:rsidP="00D1121D">
            <w:pPr>
              <w:jc w:val="center"/>
              <w:rPr>
                <w:rFonts w:ascii="Calibri" w:hAnsi="Calibri" w:cs="Calibri"/>
                <w:b/>
                <w:sz w:val="22"/>
                <w:szCs w:val="22"/>
              </w:rPr>
            </w:pPr>
            <w:r w:rsidRPr="000173D9">
              <w:rPr>
                <w:rFonts w:ascii="Calibri" w:hAnsi="Calibri" w:cs="Calibri"/>
                <w:b/>
                <w:sz w:val="22"/>
                <w:szCs w:val="22"/>
              </w:rPr>
              <w:t>20</w:t>
            </w:r>
            <w:r w:rsidR="00E24E56" w:rsidRPr="000173D9">
              <w:rPr>
                <w:rFonts w:ascii="Calibri" w:hAnsi="Calibri" w:cs="Calibri"/>
                <w:b/>
                <w:sz w:val="22"/>
                <w:szCs w:val="22"/>
              </w:rPr>
              <w:t>2</w:t>
            </w:r>
            <w:r w:rsidR="00006432" w:rsidRPr="000173D9">
              <w:rPr>
                <w:rFonts w:ascii="Calibri" w:hAnsi="Calibri" w:cs="Calibri"/>
                <w:b/>
                <w:sz w:val="22"/>
                <w:szCs w:val="22"/>
              </w:rPr>
              <w:t>2</w:t>
            </w:r>
            <w:r w:rsidRPr="000173D9">
              <w:rPr>
                <w:rFonts w:ascii="Calibri" w:hAnsi="Calibri" w:cs="Calibri"/>
                <w:b/>
                <w:sz w:val="22"/>
                <w:szCs w:val="22"/>
              </w:rPr>
              <w:t>.              20</w:t>
            </w:r>
            <w:r w:rsidR="00D1121D" w:rsidRPr="000173D9">
              <w:rPr>
                <w:rFonts w:ascii="Calibri" w:hAnsi="Calibri" w:cs="Calibri"/>
                <w:b/>
                <w:sz w:val="22"/>
                <w:szCs w:val="22"/>
              </w:rPr>
              <w:t>2</w:t>
            </w:r>
            <w:r w:rsidR="00006432" w:rsidRPr="000173D9">
              <w:rPr>
                <w:rFonts w:ascii="Calibri" w:hAnsi="Calibri" w:cs="Calibri"/>
                <w:b/>
                <w:sz w:val="22"/>
                <w:szCs w:val="22"/>
              </w:rPr>
              <w:t>3</w:t>
            </w:r>
            <w:r w:rsidR="00584966" w:rsidRPr="000173D9">
              <w:rPr>
                <w:rFonts w:ascii="Calibri" w:hAnsi="Calibri" w:cs="Calibri"/>
                <w:b/>
                <w:sz w:val="22"/>
                <w:szCs w:val="22"/>
              </w:rPr>
              <w:t>.</w:t>
            </w:r>
          </w:p>
        </w:tc>
      </w:tr>
      <w:tr w:rsidR="00584966" w:rsidRPr="0055072A" w:rsidTr="003F0D1F">
        <w:trPr>
          <w:trHeight w:val="117"/>
        </w:trPr>
        <w:tc>
          <w:tcPr>
            <w:tcW w:w="2978" w:type="dxa"/>
            <w:vMerge/>
            <w:tcBorders>
              <w:left w:val="single" w:sz="4" w:space="0" w:color="auto"/>
              <w:bottom w:val="single" w:sz="4" w:space="0" w:color="auto"/>
              <w:right w:val="single" w:sz="4" w:space="0" w:color="auto"/>
            </w:tcBorders>
            <w:vAlign w:val="center"/>
            <w:hideMark/>
          </w:tcPr>
          <w:p w:rsidR="00584966" w:rsidRPr="000173D9" w:rsidRDefault="00584966" w:rsidP="003F0D1F">
            <w:pPr>
              <w:jc w:val="center"/>
              <w:rPr>
                <w:rFonts w:ascii="Calibri" w:hAnsi="Calibri" w:cs="Calibri"/>
                <w:b/>
                <w:sz w:val="22"/>
                <w:szCs w:val="22"/>
              </w:rPr>
            </w:pPr>
          </w:p>
        </w:tc>
        <w:tc>
          <w:tcPr>
            <w:tcW w:w="1138" w:type="dxa"/>
            <w:tcBorders>
              <w:top w:val="single" w:sz="4" w:space="0" w:color="auto"/>
              <w:left w:val="nil"/>
              <w:bottom w:val="single" w:sz="4" w:space="0" w:color="auto"/>
              <w:right w:val="single" w:sz="4" w:space="0" w:color="auto"/>
            </w:tcBorders>
            <w:vAlign w:val="center"/>
            <w:hideMark/>
          </w:tcPr>
          <w:p w:rsidR="00584966" w:rsidRPr="000173D9" w:rsidRDefault="00584966" w:rsidP="003F0D1F">
            <w:pPr>
              <w:jc w:val="center"/>
              <w:rPr>
                <w:rFonts w:ascii="Calibri" w:hAnsi="Calibri" w:cs="Calibri"/>
                <w:b/>
                <w:sz w:val="22"/>
                <w:szCs w:val="22"/>
              </w:rPr>
            </w:pPr>
            <w:r w:rsidRPr="000173D9">
              <w:rPr>
                <w:rFonts w:ascii="Calibri" w:hAnsi="Calibri" w:cs="Calibri"/>
                <w:b/>
                <w:sz w:val="22"/>
                <w:szCs w:val="22"/>
              </w:rPr>
              <w:t>KM</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584966" w:rsidRPr="000173D9" w:rsidRDefault="00584966" w:rsidP="003F0D1F">
            <w:pPr>
              <w:jc w:val="center"/>
              <w:rPr>
                <w:rFonts w:ascii="Calibri" w:hAnsi="Calibri" w:cs="Calibri"/>
                <w:b/>
                <w:sz w:val="22"/>
                <w:szCs w:val="22"/>
              </w:rPr>
            </w:pPr>
            <w:r w:rsidRPr="000173D9">
              <w:rPr>
                <w:rFonts w:ascii="Calibri" w:hAnsi="Calibri" w:cs="Calibri"/>
                <w:b/>
                <w:sz w:val="22"/>
                <w:szCs w:val="22"/>
              </w:rPr>
              <w:t>KM</w:t>
            </w:r>
          </w:p>
        </w:tc>
      </w:tr>
      <w:tr w:rsidR="000455A5" w:rsidRPr="0055072A" w:rsidTr="003F0D1F">
        <w:tc>
          <w:tcPr>
            <w:tcW w:w="2978" w:type="dxa"/>
            <w:tcBorders>
              <w:top w:val="nil"/>
              <w:left w:val="single" w:sz="4" w:space="0" w:color="auto"/>
              <w:bottom w:val="single" w:sz="4" w:space="0" w:color="auto"/>
              <w:right w:val="single" w:sz="4" w:space="0" w:color="auto"/>
            </w:tcBorders>
            <w:shd w:val="clear" w:color="auto" w:fill="D6E3BC"/>
            <w:vAlign w:val="bottom"/>
            <w:hideMark/>
          </w:tcPr>
          <w:p w:rsidR="000455A5" w:rsidRPr="000173D9" w:rsidRDefault="000455A5" w:rsidP="000455A5">
            <w:pPr>
              <w:rPr>
                <w:rFonts w:ascii="Calibri" w:hAnsi="Calibri" w:cs="Calibri"/>
                <w:b/>
                <w:bCs/>
                <w:sz w:val="22"/>
                <w:szCs w:val="22"/>
              </w:rPr>
            </w:pPr>
            <w:r w:rsidRPr="000173D9">
              <w:rPr>
                <w:rFonts w:ascii="Calibri" w:hAnsi="Calibri" w:cs="Calibri"/>
                <w:b/>
                <w:bCs/>
                <w:sz w:val="22"/>
                <w:szCs w:val="22"/>
              </w:rPr>
              <w:t>Poslovni prihodi</w:t>
            </w:r>
          </w:p>
        </w:tc>
        <w:tc>
          <w:tcPr>
            <w:tcW w:w="1138" w:type="dxa"/>
            <w:tcBorders>
              <w:top w:val="nil"/>
              <w:left w:val="nil"/>
              <w:bottom w:val="single" w:sz="4" w:space="0" w:color="auto"/>
              <w:right w:val="single" w:sz="4" w:space="0" w:color="auto"/>
            </w:tcBorders>
            <w:shd w:val="clear" w:color="auto" w:fill="D6E3BC"/>
            <w:noWrap/>
            <w:vAlign w:val="center"/>
          </w:tcPr>
          <w:p w:rsidR="000455A5" w:rsidRPr="000173D9" w:rsidRDefault="000455A5" w:rsidP="000455A5">
            <w:pPr>
              <w:jc w:val="center"/>
              <w:rPr>
                <w:rFonts w:ascii="Calibri" w:hAnsi="Calibri" w:cs="Calibri"/>
                <w:b/>
                <w:bCs/>
                <w:sz w:val="22"/>
                <w:szCs w:val="22"/>
              </w:rPr>
            </w:pPr>
            <w:r w:rsidRPr="000173D9">
              <w:rPr>
                <w:rFonts w:ascii="Calibri" w:hAnsi="Calibri" w:cs="Calibri"/>
                <w:b/>
                <w:bCs/>
                <w:sz w:val="22"/>
                <w:szCs w:val="22"/>
              </w:rPr>
              <w:t>0</w:t>
            </w:r>
          </w:p>
        </w:tc>
        <w:tc>
          <w:tcPr>
            <w:tcW w:w="1136" w:type="dxa"/>
            <w:gridSpan w:val="2"/>
            <w:tcBorders>
              <w:top w:val="nil"/>
              <w:left w:val="nil"/>
              <w:bottom w:val="single" w:sz="4" w:space="0" w:color="auto"/>
              <w:right w:val="single" w:sz="4" w:space="0" w:color="auto"/>
            </w:tcBorders>
            <w:shd w:val="clear" w:color="auto" w:fill="D6E3BC"/>
            <w:vAlign w:val="center"/>
          </w:tcPr>
          <w:p w:rsidR="000455A5" w:rsidRPr="000173D9" w:rsidRDefault="005164E2" w:rsidP="000455A5">
            <w:pPr>
              <w:jc w:val="center"/>
              <w:rPr>
                <w:rFonts w:ascii="Calibri" w:hAnsi="Calibri" w:cs="Calibri"/>
                <w:b/>
                <w:bCs/>
                <w:sz w:val="22"/>
                <w:szCs w:val="22"/>
              </w:rPr>
            </w:pPr>
            <w:r w:rsidRPr="000173D9">
              <w:rPr>
                <w:rFonts w:ascii="Calibri" w:hAnsi="Calibri" w:cs="Calibri"/>
                <w:b/>
                <w:bCs/>
                <w:sz w:val="22"/>
                <w:szCs w:val="22"/>
              </w:rPr>
              <w:t>65.962</w:t>
            </w:r>
          </w:p>
        </w:tc>
      </w:tr>
      <w:tr w:rsidR="000455A5" w:rsidRPr="0055072A" w:rsidTr="003F0D1F">
        <w:tc>
          <w:tcPr>
            <w:tcW w:w="2978" w:type="dxa"/>
            <w:tcBorders>
              <w:top w:val="nil"/>
              <w:left w:val="single" w:sz="4" w:space="0" w:color="auto"/>
              <w:bottom w:val="single" w:sz="4" w:space="0" w:color="auto"/>
              <w:right w:val="single" w:sz="4" w:space="0" w:color="auto"/>
            </w:tcBorders>
            <w:shd w:val="clear" w:color="auto" w:fill="auto"/>
            <w:vAlign w:val="bottom"/>
            <w:hideMark/>
          </w:tcPr>
          <w:p w:rsidR="000455A5" w:rsidRPr="000173D9" w:rsidRDefault="000455A5" w:rsidP="000455A5">
            <w:pPr>
              <w:rPr>
                <w:rFonts w:ascii="Calibri" w:hAnsi="Calibri" w:cs="Calibri"/>
                <w:b/>
                <w:sz w:val="22"/>
                <w:szCs w:val="22"/>
              </w:rPr>
            </w:pPr>
            <w:r w:rsidRPr="000173D9">
              <w:rPr>
                <w:rFonts w:ascii="Calibri" w:hAnsi="Calibri" w:cs="Calibri"/>
                <w:b/>
                <w:sz w:val="22"/>
                <w:szCs w:val="22"/>
              </w:rPr>
              <w:t>Poslovni rashodi</w:t>
            </w:r>
          </w:p>
        </w:tc>
        <w:tc>
          <w:tcPr>
            <w:tcW w:w="1138" w:type="dxa"/>
            <w:tcBorders>
              <w:top w:val="nil"/>
              <w:left w:val="nil"/>
              <w:bottom w:val="single" w:sz="4" w:space="0" w:color="auto"/>
              <w:right w:val="single" w:sz="4" w:space="0" w:color="auto"/>
            </w:tcBorders>
            <w:shd w:val="clear" w:color="auto" w:fill="auto"/>
            <w:noWrap/>
            <w:vAlign w:val="center"/>
          </w:tcPr>
          <w:p w:rsidR="000455A5" w:rsidRPr="000173D9" w:rsidRDefault="00FE7EE0" w:rsidP="000455A5">
            <w:pPr>
              <w:jc w:val="right"/>
              <w:rPr>
                <w:rFonts w:ascii="Calibri" w:hAnsi="Calibri" w:cs="Calibri"/>
                <w:b/>
                <w:bCs/>
                <w:sz w:val="22"/>
                <w:szCs w:val="22"/>
              </w:rPr>
            </w:pPr>
            <w:r w:rsidRPr="000173D9">
              <w:rPr>
                <w:rFonts w:ascii="Calibri" w:hAnsi="Calibri" w:cs="Calibri"/>
                <w:b/>
                <w:bCs/>
                <w:sz w:val="22"/>
                <w:szCs w:val="22"/>
              </w:rPr>
              <w:t>305</w:t>
            </w:r>
            <w:r w:rsidR="000455A5" w:rsidRPr="000173D9">
              <w:rPr>
                <w:rFonts w:ascii="Calibri" w:hAnsi="Calibri" w:cs="Calibri"/>
                <w:b/>
                <w:bCs/>
                <w:sz w:val="22"/>
                <w:szCs w:val="22"/>
              </w:rPr>
              <w:t>.</w:t>
            </w:r>
            <w:r w:rsidRPr="000173D9">
              <w:rPr>
                <w:rFonts w:ascii="Calibri" w:hAnsi="Calibri" w:cs="Calibri"/>
                <w:b/>
                <w:bCs/>
                <w:sz w:val="22"/>
                <w:szCs w:val="22"/>
              </w:rPr>
              <w:t>048</w:t>
            </w:r>
          </w:p>
        </w:tc>
        <w:tc>
          <w:tcPr>
            <w:tcW w:w="1136" w:type="dxa"/>
            <w:gridSpan w:val="2"/>
            <w:tcBorders>
              <w:top w:val="nil"/>
              <w:left w:val="nil"/>
              <w:bottom w:val="single" w:sz="4" w:space="0" w:color="auto"/>
              <w:right w:val="single" w:sz="4" w:space="0" w:color="auto"/>
            </w:tcBorders>
            <w:shd w:val="clear" w:color="auto" w:fill="auto"/>
            <w:vAlign w:val="center"/>
          </w:tcPr>
          <w:p w:rsidR="000455A5" w:rsidRPr="000173D9" w:rsidRDefault="00A4785D" w:rsidP="000455A5">
            <w:pPr>
              <w:jc w:val="right"/>
              <w:rPr>
                <w:rFonts w:ascii="Calibri" w:hAnsi="Calibri" w:cs="Calibri"/>
                <w:b/>
                <w:bCs/>
                <w:sz w:val="22"/>
                <w:szCs w:val="22"/>
              </w:rPr>
            </w:pPr>
            <w:r w:rsidRPr="000173D9">
              <w:rPr>
                <w:rFonts w:ascii="Calibri" w:hAnsi="Calibri" w:cs="Calibri"/>
                <w:b/>
                <w:bCs/>
                <w:sz w:val="22"/>
                <w:szCs w:val="22"/>
              </w:rPr>
              <w:t>188</w:t>
            </w:r>
            <w:r w:rsidR="000455A5" w:rsidRPr="000173D9">
              <w:rPr>
                <w:rFonts w:ascii="Calibri" w:hAnsi="Calibri" w:cs="Calibri"/>
                <w:b/>
                <w:bCs/>
                <w:sz w:val="22"/>
                <w:szCs w:val="22"/>
              </w:rPr>
              <w:t>.</w:t>
            </w:r>
            <w:r w:rsidRPr="000173D9">
              <w:rPr>
                <w:rFonts w:ascii="Calibri" w:hAnsi="Calibri" w:cs="Calibri"/>
                <w:b/>
                <w:bCs/>
                <w:sz w:val="22"/>
                <w:szCs w:val="22"/>
              </w:rPr>
              <w:t>210</w:t>
            </w:r>
          </w:p>
        </w:tc>
      </w:tr>
      <w:tr w:rsidR="000455A5" w:rsidRPr="0055072A" w:rsidTr="003F0D1F">
        <w:tc>
          <w:tcPr>
            <w:tcW w:w="2978" w:type="dxa"/>
            <w:tcBorders>
              <w:top w:val="nil"/>
              <w:left w:val="single" w:sz="4" w:space="0" w:color="auto"/>
              <w:bottom w:val="single" w:sz="4" w:space="0" w:color="auto"/>
              <w:right w:val="single" w:sz="4" w:space="0" w:color="auto"/>
            </w:tcBorders>
            <w:shd w:val="clear" w:color="auto" w:fill="auto"/>
            <w:vAlign w:val="bottom"/>
            <w:hideMark/>
          </w:tcPr>
          <w:p w:rsidR="000455A5" w:rsidRPr="000173D9" w:rsidRDefault="000455A5" w:rsidP="000455A5">
            <w:pPr>
              <w:rPr>
                <w:rFonts w:ascii="Calibri" w:hAnsi="Calibri" w:cs="Calibri"/>
                <w:b/>
                <w:sz w:val="22"/>
                <w:szCs w:val="22"/>
              </w:rPr>
            </w:pPr>
            <w:r w:rsidRPr="000173D9">
              <w:rPr>
                <w:rFonts w:ascii="Calibri" w:hAnsi="Calibri" w:cs="Calibri"/>
                <w:b/>
                <w:sz w:val="22"/>
                <w:szCs w:val="22"/>
              </w:rPr>
              <w:t>Poslovni gubitak</w:t>
            </w:r>
          </w:p>
        </w:tc>
        <w:tc>
          <w:tcPr>
            <w:tcW w:w="1138" w:type="dxa"/>
            <w:tcBorders>
              <w:top w:val="nil"/>
              <w:left w:val="nil"/>
              <w:bottom w:val="single" w:sz="4" w:space="0" w:color="auto"/>
              <w:right w:val="single" w:sz="4" w:space="0" w:color="auto"/>
            </w:tcBorders>
            <w:shd w:val="clear" w:color="auto" w:fill="auto"/>
            <w:noWrap/>
            <w:vAlign w:val="center"/>
          </w:tcPr>
          <w:p w:rsidR="000455A5" w:rsidRPr="000173D9" w:rsidRDefault="00FE7EE0" w:rsidP="000455A5">
            <w:pPr>
              <w:jc w:val="right"/>
              <w:rPr>
                <w:rFonts w:ascii="Calibri" w:hAnsi="Calibri" w:cs="Calibri"/>
                <w:b/>
                <w:bCs/>
                <w:sz w:val="22"/>
                <w:szCs w:val="22"/>
              </w:rPr>
            </w:pPr>
            <w:r w:rsidRPr="000173D9">
              <w:rPr>
                <w:rFonts w:ascii="Calibri" w:hAnsi="Calibri" w:cs="Calibri"/>
                <w:b/>
                <w:bCs/>
                <w:sz w:val="22"/>
                <w:szCs w:val="22"/>
              </w:rPr>
              <w:t>305</w:t>
            </w:r>
            <w:r w:rsidR="000455A5" w:rsidRPr="000173D9">
              <w:rPr>
                <w:rFonts w:ascii="Calibri" w:hAnsi="Calibri" w:cs="Calibri"/>
                <w:b/>
                <w:bCs/>
                <w:sz w:val="22"/>
                <w:szCs w:val="22"/>
              </w:rPr>
              <w:t>.</w:t>
            </w:r>
            <w:r w:rsidRPr="000173D9">
              <w:rPr>
                <w:rFonts w:ascii="Calibri" w:hAnsi="Calibri" w:cs="Calibri"/>
                <w:b/>
                <w:bCs/>
                <w:sz w:val="22"/>
                <w:szCs w:val="22"/>
              </w:rPr>
              <w:t>048</w:t>
            </w:r>
          </w:p>
        </w:tc>
        <w:tc>
          <w:tcPr>
            <w:tcW w:w="1136" w:type="dxa"/>
            <w:gridSpan w:val="2"/>
            <w:tcBorders>
              <w:top w:val="nil"/>
              <w:left w:val="nil"/>
              <w:bottom w:val="single" w:sz="4" w:space="0" w:color="auto"/>
              <w:right w:val="single" w:sz="4" w:space="0" w:color="auto"/>
            </w:tcBorders>
            <w:shd w:val="clear" w:color="auto" w:fill="auto"/>
            <w:vAlign w:val="center"/>
          </w:tcPr>
          <w:p w:rsidR="000455A5" w:rsidRPr="000173D9" w:rsidRDefault="00760ECC" w:rsidP="000455A5">
            <w:pPr>
              <w:jc w:val="right"/>
              <w:rPr>
                <w:rFonts w:ascii="Calibri" w:hAnsi="Calibri" w:cs="Calibri"/>
                <w:b/>
                <w:bCs/>
                <w:sz w:val="22"/>
                <w:szCs w:val="22"/>
              </w:rPr>
            </w:pPr>
            <w:r w:rsidRPr="000173D9">
              <w:rPr>
                <w:rFonts w:ascii="Calibri" w:hAnsi="Calibri" w:cs="Calibri"/>
                <w:b/>
                <w:bCs/>
                <w:sz w:val="22"/>
                <w:szCs w:val="22"/>
              </w:rPr>
              <w:t>1</w:t>
            </w:r>
            <w:r w:rsidR="00622E42" w:rsidRPr="000173D9">
              <w:rPr>
                <w:rFonts w:ascii="Calibri" w:hAnsi="Calibri" w:cs="Calibri"/>
                <w:b/>
                <w:bCs/>
                <w:sz w:val="22"/>
                <w:szCs w:val="22"/>
              </w:rPr>
              <w:t>22</w:t>
            </w:r>
            <w:r w:rsidR="000455A5" w:rsidRPr="000173D9">
              <w:rPr>
                <w:rFonts w:ascii="Calibri" w:hAnsi="Calibri" w:cs="Calibri"/>
                <w:b/>
                <w:bCs/>
                <w:sz w:val="22"/>
                <w:szCs w:val="22"/>
              </w:rPr>
              <w:t>.</w:t>
            </w:r>
            <w:r w:rsidRPr="000173D9">
              <w:rPr>
                <w:rFonts w:ascii="Calibri" w:hAnsi="Calibri" w:cs="Calibri"/>
                <w:b/>
                <w:bCs/>
                <w:sz w:val="22"/>
                <w:szCs w:val="22"/>
              </w:rPr>
              <w:t>2</w:t>
            </w:r>
            <w:r w:rsidR="00622E42" w:rsidRPr="000173D9">
              <w:rPr>
                <w:rFonts w:ascii="Calibri" w:hAnsi="Calibri" w:cs="Calibri"/>
                <w:b/>
                <w:bCs/>
                <w:sz w:val="22"/>
                <w:szCs w:val="22"/>
              </w:rPr>
              <w:t>48</w:t>
            </w:r>
          </w:p>
        </w:tc>
      </w:tr>
      <w:tr w:rsidR="000455A5" w:rsidRPr="0055072A" w:rsidTr="003F0D1F">
        <w:tc>
          <w:tcPr>
            <w:tcW w:w="2978" w:type="dxa"/>
            <w:tcBorders>
              <w:top w:val="nil"/>
              <w:left w:val="single" w:sz="4" w:space="0" w:color="auto"/>
              <w:bottom w:val="single" w:sz="4" w:space="0" w:color="auto"/>
              <w:right w:val="single" w:sz="4" w:space="0" w:color="auto"/>
            </w:tcBorders>
            <w:shd w:val="clear" w:color="auto" w:fill="auto"/>
            <w:vAlign w:val="bottom"/>
            <w:hideMark/>
          </w:tcPr>
          <w:p w:rsidR="000455A5" w:rsidRPr="000173D9" w:rsidRDefault="000455A5" w:rsidP="000455A5">
            <w:pPr>
              <w:rPr>
                <w:rFonts w:ascii="Calibri" w:hAnsi="Calibri" w:cs="Calibri"/>
                <w:b/>
                <w:sz w:val="22"/>
                <w:szCs w:val="22"/>
              </w:rPr>
            </w:pPr>
            <w:r w:rsidRPr="000173D9">
              <w:rPr>
                <w:rFonts w:ascii="Calibri" w:hAnsi="Calibri" w:cs="Calibri"/>
                <w:b/>
                <w:sz w:val="22"/>
                <w:szCs w:val="22"/>
              </w:rPr>
              <w:t>Finansijski prihodi</w:t>
            </w:r>
          </w:p>
        </w:tc>
        <w:tc>
          <w:tcPr>
            <w:tcW w:w="1138" w:type="dxa"/>
            <w:tcBorders>
              <w:top w:val="nil"/>
              <w:left w:val="nil"/>
              <w:bottom w:val="single" w:sz="4" w:space="0" w:color="auto"/>
              <w:right w:val="single" w:sz="4" w:space="0" w:color="auto"/>
            </w:tcBorders>
            <w:shd w:val="clear" w:color="auto" w:fill="auto"/>
            <w:noWrap/>
            <w:vAlign w:val="center"/>
          </w:tcPr>
          <w:p w:rsidR="000455A5" w:rsidRPr="000173D9" w:rsidRDefault="00FE7EE0" w:rsidP="000455A5">
            <w:pPr>
              <w:jc w:val="right"/>
              <w:rPr>
                <w:rFonts w:ascii="Calibri" w:hAnsi="Calibri" w:cs="Calibri"/>
                <w:b/>
                <w:bCs/>
                <w:sz w:val="22"/>
                <w:szCs w:val="22"/>
              </w:rPr>
            </w:pPr>
            <w:r w:rsidRPr="000173D9">
              <w:rPr>
                <w:rFonts w:ascii="Calibri" w:hAnsi="Calibri" w:cs="Calibri"/>
                <w:b/>
                <w:bCs/>
                <w:sz w:val="22"/>
                <w:szCs w:val="22"/>
              </w:rPr>
              <w:t>37</w:t>
            </w:r>
            <w:r w:rsidR="000455A5" w:rsidRPr="000173D9">
              <w:rPr>
                <w:rFonts w:ascii="Calibri" w:hAnsi="Calibri" w:cs="Calibri"/>
                <w:b/>
                <w:bCs/>
                <w:sz w:val="22"/>
                <w:szCs w:val="22"/>
              </w:rPr>
              <w:t>.</w:t>
            </w:r>
            <w:r w:rsidRPr="000173D9">
              <w:rPr>
                <w:rFonts w:ascii="Calibri" w:hAnsi="Calibri" w:cs="Calibri"/>
                <w:b/>
                <w:bCs/>
                <w:sz w:val="22"/>
                <w:szCs w:val="22"/>
              </w:rPr>
              <w:t>099</w:t>
            </w:r>
          </w:p>
        </w:tc>
        <w:tc>
          <w:tcPr>
            <w:tcW w:w="1136" w:type="dxa"/>
            <w:gridSpan w:val="2"/>
            <w:tcBorders>
              <w:top w:val="nil"/>
              <w:left w:val="nil"/>
              <w:bottom w:val="single" w:sz="4" w:space="0" w:color="auto"/>
              <w:right w:val="single" w:sz="4" w:space="0" w:color="auto"/>
            </w:tcBorders>
            <w:shd w:val="clear" w:color="auto" w:fill="auto"/>
            <w:vAlign w:val="center"/>
          </w:tcPr>
          <w:p w:rsidR="000455A5" w:rsidRPr="000173D9" w:rsidRDefault="00760ECC" w:rsidP="000455A5">
            <w:pPr>
              <w:jc w:val="right"/>
              <w:rPr>
                <w:rFonts w:ascii="Calibri" w:hAnsi="Calibri" w:cs="Calibri"/>
                <w:b/>
                <w:bCs/>
                <w:sz w:val="22"/>
                <w:szCs w:val="22"/>
              </w:rPr>
            </w:pPr>
            <w:r w:rsidRPr="000173D9">
              <w:rPr>
                <w:rFonts w:ascii="Calibri" w:hAnsi="Calibri" w:cs="Calibri"/>
                <w:b/>
                <w:bCs/>
                <w:sz w:val="22"/>
                <w:szCs w:val="22"/>
              </w:rPr>
              <w:t>49</w:t>
            </w:r>
            <w:r w:rsidR="000455A5" w:rsidRPr="000173D9">
              <w:rPr>
                <w:rFonts w:ascii="Calibri" w:hAnsi="Calibri" w:cs="Calibri"/>
                <w:b/>
                <w:bCs/>
                <w:sz w:val="22"/>
                <w:szCs w:val="22"/>
              </w:rPr>
              <w:t>.</w:t>
            </w:r>
            <w:r w:rsidRPr="000173D9">
              <w:rPr>
                <w:rFonts w:ascii="Calibri" w:hAnsi="Calibri" w:cs="Calibri"/>
                <w:b/>
                <w:bCs/>
                <w:sz w:val="22"/>
                <w:szCs w:val="22"/>
              </w:rPr>
              <w:t>168</w:t>
            </w:r>
          </w:p>
        </w:tc>
      </w:tr>
      <w:tr w:rsidR="000455A5" w:rsidRPr="0055072A" w:rsidTr="003F0D1F">
        <w:tc>
          <w:tcPr>
            <w:tcW w:w="2978" w:type="dxa"/>
            <w:tcBorders>
              <w:top w:val="nil"/>
              <w:left w:val="single" w:sz="4" w:space="0" w:color="auto"/>
              <w:bottom w:val="single" w:sz="4" w:space="0" w:color="auto"/>
              <w:right w:val="single" w:sz="4" w:space="0" w:color="auto"/>
            </w:tcBorders>
            <w:shd w:val="clear" w:color="auto" w:fill="D6E3BC"/>
            <w:vAlign w:val="bottom"/>
            <w:hideMark/>
          </w:tcPr>
          <w:p w:rsidR="000455A5" w:rsidRPr="000173D9" w:rsidRDefault="000455A5" w:rsidP="000455A5">
            <w:pPr>
              <w:rPr>
                <w:rFonts w:ascii="Calibri" w:hAnsi="Calibri" w:cs="Calibri"/>
                <w:b/>
                <w:bCs/>
                <w:sz w:val="22"/>
                <w:szCs w:val="22"/>
              </w:rPr>
            </w:pPr>
            <w:r w:rsidRPr="000173D9">
              <w:rPr>
                <w:rFonts w:ascii="Calibri" w:hAnsi="Calibri" w:cs="Calibri"/>
                <w:b/>
                <w:bCs/>
                <w:sz w:val="22"/>
                <w:szCs w:val="22"/>
              </w:rPr>
              <w:t>Finansijski rashodi</w:t>
            </w:r>
          </w:p>
        </w:tc>
        <w:tc>
          <w:tcPr>
            <w:tcW w:w="1138" w:type="dxa"/>
            <w:tcBorders>
              <w:top w:val="nil"/>
              <w:left w:val="nil"/>
              <w:bottom w:val="single" w:sz="4" w:space="0" w:color="auto"/>
              <w:right w:val="single" w:sz="4" w:space="0" w:color="auto"/>
            </w:tcBorders>
            <w:shd w:val="clear" w:color="auto" w:fill="D6E3BC"/>
            <w:noWrap/>
            <w:vAlign w:val="center"/>
          </w:tcPr>
          <w:p w:rsidR="000455A5" w:rsidRPr="000173D9" w:rsidRDefault="00FE7EE0" w:rsidP="000455A5">
            <w:pPr>
              <w:jc w:val="center"/>
              <w:rPr>
                <w:rFonts w:ascii="Calibri" w:hAnsi="Calibri" w:cs="Calibri"/>
                <w:b/>
                <w:bCs/>
                <w:sz w:val="22"/>
                <w:szCs w:val="22"/>
              </w:rPr>
            </w:pPr>
            <w:r w:rsidRPr="000173D9">
              <w:rPr>
                <w:rFonts w:ascii="Calibri" w:hAnsi="Calibri" w:cs="Calibri"/>
                <w:b/>
                <w:bCs/>
                <w:sz w:val="22"/>
                <w:szCs w:val="22"/>
              </w:rPr>
              <w:t>6</w:t>
            </w:r>
          </w:p>
        </w:tc>
        <w:tc>
          <w:tcPr>
            <w:tcW w:w="1136" w:type="dxa"/>
            <w:gridSpan w:val="2"/>
            <w:tcBorders>
              <w:top w:val="nil"/>
              <w:left w:val="nil"/>
              <w:bottom w:val="single" w:sz="4" w:space="0" w:color="auto"/>
              <w:right w:val="single" w:sz="4" w:space="0" w:color="auto"/>
            </w:tcBorders>
            <w:shd w:val="clear" w:color="auto" w:fill="D6E3BC"/>
            <w:vAlign w:val="center"/>
          </w:tcPr>
          <w:p w:rsidR="000455A5" w:rsidRPr="000173D9" w:rsidRDefault="00760ECC" w:rsidP="000455A5">
            <w:pPr>
              <w:jc w:val="center"/>
              <w:rPr>
                <w:rFonts w:ascii="Calibri" w:hAnsi="Calibri" w:cs="Calibri"/>
                <w:b/>
                <w:bCs/>
                <w:sz w:val="22"/>
                <w:szCs w:val="22"/>
              </w:rPr>
            </w:pPr>
            <w:r w:rsidRPr="000173D9">
              <w:rPr>
                <w:rFonts w:ascii="Calibri" w:hAnsi="Calibri" w:cs="Calibri"/>
                <w:b/>
                <w:bCs/>
                <w:sz w:val="22"/>
                <w:szCs w:val="22"/>
              </w:rPr>
              <w:t>46.771</w:t>
            </w:r>
          </w:p>
        </w:tc>
      </w:tr>
      <w:tr w:rsidR="000455A5" w:rsidRPr="0055072A" w:rsidTr="003F0D1F">
        <w:tc>
          <w:tcPr>
            <w:tcW w:w="2978" w:type="dxa"/>
            <w:tcBorders>
              <w:top w:val="nil"/>
              <w:left w:val="single" w:sz="4" w:space="0" w:color="auto"/>
              <w:bottom w:val="single" w:sz="4" w:space="0" w:color="auto"/>
              <w:right w:val="single" w:sz="4" w:space="0" w:color="auto"/>
            </w:tcBorders>
            <w:shd w:val="clear" w:color="auto" w:fill="D6E3BC"/>
            <w:vAlign w:val="bottom"/>
            <w:hideMark/>
          </w:tcPr>
          <w:p w:rsidR="000455A5" w:rsidRPr="000173D9" w:rsidRDefault="000455A5" w:rsidP="000455A5">
            <w:pPr>
              <w:rPr>
                <w:rFonts w:ascii="Calibri" w:hAnsi="Calibri" w:cs="Calibri"/>
                <w:b/>
                <w:bCs/>
                <w:sz w:val="22"/>
                <w:szCs w:val="22"/>
              </w:rPr>
            </w:pPr>
            <w:r w:rsidRPr="000173D9">
              <w:rPr>
                <w:rFonts w:ascii="Calibri" w:hAnsi="Calibri" w:cs="Calibri"/>
                <w:b/>
                <w:bCs/>
                <w:sz w:val="22"/>
                <w:szCs w:val="22"/>
              </w:rPr>
              <w:t>Gubitak redovne aktivnosti</w:t>
            </w:r>
          </w:p>
        </w:tc>
        <w:tc>
          <w:tcPr>
            <w:tcW w:w="1138" w:type="dxa"/>
            <w:tcBorders>
              <w:top w:val="nil"/>
              <w:left w:val="nil"/>
              <w:bottom w:val="single" w:sz="4" w:space="0" w:color="auto"/>
              <w:right w:val="single" w:sz="4" w:space="0" w:color="auto"/>
            </w:tcBorders>
            <w:shd w:val="clear" w:color="auto" w:fill="D6E3BC"/>
            <w:noWrap/>
            <w:vAlign w:val="center"/>
          </w:tcPr>
          <w:p w:rsidR="000455A5" w:rsidRPr="000173D9" w:rsidRDefault="00FE7EE0" w:rsidP="000455A5">
            <w:pPr>
              <w:jc w:val="center"/>
              <w:rPr>
                <w:rFonts w:ascii="Calibri" w:hAnsi="Calibri" w:cs="Calibri"/>
                <w:b/>
                <w:bCs/>
                <w:sz w:val="22"/>
                <w:szCs w:val="22"/>
              </w:rPr>
            </w:pPr>
            <w:r w:rsidRPr="000173D9">
              <w:rPr>
                <w:rFonts w:ascii="Calibri" w:hAnsi="Calibri" w:cs="Calibri"/>
                <w:b/>
                <w:bCs/>
                <w:sz w:val="22"/>
                <w:szCs w:val="22"/>
              </w:rPr>
              <w:t>267</w:t>
            </w:r>
            <w:r w:rsidR="000455A5" w:rsidRPr="000173D9">
              <w:rPr>
                <w:rFonts w:ascii="Calibri" w:hAnsi="Calibri" w:cs="Calibri"/>
                <w:b/>
                <w:bCs/>
                <w:sz w:val="22"/>
                <w:szCs w:val="22"/>
              </w:rPr>
              <w:t>.</w:t>
            </w:r>
            <w:r w:rsidR="00760ECC" w:rsidRPr="000173D9">
              <w:rPr>
                <w:rFonts w:ascii="Calibri" w:hAnsi="Calibri" w:cs="Calibri"/>
                <w:b/>
                <w:bCs/>
                <w:sz w:val="22"/>
                <w:szCs w:val="22"/>
              </w:rPr>
              <w:t>9</w:t>
            </w:r>
            <w:r w:rsidRPr="000173D9">
              <w:rPr>
                <w:rFonts w:ascii="Calibri" w:hAnsi="Calibri" w:cs="Calibri"/>
                <w:b/>
                <w:bCs/>
                <w:sz w:val="22"/>
                <w:szCs w:val="22"/>
              </w:rPr>
              <w:t>55</w:t>
            </w:r>
          </w:p>
        </w:tc>
        <w:tc>
          <w:tcPr>
            <w:tcW w:w="1136" w:type="dxa"/>
            <w:gridSpan w:val="2"/>
            <w:tcBorders>
              <w:top w:val="nil"/>
              <w:left w:val="nil"/>
              <w:bottom w:val="single" w:sz="4" w:space="0" w:color="auto"/>
              <w:right w:val="single" w:sz="4" w:space="0" w:color="auto"/>
            </w:tcBorders>
            <w:shd w:val="clear" w:color="auto" w:fill="D6E3BC"/>
            <w:vAlign w:val="center"/>
          </w:tcPr>
          <w:p w:rsidR="000455A5" w:rsidRPr="000173D9" w:rsidRDefault="00760ECC" w:rsidP="000455A5">
            <w:pPr>
              <w:jc w:val="center"/>
              <w:rPr>
                <w:rFonts w:ascii="Calibri" w:hAnsi="Calibri" w:cs="Calibri"/>
                <w:b/>
                <w:bCs/>
                <w:sz w:val="22"/>
                <w:szCs w:val="22"/>
              </w:rPr>
            </w:pPr>
            <w:r w:rsidRPr="000173D9">
              <w:rPr>
                <w:rFonts w:ascii="Calibri" w:hAnsi="Calibri" w:cs="Calibri"/>
                <w:b/>
                <w:bCs/>
                <w:sz w:val="22"/>
                <w:szCs w:val="22"/>
              </w:rPr>
              <w:t>119</w:t>
            </w:r>
            <w:r w:rsidR="000455A5" w:rsidRPr="000173D9">
              <w:rPr>
                <w:rFonts w:ascii="Calibri" w:hAnsi="Calibri" w:cs="Calibri"/>
                <w:b/>
                <w:bCs/>
                <w:sz w:val="22"/>
                <w:szCs w:val="22"/>
              </w:rPr>
              <w:t>.</w:t>
            </w:r>
            <w:r w:rsidRPr="000173D9">
              <w:rPr>
                <w:rFonts w:ascii="Calibri" w:hAnsi="Calibri" w:cs="Calibri"/>
                <w:b/>
                <w:bCs/>
                <w:sz w:val="22"/>
                <w:szCs w:val="22"/>
              </w:rPr>
              <w:t>851</w:t>
            </w:r>
          </w:p>
        </w:tc>
      </w:tr>
      <w:tr w:rsidR="000455A5" w:rsidRPr="0055072A" w:rsidTr="003F0D1F">
        <w:tc>
          <w:tcPr>
            <w:tcW w:w="2978" w:type="dxa"/>
            <w:tcBorders>
              <w:top w:val="nil"/>
              <w:left w:val="single" w:sz="4" w:space="0" w:color="auto"/>
              <w:bottom w:val="single" w:sz="4" w:space="0" w:color="auto"/>
              <w:right w:val="single" w:sz="4" w:space="0" w:color="auto"/>
            </w:tcBorders>
            <w:shd w:val="clear" w:color="auto" w:fill="auto"/>
            <w:vAlign w:val="bottom"/>
            <w:hideMark/>
          </w:tcPr>
          <w:p w:rsidR="000455A5" w:rsidRPr="000173D9" w:rsidRDefault="000455A5" w:rsidP="000455A5">
            <w:pPr>
              <w:rPr>
                <w:rFonts w:ascii="Calibri" w:hAnsi="Calibri" w:cs="Calibri"/>
                <w:b/>
                <w:bCs/>
                <w:sz w:val="22"/>
                <w:szCs w:val="22"/>
              </w:rPr>
            </w:pPr>
            <w:r w:rsidRPr="000173D9">
              <w:rPr>
                <w:rFonts w:ascii="Calibri" w:hAnsi="Calibri" w:cs="Calibri"/>
                <w:b/>
                <w:bCs/>
                <w:sz w:val="22"/>
                <w:szCs w:val="22"/>
              </w:rPr>
              <w:t>Ostali prihodi</w:t>
            </w:r>
          </w:p>
        </w:tc>
        <w:tc>
          <w:tcPr>
            <w:tcW w:w="1138" w:type="dxa"/>
            <w:tcBorders>
              <w:top w:val="nil"/>
              <w:left w:val="nil"/>
              <w:bottom w:val="single" w:sz="4" w:space="0" w:color="auto"/>
              <w:right w:val="single" w:sz="4" w:space="0" w:color="auto"/>
            </w:tcBorders>
            <w:shd w:val="clear" w:color="auto" w:fill="auto"/>
            <w:noWrap/>
            <w:vAlign w:val="center"/>
          </w:tcPr>
          <w:p w:rsidR="000455A5" w:rsidRPr="000173D9" w:rsidRDefault="00A4785D" w:rsidP="000455A5">
            <w:pPr>
              <w:jc w:val="right"/>
              <w:rPr>
                <w:rFonts w:ascii="Calibri" w:hAnsi="Calibri" w:cs="Calibri"/>
                <w:b/>
                <w:bCs/>
                <w:sz w:val="22"/>
                <w:szCs w:val="22"/>
              </w:rPr>
            </w:pPr>
            <w:r w:rsidRPr="000173D9">
              <w:rPr>
                <w:rFonts w:ascii="Calibri" w:hAnsi="Calibri" w:cs="Calibri"/>
                <w:b/>
                <w:bCs/>
                <w:sz w:val="22"/>
                <w:szCs w:val="22"/>
              </w:rPr>
              <w:t>2,</w:t>
            </w:r>
            <w:r w:rsidR="00FE7EE0" w:rsidRPr="000173D9">
              <w:rPr>
                <w:rFonts w:ascii="Calibri" w:hAnsi="Calibri" w:cs="Calibri"/>
                <w:b/>
                <w:bCs/>
                <w:sz w:val="22"/>
                <w:szCs w:val="22"/>
              </w:rPr>
              <w:t>204</w:t>
            </w:r>
          </w:p>
        </w:tc>
        <w:tc>
          <w:tcPr>
            <w:tcW w:w="1136" w:type="dxa"/>
            <w:gridSpan w:val="2"/>
            <w:tcBorders>
              <w:top w:val="nil"/>
              <w:left w:val="nil"/>
              <w:bottom w:val="single" w:sz="4" w:space="0" w:color="auto"/>
              <w:right w:val="single" w:sz="4" w:space="0" w:color="auto"/>
            </w:tcBorders>
            <w:shd w:val="clear" w:color="auto" w:fill="auto"/>
            <w:vAlign w:val="center"/>
          </w:tcPr>
          <w:p w:rsidR="000455A5" w:rsidRPr="000173D9" w:rsidRDefault="00760ECC" w:rsidP="000455A5">
            <w:pPr>
              <w:jc w:val="center"/>
              <w:rPr>
                <w:rFonts w:ascii="Calibri" w:hAnsi="Calibri" w:cs="Calibri"/>
                <w:b/>
                <w:bCs/>
                <w:sz w:val="22"/>
                <w:szCs w:val="22"/>
              </w:rPr>
            </w:pPr>
            <w:r w:rsidRPr="000173D9">
              <w:rPr>
                <w:rFonts w:ascii="Calibri" w:hAnsi="Calibri" w:cs="Calibri"/>
                <w:b/>
                <w:bCs/>
                <w:sz w:val="22"/>
                <w:szCs w:val="22"/>
              </w:rPr>
              <w:t>52</w:t>
            </w:r>
            <w:r w:rsidR="000455A5" w:rsidRPr="000173D9">
              <w:rPr>
                <w:rFonts w:ascii="Calibri" w:hAnsi="Calibri" w:cs="Calibri"/>
                <w:b/>
                <w:bCs/>
                <w:sz w:val="22"/>
                <w:szCs w:val="22"/>
              </w:rPr>
              <w:t>,</w:t>
            </w:r>
            <w:r w:rsidRPr="000173D9">
              <w:rPr>
                <w:rFonts w:ascii="Calibri" w:hAnsi="Calibri" w:cs="Calibri"/>
                <w:b/>
                <w:bCs/>
                <w:sz w:val="22"/>
                <w:szCs w:val="22"/>
              </w:rPr>
              <w:t>477</w:t>
            </w:r>
          </w:p>
        </w:tc>
      </w:tr>
      <w:tr w:rsidR="000455A5" w:rsidRPr="0055072A" w:rsidTr="003F0D1F">
        <w:tc>
          <w:tcPr>
            <w:tcW w:w="2978" w:type="dxa"/>
            <w:tcBorders>
              <w:top w:val="nil"/>
              <w:left w:val="single" w:sz="4" w:space="0" w:color="auto"/>
              <w:bottom w:val="nil"/>
              <w:right w:val="single" w:sz="4" w:space="0" w:color="auto"/>
            </w:tcBorders>
            <w:shd w:val="clear" w:color="auto" w:fill="D6E3BC"/>
            <w:vAlign w:val="bottom"/>
            <w:hideMark/>
          </w:tcPr>
          <w:p w:rsidR="000455A5" w:rsidRPr="000173D9" w:rsidRDefault="000455A5" w:rsidP="000455A5">
            <w:pPr>
              <w:rPr>
                <w:rFonts w:ascii="Calibri" w:hAnsi="Calibri" w:cs="Calibri"/>
                <w:b/>
                <w:bCs/>
                <w:sz w:val="22"/>
                <w:szCs w:val="22"/>
              </w:rPr>
            </w:pPr>
            <w:r w:rsidRPr="000173D9">
              <w:rPr>
                <w:rFonts w:ascii="Calibri" w:hAnsi="Calibri" w:cs="Calibri"/>
                <w:b/>
                <w:bCs/>
                <w:sz w:val="22"/>
                <w:szCs w:val="22"/>
              </w:rPr>
              <w:t>Ostali rashodi</w:t>
            </w:r>
            <w:r w:rsidR="003D167D" w:rsidRPr="000173D9">
              <w:rPr>
                <w:rFonts w:ascii="Calibri" w:hAnsi="Calibri" w:cs="Calibri"/>
                <w:b/>
                <w:bCs/>
                <w:sz w:val="22"/>
                <w:szCs w:val="22"/>
              </w:rPr>
              <w:t>-rashodi od uskl.im</w:t>
            </w:r>
          </w:p>
          <w:p w:rsidR="00E723A0" w:rsidRPr="000173D9" w:rsidRDefault="00E723A0" w:rsidP="000455A5">
            <w:pPr>
              <w:rPr>
                <w:rFonts w:ascii="Calibri" w:hAnsi="Calibri" w:cs="Calibri"/>
                <w:b/>
                <w:bCs/>
                <w:sz w:val="22"/>
                <w:szCs w:val="22"/>
              </w:rPr>
            </w:pPr>
          </w:p>
        </w:tc>
        <w:tc>
          <w:tcPr>
            <w:tcW w:w="1138" w:type="dxa"/>
            <w:tcBorders>
              <w:top w:val="nil"/>
              <w:left w:val="nil"/>
              <w:bottom w:val="nil"/>
              <w:right w:val="single" w:sz="4" w:space="0" w:color="auto"/>
            </w:tcBorders>
            <w:shd w:val="clear" w:color="auto" w:fill="D6E3BC"/>
            <w:noWrap/>
            <w:vAlign w:val="center"/>
          </w:tcPr>
          <w:p w:rsidR="0055072A" w:rsidRPr="000173D9" w:rsidRDefault="0055072A" w:rsidP="000455A5">
            <w:pPr>
              <w:jc w:val="center"/>
              <w:rPr>
                <w:rFonts w:ascii="Calibri" w:hAnsi="Calibri" w:cs="Calibri"/>
                <w:b/>
                <w:bCs/>
                <w:sz w:val="22"/>
                <w:szCs w:val="22"/>
              </w:rPr>
            </w:pPr>
          </w:p>
          <w:p w:rsidR="0055072A" w:rsidRPr="000173D9" w:rsidRDefault="0055072A" w:rsidP="000455A5">
            <w:pPr>
              <w:jc w:val="center"/>
              <w:rPr>
                <w:rFonts w:ascii="Calibri" w:hAnsi="Calibri" w:cs="Calibri"/>
                <w:b/>
                <w:bCs/>
                <w:sz w:val="22"/>
                <w:szCs w:val="22"/>
              </w:rPr>
            </w:pPr>
          </w:p>
          <w:p w:rsidR="000455A5" w:rsidRPr="000173D9" w:rsidRDefault="00A4785D" w:rsidP="000455A5">
            <w:pPr>
              <w:jc w:val="center"/>
              <w:rPr>
                <w:rFonts w:ascii="Calibri" w:hAnsi="Calibri" w:cs="Calibri"/>
                <w:b/>
                <w:bCs/>
                <w:sz w:val="22"/>
                <w:szCs w:val="22"/>
              </w:rPr>
            </w:pPr>
            <w:r w:rsidRPr="000173D9">
              <w:rPr>
                <w:rFonts w:ascii="Calibri" w:hAnsi="Calibri" w:cs="Calibri"/>
                <w:b/>
                <w:bCs/>
                <w:sz w:val="22"/>
                <w:szCs w:val="22"/>
              </w:rPr>
              <w:t>62</w:t>
            </w:r>
            <w:r w:rsidR="000455A5" w:rsidRPr="000173D9">
              <w:rPr>
                <w:rFonts w:ascii="Calibri" w:hAnsi="Calibri" w:cs="Calibri"/>
                <w:b/>
                <w:bCs/>
                <w:sz w:val="22"/>
                <w:szCs w:val="22"/>
              </w:rPr>
              <w:t>.</w:t>
            </w:r>
            <w:r w:rsidRPr="000173D9">
              <w:rPr>
                <w:rFonts w:ascii="Calibri" w:hAnsi="Calibri" w:cs="Calibri"/>
                <w:b/>
                <w:bCs/>
                <w:sz w:val="22"/>
                <w:szCs w:val="22"/>
              </w:rPr>
              <w:t>84</w:t>
            </w:r>
            <w:r w:rsidR="00E723A0" w:rsidRPr="000173D9">
              <w:rPr>
                <w:rFonts w:ascii="Calibri" w:hAnsi="Calibri" w:cs="Calibri"/>
                <w:b/>
                <w:bCs/>
                <w:sz w:val="22"/>
                <w:szCs w:val="22"/>
              </w:rPr>
              <w:t>3</w:t>
            </w:r>
          </w:p>
        </w:tc>
        <w:tc>
          <w:tcPr>
            <w:tcW w:w="1136" w:type="dxa"/>
            <w:gridSpan w:val="2"/>
            <w:tcBorders>
              <w:top w:val="nil"/>
              <w:left w:val="nil"/>
              <w:bottom w:val="nil"/>
              <w:right w:val="single" w:sz="4" w:space="0" w:color="auto"/>
            </w:tcBorders>
            <w:shd w:val="clear" w:color="auto" w:fill="D6E3BC"/>
            <w:vAlign w:val="center"/>
          </w:tcPr>
          <w:p w:rsidR="0055072A" w:rsidRPr="000173D9" w:rsidRDefault="0055072A" w:rsidP="0055072A">
            <w:pPr>
              <w:rPr>
                <w:rFonts w:ascii="Calibri" w:hAnsi="Calibri" w:cs="Calibri"/>
                <w:b/>
                <w:bCs/>
                <w:sz w:val="22"/>
                <w:szCs w:val="22"/>
              </w:rPr>
            </w:pPr>
          </w:p>
          <w:p w:rsidR="000455A5" w:rsidRPr="000173D9" w:rsidRDefault="003D167D" w:rsidP="0055072A">
            <w:pPr>
              <w:rPr>
                <w:rFonts w:ascii="Calibri" w:hAnsi="Calibri" w:cs="Calibri"/>
                <w:b/>
                <w:bCs/>
                <w:sz w:val="22"/>
                <w:szCs w:val="22"/>
              </w:rPr>
            </w:pPr>
            <w:r w:rsidRPr="000173D9">
              <w:rPr>
                <w:rFonts w:ascii="Calibri" w:hAnsi="Calibri" w:cs="Calibri"/>
                <w:b/>
                <w:bCs/>
                <w:sz w:val="22"/>
                <w:szCs w:val="22"/>
              </w:rPr>
              <w:t>2.576.008</w:t>
            </w:r>
          </w:p>
          <w:p w:rsidR="00E723A0" w:rsidRPr="000173D9" w:rsidRDefault="00E723A0" w:rsidP="000455A5">
            <w:pPr>
              <w:jc w:val="center"/>
              <w:rPr>
                <w:rFonts w:ascii="Calibri" w:hAnsi="Calibri" w:cs="Calibri"/>
                <w:b/>
                <w:bCs/>
                <w:sz w:val="22"/>
                <w:szCs w:val="22"/>
              </w:rPr>
            </w:pPr>
          </w:p>
        </w:tc>
      </w:tr>
      <w:tr w:rsidR="000455A5" w:rsidRPr="0055072A" w:rsidTr="003F0D1F">
        <w:tc>
          <w:tcPr>
            <w:tcW w:w="2978" w:type="dxa"/>
            <w:tcBorders>
              <w:top w:val="nil"/>
              <w:left w:val="single" w:sz="4" w:space="0" w:color="auto"/>
              <w:bottom w:val="nil"/>
              <w:right w:val="single" w:sz="4" w:space="0" w:color="auto"/>
            </w:tcBorders>
            <w:shd w:val="clear" w:color="auto" w:fill="D6E3BC"/>
            <w:vAlign w:val="bottom"/>
          </w:tcPr>
          <w:p w:rsidR="000455A5" w:rsidRPr="000173D9" w:rsidRDefault="000455A5" w:rsidP="000455A5">
            <w:pPr>
              <w:rPr>
                <w:rFonts w:ascii="Calibri" w:hAnsi="Calibri" w:cs="Calibri"/>
                <w:b/>
                <w:bCs/>
                <w:sz w:val="22"/>
                <w:szCs w:val="22"/>
              </w:rPr>
            </w:pPr>
            <w:r w:rsidRPr="000173D9">
              <w:rPr>
                <w:rFonts w:ascii="Calibri" w:hAnsi="Calibri" w:cs="Calibri"/>
                <w:b/>
                <w:bCs/>
                <w:sz w:val="22"/>
                <w:szCs w:val="22"/>
              </w:rPr>
              <w:t>Dobitak prije oporezivanja</w:t>
            </w:r>
          </w:p>
        </w:tc>
        <w:tc>
          <w:tcPr>
            <w:tcW w:w="1138" w:type="dxa"/>
            <w:tcBorders>
              <w:top w:val="nil"/>
              <w:left w:val="nil"/>
              <w:bottom w:val="nil"/>
              <w:right w:val="single" w:sz="4" w:space="0" w:color="auto"/>
            </w:tcBorders>
            <w:shd w:val="clear" w:color="auto" w:fill="D6E3BC"/>
            <w:noWrap/>
            <w:vAlign w:val="center"/>
          </w:tcPr>
          <w:p w:rsidR="000455A5" w:rsidRPr="000173D9" w:rsidRDefault="000455A5" w:rsidP="000455A5">
            <w:pPr>
              <w:jc w:val="center"/>
              <w:rPr>
                <w:rFonts w:ascii="Calibri" w:hAnsi="Calibri" w:cs="Calibri"/>
                <w:b/>
                <w:bCs/>
                <w:sz w:val="22"/>
                <w:szCs w:val="22"/>
              </w:rPr>
            </w:pPr>
            <w:r w:rsidRPr="000173D9">
              <w:rPr>
                <w:rFonts w:ascii="Calibri" w:hAnsi="Calibri" w:cs="Calibri"/>
                <w:b/>
                <w:bCs/>
                <w:sz w:val="22"/>
                <w:szCs w:val="22"/>
              </w:rPr>
              <w:t>0</w:t>
            </w:r>
          </w:p>
        </w:tc>
        <w:tc>
          <w:tcPr>
            <w:tcW w:w="1136" w:type="dxa"/>
            <w:gridSpan w:val="2"/>
            <w:tcBorders>
              <w:top w:val="nil"/>
              <w:left w:val="nil"/>
              <w:bottom w:val="nil"/>
              <w:right w:val="single" w:sz="4" w:space="0" w:color="auto"/>
            </w:tcBorders>
            <w:shd w:val="clear" w:color="auto" w:fill="D6E3BC"/>
            <w:vAlign w:val="center"/>
          </w:tcPr>
          <w:p w:rsidR="000455A5" w:rsidRPr="000173D9" w:rsidRDefault="000455A5" w:rsidP="000455A5">
            <w:pPr>
              <w:jc w:val="center"/>
              <w:rPr>
                <w:rFonts w:ascii="Calibri" w:hAnsi="Calibri" w:cs="Calibri"/>
                <w:b/>
                <w:bCs/>
                <w:sz w:val="22"/>
                <w:szCs w:val="22"/>
              </w:rPr>
            </w:pPr>
            <w:r w:rsidRPr="000173D9">
              <w:rPr>
                <w:rFonts w:ascii="Calibri" w:hAnsi="Calibri" w:cs="Calibri"/>
                <w:b/>
                <w:bCs/>
                <w:sz w:val="22"/>
                <w:szCs w:val="22"/>
              </w:rPr>
              <w:t>0</w:t>
            </w:r>
          </w:p>
        </w:tc>
      </w:tr>
      <w:tr w:rsidR="000455A5" w:rsidRPr="0055072A" w:rsidTr="003F0D1F">
        <w:tc>
          <w:tcPr>
            <w:tcW w:w="2978" w:type="dxa"/>
            <w:tcBorders>
              <w:top w:val="nil"/>
              <w:left w:val="single" w:sz="4" w:space="0" w:color="auto"/>
              <w:bottom w:val="nil"/>
              <w:right w:val="single" w:sz="4" w:space="0" w:color="auto"/>
            </w:tcBorders>
            <w:shd w:val="clear" w:color="auto" w:fill="D6E3BC"/>
            <w:vAlign w:val="bottom"/>
          </w:tcPr>
          <w:p w:rsidR="000455A5" w:rsidRPr="000173D9" w:rsidRDefault="000455A5" w:rsidP="000455A5">
            <w:pPr>
              <w:rPr>
                <w:rFonts w:ascii="Calibri" w:hAnsi="Calibri" w:cs="Calibri"/>
                <w:b/>
                <w:bCs/>
                <w:sz w:val="22"/>
                <w:szCs w:val="22"/>
              </w:rPr>
            </w:pPr>
            <w:r w:rsidRPr="000173D9">
              <w:rPr>
                <w:rFonts w:ascii="Calibri" w:hAnsi="Calibri" w:cs="Calibri"/>
                <w:b/>
                <w:bCs/>
                <w:sz w:val="22"/>
                <w:szCs w:val="22"/>
              </w:rPr>
              <w:t>Gubitak prije oporezivanja</w:t>
            </w:r>
          </w:p>
        </w:tc>
        <w:tc>
          <w:tcPr>
            <w:tcW w:w="1138" w:type="dxa"/>
            <w:tcBorders>
              <w:top w:val="nil"/>
              <w:left w:val="nil"/>
              <w:bottom w:val="nil"/>
              <w:right w:val="single" w:sz="4" w:space="0" w:color="auto"/>
            </w:tcBorders>
            <w:shd w:val="clear" w:color="auto" w:fill="D6E3BC"/>
            <w:noWrap/>
            <w:vAlign w:val="center"/>
          </w:tcPr>
          <w:p w:rsidR="000455A5" w:rsidRPr="000173D9" w:rsidRDefault="00A4785D" w:rsidP="000455A5">
            <w:pPr>
              <w:jc w:val="center"/>
              <w:rPr>
                <w:rFonts w:ascii="Calibri" w:hAnsi="Calibri" w:cs="Calibri"/>
                <w:b/>
                <w:bCs/>
                <w:sz w:val="22"/>
                <w:szCs w:val="22"/>
              </w:rPr>
            </w:pPr>
            <w:r w:rsidRPr="000173D9">
              <w:rPr>
                <w:rFonts w:ascii="Calibri" w:hAnsi="Calibri" w:cs="Calibri"/>
                <w:b/>
                <w:bCs/>
                <w:sz w:val="22"/>
                <w:szCs w:val="22"/>
              </w:rPr>
              <w:t>330</w:t>
            </w:r>
            <w:r w:rsidR="000455A5" w:rsidRPr="000173D9">
              <w:rPr>
                <w:rFonts w:ascii="Calibri" w:hAnsi="Calibri" w:cs="Calibri"/>
                <w:b/>
                <w:bCs/>
                <w:sz w:val="22"/>
                <w:szCs w:val="22"/>
              </w:rPr>
              <w:t>.</w:t>
            </w:r>
            <w:r w:rsidRPr="000173D9">
              <w:rPr>
                <w:rFonts w:ascii="Calibri" w:hAnsi="Calibri" w:cs="Calibri"/>
                <w:b/>
                <w:bCs/>
                <w:sz w:val="22"/>
                <w:szCs w:val="22"/>
              </w:rPr>
              <w:t>301</w:t>
            </w:r>
          </w:p>
        </w:tc>
        <w:tc>
          <w:tcPr>
            <w:tcW w:w="1136" w:type="dxa"/>
            <w:gridSpan w:val="2"/>
            <w:tcBorders>
              <w:top w:val="nil"/>
              <w:left w:val="nil"/>
              <w:bottom w:val="nil"/>
              <w:right w:val="single" w:sz="4" w:space="0" w:color="auto"/>
            </w:tcBorders>
            <w:shd w:val="clear" w:color="auto" w:fill="D6E3BC"/>
            <w:vAlign w:val="center"/>
          </w:tcPr>
          <w:p w:rsidR="000455A5" w:rsidRPr="000173D9" w:rsidRDefault="00760ECC" w:rsidP="000455A5">
            <w:pPr>
              <w:jc w:val="center"/>
              <w:rPr>
                <w:rFonts w:ascii="Calibri" w:hAnsi="Calibri" w:cs="Calibri"/>
                <w:b/>
                <w:bCs/>
                <w:sz w:val="22"/>
                <w:szCs w:val="22"/>
              </w:rPr>
            </w:pPr>
            <w:r w:rsidRPr="000173D9">
              <w:rPr>
                <w:rFonts w:ascii="Calibri" w:hAnsi="Calibri" w:cs="Calibri"/>
                <w:b/>
                <w:bCs/>
                <w:sz w:val="22"/>
                <w:szCs w:val="22"/>
              </w:rPr>
              <w:t>2.652</w:t>
            </w:r>
            <w:r w:rsidR="000455A5" w:rsidRPr="000173D9">
              <w:rPr>
                <w:rFonts w:ascii="Calibri" w:hAnsi="Calibri" w:cs="Calibri"/>
                <w:b/>
                <w:bCs/>
                <w:sz w:val="22"/>
                <w:szCs w:val="22"/>
              </w:rPr>
              <w:t>,</w:t>
            </w:r>
            <w:r w:rsidRPr="000173D9">
              <w:rPr>
                <w:rFonts w:ascii="Calibri" w:hAnsi="Calibri" w:cs="Calibri"/>
                <w:b/>
                <w:bCs/>
                <w:sz w:val="22"/>
                <w:szCs w:val="22"/>
              </w:rPr>
              <w:t>163</w:t>
            </w:r>
          </w:p>
        </w:tc>
      </w:tr>
      <w:tr w:rsidR="000455A5" w:rsidRPr="0055072A" w:rsidTr="003F0D1F">
        <w:tc>
          <w:tcPr>
            <w:tcW w:w="2978" w:type="dxa"/>
            <w:tcBorders>
              <w:top w:val="nil"/>
              <w:left w:val="single" w:sz="4" w:space="0" w:color="auto"/>
              <w:bottom w:val="nil"/>
              <w:right w:val="single" w:sz="4" w:space="0" w:color="auto"/>
            </w:tcBorders>
            <w:shd w:val="clear" w:color="auto" w:fill="D6E3BC"/>
            <w:vAlign w:val="bottom"/>
          </w:tcPr>
          <w:p w:rsidR="000455A5" w:rsidRPr="000173D9" w:rsidRDefault="000455A5" w:rsidP="000455A5">
            <w:pPr>
              <w:rPr>
                <w:rFonts w:ascii="Calibri" w:hAnsi="Calibri" w:cs="Calibri"/>
                <w:b/>
                <w:bCs/>
                <w:sz w:val="22"/>
                <w:szCs w:val="22"/>
              </w:rPr>
            </w:pPr>
            <w:r w:rsidRPr="000173D9">
              <w:rPr>
                <w:rFonts w:ascii="Calibri" w:hAnsi="Calibri" w:cs="Calibri"/>
                <w:b/>
                <w:bCs/>
                <w:sz w:val="22"/>
                <w:szCs w:val="22"/>
              </w:rPr>
              <w:t>Porez na dobit</w:t>
            </w:r>
          </w:p>
        </w:tc>
        <w:tc>
          <w:tcPr>
            <w:tcW w:w="1138" w:type="dxa"/>
            <w:tcBorders>
              <w:top w:val="nil"/>
              <w:left w:val="nil"/>
              <w:bottom w:val="nil"/>
              <w:right w:val="single" w:sz="4" w:space="0" w:color="auto"/>
            </w:tcBorders>
            <w:shd w:val="clear" w:color="auto" w:fill="D6E3BC"/>
            <w:noWrap/>
            <w:vAlign w:val="center"/>
          </w:tcPr>
          <w:p w:rsidR="000455A5" w:rsidRPr="000173D9" w:rsidRDefault="000455A5" w:rsidP="000455A5">
            <w:pPr>
              <w:jc w:val="center"/>
              <w:rPr>
                <w:rFonts w:ascii="Calibri" w:hAnsi="Calibri" w:cs="Calibri"/>
                <w:b/>
                <w:bCs/>
                <w:sz w:val="22"/>
                <w:szCs w:val="22"/>
              </w:rPr>
            </w:pPr>
          </w:p>
        </w:tc>
        <w:tc>
          <w:tcPr>
            <w:tcW w:w="1136" w:type="dxa"/>
            <w:gridSpan w:val="2"/>
            <w:tcBorders>
              <w:top w:val="nil"/>
              <w:left w:val="nil"/>
              <w:bottom w:val="nil"/>
              <w:right w:val="single" w:sz="4" w:space="0" w:color="auto"/>
            </w:tcBorders>
            <w:shd w:val="clear" w:color="auto" w:fill="D6E3BC"/>
            <w:vAlign w:val="center"/>
          </w:tcPr>
          <w:p w:rsidR="000455A5" w:rsidRPr="000173D9" w:rsidRDefault="000455A5" w:rsidP="000455A5">
            <w:pPr>
              <w:jc w:val="center"/>
              <w:rPr>
                <w:rFonts w:ascii="Calibri" w:hAnsi="Calibri" w:cs="Calibri"/>
                <w:b/>
                <w:bCs/>
                <w:sz w:val="22"/>
                <w:szCs w:val="22"/>
              </w:rPr>
            </w:pPr>
          </w:p>
        </w:tc>
      </w:tr>
      <w:tr w:rsidR="000455A5" w:rsidRPr="0055072A" w:rsidTr="003F0D1F">
        <w:tc>
          <w:tcPr>
            <w:tcW w:w="2978" w:type="dxa"/>
            <w:tcBorders>
              <w:top w:val="nil"/>
              <w:left w:val="single" w:sz="4" w:space="0" w:color="auto"/>
              <w:bottom w:val="nil"/>
              <w:right w:val="single" w:sz="4" w:space="0" w:color="auto"/>
            </w:tcBorders>
            <w:shd w:val="clear" w:color="auto" w:fill="D6E3BC"/>
            <w:vAlign w:val="bottom"/>
          </w:tcPr>
          <w:p w:rsidR="000455A5" w:rsidRPr="000173D9" w:rsidRDefault="000455A5" w:rsidP="000455A5">
            <w:pPr>
              <w:rPr>
                <w:rFonts w:ascii="Calibri" w:hAnsi="Calibri" w:cs="Calibri"/>
                <w:b/>
                <w:bCs/>
                <w:sz w:val="22"/>
                <w:szCs w:val="22"/>
              </w:rPr>
            </w:pPr>
            <w:r w:rsidRPr="000173D9">
              <w:rPr>
                <w:rFonts w:ascii="Calibri" w:hAnsi="Calibri" w:cs="Calibri"/>
                <w:b/>
                <w:bCs/>
                <w:sz w:val="22"/>
                <w:szCs w:val="22"/>
              </w:rPr>
              <w:t>Neto gubitak</w:t>
            </w:r>
          </w:p>
        </w:tc>
        <w:tc>
          <w:tcPr>
            <w:tcW w:w="1138" w:type="dxa"/>
            <w:tcBorders>
              <w:top w:val="nil"/>
              <w:left w:val="nil"/>
              <w:bottom w:val="nil"/>
              <w:right w:val="single" w:sz="4" w:space="0" w:color="auto"/>
            </w:tcBorders>
            <w:shd w:val="clear" w:color="auto" w:fill="D6E3BC"/>
            <w:noWrap/>
            <w:vAlign w:val="center"/>
          </w:tcPr>
          <w:p w:rsidR="000455A5" w:rsidRPr="000173D9" w:rsidRDefault="00A4785D" w:rsidP="000455A5">
            <w:pPr>
              <w:jc w:val="center"/>
              <w:rPr>
                <w:rFonts w:ascii="Calibri" w:hAnsi="Calibri" w:cs="Calibri"/>
                <w:b/>
                <w:bCs/>
                <w:sz w:val="22"/>
                <w:szCs w:val="22"/>
              </w:rPr>
            </w:pPr>
            <w:r w:rsidRPr="000173D9">
              <w:rPr>
                <w:rFonts w:ascii="Calibri" w:hAnsi="Calibri" w:cs="Calibri"/>
                <w:b/>
                <w:bCs/>
                <w:sz w:val="22"/>
                <w:szCs w:val="22"/>
              </w:rPr>
              <w:t>330</w:t>
            </w:r>
            <w:r w:rsidR="000455A5" w:rsidRPr="000173D9">
              <w:rPr>
                <w:rFonts w:ascii="Calibri" w:hAnsi="Calibri" w:cs="Calibri"/>
                <w:b/>
                <w:bCs/>
                <w:sz w:val="22"/>
                <w:szCs w:val="22"/>
              </w:rPr>
              <w:t>.</w:t>
            </w:r>
            <w:r w:rsidRPr="000173D9">
              <w:rPr>
                <w:rFonts w:ascii="Calibri" w:hAnsi="Calibri" w:cs="Calibri"/>
                <w:b/>
                <w:bCs/>
                <w:sz w:val="22"/>
                <w:szCs w:val="22"/>
              </w:rPr>
              <w:t>301</w:t>
            </w:r>
          </w:p>
        </w:tc>
        <w:tc>
          <w:tcPr>
            <w:tcW w:w="1136" w:type="dxa"/>
            <w:gridSpan w:val="2"/>
            <w:tcBorders>
              <w:top w:val="nil"/>
              <w:left w:val="nil"/>
              <w:bottom w:val="nil"/>
              <w:right w:val="single" w:sz="4" w:space="0" w:color="auto"/>
            </w:tcBorders>
            <w:shd w:val="clear" w:color="auto" w:fill="D6E3BC"/>
            <w:vAlign w:val="center"/>
          </w:tcPr>
          <w:p w:rsidR="000455A5" w:rsidRPr="000173D9" w:rsidRDefault="00760ECC" w:rsidP="000455A5">
            <w:pPr>
              <w:jc w:val="center"/>
              <w:rPr>
                <w:rFonts w:ascii="Calibri" w:hAnsi="Calibri" w:cs="Calibri"/>
                <w:b/>
                <w:bCs/>
                <w:sz w:val="22"/>
                <w:szCs w:val="22"/>
              </w:rPr>
            </w:pPr>
            <w:r w:rsidRPr="000173D9">
              <w:rPr>
                <w:rFonts w:ascii="Calibri" w:hAnsi="Calibri" w:cs="Calibri"/>
                <w:b/>
                <w:bCs/>
                <w:sz w:val="22"/>
                <w:szCs w:val="22"/>
              </w:rPr>
              <w:t>2.652</w:t>
            </w:r>
            <w:r w:rsidR="000455A5" w:rsidRPr="000173D9">
              <w:rPr>
                <w:rFonts w:ascii="Calibri" w:hAnsi="Calibri" w:cs="Calibri"/>
                <w:b/>
                <w:bCs/>
                <w:sz w:val="22"/>
                <w:szCs w:val="22"/>
              </w:rPr>
              <w:t>.1</w:t>
            </w:r>
            <w:r w:rsidRPr="000173D9">
              <w:rPr>
                <w:rFonts w:ascii="Calibri" w:hAnsi="Calibri" w:cs="Calibri"/>
                <w:b/>
                <w:bCs/>
                <w:sz w:val="22"/>
                <w:szCs w:val="22"/>
              </w:rPr>
              <w:t>63</w:t>
            </w:r>
          </w:p>
        </w:tc>
      </w:tr>
      <w:tr w:rsidR="000455A5" w:rsidRPr="00015734" w:rsidTr="003F0D1F">
        <w:tc>
          <w:tcPr>
            <w:tcW w:w="2978" w:type="dxa"/>
            <w:tcBorders>
              <w:top w:val="nil"/>
              <w:left w:val="single" w:sz="4" w:space="0" w:color="auto"/>
              <w:bottom w:val="single" w:sz="4" w:space="0" w:color="auto"/>
              <w:right w:val="single" w:sz="4" w:space="0" w:color="auto"/>
            </w:tcBorders>
            <w:shd w:val="clear" w:color="auto" w:fill="D6E3BC"/>
            <w:vAlign w:val="bottom"/>
          </w:tcPr>
          <w:p w:rsidR="000455A5" w:rsidRPr="000173D9" w:rsidRDefault="000455A5" w:rsidP="000455A5">
            <w:pPr>
              <w:rPr>
                <w:rFonts w:ascii="Calibri" w:hAnsi="Calibri" w:cs="Calibri"/>
                <w:b/>
                <w:bCs/>
                <w:sz w:val="22"/>
                <w:szCs w:val="22"/>
              </w:rPr>
            </w:pPr>
            <w:r w:rsidRPr="000173D9">
              <w:rPr>
                <w:rFonts w:ascii="Calibri" w:hAnsi="Calibri" w:cs="Calibri"/>
                <w:b/>
                <w:bCs/>
                <w:sz w:val="22"/>
                <w:szCs w:val="22"/>
              </w:rPr>
              <w:t>Neto dobitak</w:t>
            </w:r>
          </w:p>
        </w:tc>
        <w:tc>
          <w:tcPr>
            <w:tcW w:w="1138" w:type="dxa"/>
            <w:tcBorders>
              <w:top w:val="nil"/>
              <w:left w:val="nil"/>
              <w:bottom w:val="single" w:sz="4" w:space="0" w:color="auto"/>
              <w:right w:val="single" w:sz="4" w:space="0" w:color="auto"/>
            </w:tcBorders>
            <w:shd w:val="clear" w:color="auto" w:fill="D6E3BC"/>
            <w:noWrap/>
            <w:vAlign w:val="center"/>
          </w:tcPr>
          <w:p w:rsidR="000455A5" w:rsidRPr="000173D9" w:rsidRDefault="000455A5" w:rsidP="000455A5">
            <w:pPr>
              <w:jc w:val="center"/>
              <w:rPr>
                <w:rFonts w:ascii="Calibri" w:hAnsi="Calibri" w:cs="Calibri"/>
                <w:b/>
                <w:bCs/>
                <w:sz w:val="22"/>
                <w:szCs w:val="22"/>
              </w:rPr>
            </w:pPr>
            <w:r w:rsidRPr="000173D9">
              <w:rPr>
                <w:rFonts w:ascii="Calibri" w:hAnsi="Calibri" w:cs="Calibri"/>
                <w:b/>
                <w:bCs/>
                <w:sz w:val="22"/>
                <w:szCs w:val="22"/>
              </w:rPr>
              <w:t>0</w:t>
            </w:r>
          </w:p>
        </w:tc>
        <w:tc>
          <w:tcPr>
            <w:tcW w:w="1136" w:type="dxa"/>
            <w:gridSpan w:val="2"/>
            <w:tcBorders>
              <w:top w:val="nil"/>
              <w:left w:val="nil"/>
              <w:bottom w:val="single" w:sz="4" w:space="0" w:color="auto"/>
              <w:right w:val="single" w:sz="4" w:space="0" w:color="auto"/>
            </w:tcBorders>
            <w:shd w:val="clear" w:color="auto" w:fill="D6E3BC"/>
            <w:vAlign w:val="center"/>
          </w:tcPr>
          <w:p w:rsidR="000455A5" w:rsidRPr="000173D9" w:rsidRDefault="000455A5" w:rsidP="000455A5">
            <w:pPr>
              <w:jc w:val="center"/>
              <w:rPr>
                <w:rFonts w:ascii="Calibri" w:hAnsi="Calibri" w:cs="Calibri"/>
                <w:b/>
                <w:bCs/>
                <w:sz w:val="22"/>
                <w:szCs w:val="22"/>
              </w:rPr>
            </w:pPr>
            <w:r w:rsidRPr="000173D9">
              <w:rPr>
                <w:rFonts w:ascii="Calibri" w:hAnsi="Calibri" w:cs="Calibri"/>
                <w:b/>
                <w:bCs/>
                <w:sz w:val="22"/>
                <w:szCs w:val="22"/>
              </w:rPr>
              <w:t>0</w:t>
            </w:r>
          </w:p>
        </w:tc>
      </w:tr>
    </w:tbl>
    <w:p w:rsidR="00584966" w:rsidRDefault="003F0D1F" w:rsidP="00566F39">
      <w:pPr>
        <w:spacing w:after="120"/>
        <w:jc w:val="both"/>
        <w:rPr>
          <w:rFonts w:ascii="Calibri" w:hAnsi="Calibri"/>
          <w:sz w:val="22"/>
          <w:szCs w:val="22"/>
          <w:lang w:val="sr-Latn-BA"/>
        </w:rPr>
      </w:pPr>
      <w:r>
        <w:rPr>
          <w:rFonts w:ascii="Calibri" w:hAnsi="Calibri"/>
          <w:sz w:val="22"/>
          <w:szCs w:val="22"/>
          <w:lang w:val="sr-Latn-BA"/>
        </w:rPr>
        <w:br w:type="textWrapping" w:clear="all"/>
      </w:r>
    </w:p>
    <w:p w:rsidR="00584966" w:rsidRDefault="00584966" w:rsidP="00566F39">
      <w:pPr>
        <w:spacing w:after="120"/>
        <w:jc w:val="both"/>
        <w:rPr>
          <w:rFonts w:ascii="Calibri" w:hAnsi="Calibri"/>
          <w:sz w:val="22"/>
          <w:szCs w:val="22"/>
          <w:lang w:val="sr-Latn-BA"/>
        </w:rPr>
      </w:pPr>
    </w:p>
    <w:p w:rsidR="007B366B" w:rsidRDefault="005F55B5" w:rsidP="00566F39">
      <w:pPr>
        <w:spacing w:after="120"/>
        <w:jc w:val="both"/>
        <w:rPr>
          <w:rFonts w:ascii="Calibri" w:hAnsi="Calibri"/>
          <w:sz w:val="22"/>
          <w:szCs w:val="22"/>
          <w:lang w:val="sr-Latn-BA"/>
        </w:rPr>
      </w:pPr>
      <w:r w:rsidRPr="007B45B6">
        <w:rPr>
          <w:rFonts w:ascii="Calibri" w:hAnsi="Calibri"/>
          <w:sz w:val="22"/>
          <w:szCs w:val="22"/>
          <w:lang w:val="sr-Latn-BA"/>
        </w:rPr>
        <w:t>P</w:t>
      </w:r>
      <w:r w:rsidR="00566F39" w:rsidRPr="007B45B6">
        <w:rPr>
          <w:rFonts w:ascii="Calibri" w:hAnsi="Calibri"/>
          <w:sz w:val="22"/>
          <w:szCs w:val="22"/>
          <w:lang w:val="sr-Latn-BA"/>
        </w:rPr>
        <w:t>osl</w:t>
      </w:r>
      <w:r w:rsidR="009D6209" w:rsidRPr="007B45B6">
        <w:rPr>
          <w:rFonts w:ascii="Calibri" w:hAnsi="Calibri"/>
          <w:sz w:val="22"/>
          <w:szCs w:val="22"/>
          <w:lang w:val="sr-Latn-BA"/>
        </w:rPr>
        <w:t>ujući</w:t>
      </w:r>
      <w:r w:rsidR="00566F39" w:rsidRPr="007B45B6">
        <w:rPr>
          <w:rFonts w:ascii="Calibri" w:hAnsi="Calibri"/>
          <w:sz w:val="22"/>
          <w:szCs w:val="22"/>
          <w:lang w:val="sr-Latn-BA"/>
        </w:rPr>
        <w:t xml:space="preserve"> u </w:t>
      </w:r>
      <w:r w:rsidR="00E704C5" w:rsidRPr="007B45B6">
        <w:rPr>
          <w:rFonts w:ascii="Calibri" w:hAnsi="Calibri"/>
          <w:sz w:val="22"/>
          <w:szCs w:val="22"/>
          <w:lang w:val="sr-Latn-BA"/>
        </w:rPr>
        <w:t xml:space="preserve">otežanim </w:t>
      </w:r>
      <w:r w:rsidR="00566F39" w:rsidRPr="007B45B6">
        <w:rPr>
          <w:rFonts w:ascii="Calibri" w:hAnsi="Calibri"/>
          <w:sz w:val="22"/>
          <w:szCs w:val="22"/>
          <w:lang w:val="sr-Latn-BA"/>
        </w:rPr>
        <w:t>uslovima</w:t>
      </w:r>
      <w:r w:rsidR="009D6209" w:rsidRPr="007B45B6">
        <w:rPr>
          <w:rFonts w:ascii="Calibri" w:hAnsi="Calibri"/>
          <w:sz w:val="22"/>
          <w:szCs w:val="22"/>
          <w:lang w:val="sr-Latn-BA"/>
        </w:rPr>
        <w:t>,</w:t>
      </w:r>
      <w:r w:rsidR="00566F39" w:rsidRPr="007B45B6">
        <w:rPr>
          <w:rFonts w:ascii="Calibri" w:hAnsi="Calibri"/>
          <w:sz w:val="22"/>
          <w:szCs w:val="22"/>
          <w:lang w:val="sr-Latn-BA"/>
        </w:rPr>
        <w:t xml:space="preserve"> </w:t>
      </w:r>
      <w:r w:rsidR="009D6209" w:rsidRPr="007B45B6">
        <w:rPr>
          <w:rFonts w:ascii="Calibri" w:hAnsi="Calibri"/>
          <w:sz w:val="22"/>
          <w:szCs w:val="22"/>
          <w:lang w:val="sr-Latn-BA"/>
        </w:rPr>
        <w:t>Društvo</w:t>
      </w:r>
      <w:r w:rsidR="00E704C5" w:rsidRPr="007B45B6">
        <w:rPr>
          <w:rFonts w:ascii="Calibri" w:hAnsi="Calibri"/>
          <w:sz w:val="22"/>
          <w:szCs w:val="22"/>
          <w:lang w:val="sr-Latn-BA"/>
        </w:rPr>
        <w:t xml:space="preserve"> </w:t>
      </w:r>
      <w:r w:rsidR="00600A08" w:rsidRPr="007B45B6">
        <w:rPr>
          <w:rFonts w:ascii="Calibri" w:hAnsi="Calibri"/>
          <w:sz w:val="22"/>
          <w:szCs w:val="22"/>
          <w:lang w:val="sr-Latn-BA"/>
        </w:rPr>
        <w:t>j</w:t>
      </w:r>
      <w:r w:rsidR="00E704C5" w:rsidRPr="007B45B6">
        <w:rPr>
          <w:rFonts w:ascii="Calibri" w:hAnsi="Calibri"/>
          <w:sz w:val="22"/>
          <w:szCs w:val="22"/>
          <w:lang w:val="sr-Latn-BA"/>
        </w:rPr>
        <w:t xml:space="preserve">e </w:t>
      </w:r>
      <w:r w:rsidR="0048467D" w:rsidRPr="007B45B6">
        <w:rPr>
          <w:rFonts w:ascii="Calibri" w:hAnsi="Calibri"/>
          <w:sz w:val="22"/>
          <w:szCs w:val="22"/>
          <w:lang w:val="sr-Latn-BA"/>
        </w:rPr>
        <w:t>poslovalo sa gubitkom</w:t>
      </w:r>
      <w:r w:rsidR="007B366B" w:rsidRPr="007B45B6">
        <w:rPr>
          <w:rFonts w:ascii="Calibri" w:hAnsi="Calibri"/>
          <w:sz w:val="22"/>
          <w:szCs w:val="22"/>
          <w:lang w:val="sr-Latn-BA"/>
        </w:rPr>
        <w:t xml:space="preserve"> u iznosu od </w:t>
      </w:r>
      <w:r w:rsidR="00760ECC" w:rsidRPr="007B45B6">
        <w:rPr>
          <w:rFonts w:ascii="Calibri" w:hAnsi="Calibri"/>
          <w:sz w:val="22"/>
          <w:szCs w:val="22"/>
          <w:lang w:val="sr-Latn-BA"/>
        </w:rPr>
        <w:t>2.652</w:t>
      </w:r>
      <w:r w:rsidR="0031274E" w:rsidRPr="007B45B6">
        <w:rPr>
          <w:rFonts w:ascii="Calibri" w:hAnsi="Calibri"/>
          <w:sz w:val="22"/>
          <w:szCs w:val="22"/>
          <w:lang w:val="sr-Latn-BA"/>
        </w:rPr>
        <w:t>.</w:t>
      </w:r>
      <w:r w:rsidR="000455A5" w:rsidRPr="007B45B6">
        <w:rPr>
          <w:rFonts w:ascii="Calibri" w:hAnsi="Calibri"/>
          <w:sz w:val="22"/>
          <w:szCs w:val="22"/>
          <w:lang w:val="sr-Latn-BA"/>
        </w:rPr>
        <w:t>1</w:t>
      </w:r>
      <w:r w:rsidR="00760ECC" w:rsidRPr="007B45B6">
        <w:rPr>
          <w:rFonts w:ascii="Calibri" w:hAnsi="Calibri"/>
          <w:sz w:val="22"/>
          <w:szCs w:val="22"/>
          <w:lang w:val="sr-Latn-BA"/>
        </w:rPr>
        <w:t>63</w:t>
      </w:r>
      <w:r w:rsidR="00C52825" w:rsidRPr="007B45B6">
        <w:rPr>
          <w:rFonts w:ascii="Calibri" w:hAnsi="Calibri"/>
          <w:sz w:val="22"/>
          <w:szCs w:val="22"/>
          <w:lang w:val="sr-Latn-BA"/>
        </w:rPr>
        <w:t xml:space="preserve"> </w:t>
      </w:r>
      <w:r w:rsidR="007B366B" w:rsidRPr="007B45B6">
        <w:rPr>
          <w:rFonts w:ascii="Calibri" w:hAnsi="Calibri"/>
          <w:sz w:val="22"/>
          <w:szCs w:val="22"/>
          <w:lang w:val="sr-Latn-BA"/>
        </w:rPr>
        <w:t>KM</w:t>
      </w:r>
      <w:r w:rsidR="00E704C5" w:rsidRPr="007B45B6">
        <w:rPr>
          <w:rFonts w:ascii="Calibri" w:hAnsi="Calibri"/>
          <w:sz w:val="22"/>
          <w:szCs w:val="22"/>
          <w:lang w:val="sr-Latn-BA"/>
        </w:rPr>
        <w:t>.</w:t>
      </w:r>
      <w:r w:rsidR="00E704C5" w:rsidRPr="00AD307B">
        <w:rPr>
          <w:rFonts w:ascii="Calibri" w:hAnsi="Calibri"/>
          <w:sz w:val="22"/>
          <w:szCs w:val="22"/>
          <w:lang w:val="sr-Latn-BA"/>
        </w:rPr>
        <w:t xml:space="preserve"> </w:t>
      </w:r>
    </w:p>
    <w:p w:rsidR="002F317F" w:rsidRPr="000173D9" w:rsidRDefault="00E704C5" w:rsidP="00566F39">
      <w:pPr>
        <w:spacing w:after="120"/>
        <w:jc w:val="both"/>
        <w:rPr>
          <w:rFonts w:ascii="Calibri" w:hAnsi="Calibri"/>
          <w:sz w:val="22"/>
          <w:szCs w:val="22"/>
          <w:lang w:val="sr-Latn-BA"/>
        </w:rPr>
      </w:pPr>
      <w:r w:rsidRPr="000173D9">
        <w:rPr>
          <w:rFonts w:ascii="Calibri" w:hAnsi="Calibri"/>
          <w:sz w:val="22"/>
          <w:szCs w:val="22"/>
          <w:lang w:val="sr-Latn-BA"/>
        </w:rPr>
        <w:t>Pored smanjenja prihoda iz redovne aktivnosti koje je</w:t>
      </w:r>
      <w:r w:rsidR="009D6209" w:rsidRPr="000173D9">
        <w:rPr>
          <w:rFonts w:ascii="Calibri" w:hAnsi="Calibri"/>
          <w:sz w:val="22"/>
          <w:szCs w:val="22"/>
          <w:lang w:val="sr-Latn-BA"/>
        </w:rPr>
        <w:t xml:space="preserve"> u stalnom padu zbog nekonkurentnosti nekretnina koje izn</w:t>
      </w:r>
      <w:r w:rsidRPr="000173D9">
        <w:rPr>
          <w:rFonts w:ascii="Calibri" w:hAnsi="Calibri"/>
          <w:sz w:val="22"/>
          <w:szCs w:val="22"/>
          <w:lang w:val="sr-Latn-BA"/>
        </w:rPr>
        <w:t xml:space="preserve">ajmljuje, </w:t>
      </w:r>
      <w:r w:rsidR="00566F39" w:rsidRPr="000173D9">
        <w:rPr>
          <w:rFonts w:ascii="Calibri" w:hAnsi="Calibri"/>
          <w:sz w:val="22"/>
          <w:szCs w:val="22"/>
          <w:lang w:val="sr-Latn-BA"/>
        </w:rPr>
        <w:t xml:space="preserve">Društvo je  </w:t>
      </w:r>
      <w:r w:rsidRPr="000173D9">
        <w:rPr>
          <w:rFonts w:ascii="Calibri" w:hAnsi="Calibri"/>
          <w:sz w:val="22"/>
          <w:szCs w:val="22"/>
          <w:lang w:val="sr-Latn-BA"/>
        </w:rPr>
        <w:t>trpjelo znatne troškove i u vidu sudskih troškova i poravnanja za tužbe započete 2001</w:t>
      </w:r>
      <w:r w:rsidR="009D6209" w:rsidRPr="000173D9">
        <w:rPr>
          <w:rFonts w:ascii="Calibri" w:hAnsi="Calibri"/>
          <w:sz w:val="22"/>
          <w:szCs w:val="22"/>
          <w:lang w:val="sr-Latn-BA"/>
        </w:rPr>
        <w:t>.</w:t>
      </w:r>
      <w:r w:rsidRPr="000173D9">
        <w:rPr>
          <w:rFonts w:ascii="Calibri" w:hAnsi="Calibri"/>
          <w:sz w:val="22"/>
          <w:szCs w:val="22"/>
          <w:lang w:val="sr-Latn-BA"/>
        </w:rPr>
        <w:t xml:space="preserve"> odnosno 2002</w:t>
      </w:r>
      <w:r w:rsidR="009D6209" w:rsidRPr="000173D9">
        <w:rPr>
          <w:rFonts w:ascii="Calibri" w:hAnsi="Calibri"/>
          <w:sz w:val="22"/>
          <w:szCs w:val="22"/>
          <w:lang w:val="sr-Latn-BA"/>
        </w:rPr>
        <w:t>.</w:t>
      </w:r>
      <w:r w:rsidRPr="000173D9">
        <w:rPr>
          <w:rFonts w:ascii="Calibri" w:hAnsi="Calibri"/>
          <w:sz w:val="22"/>
          <w:szCs w:val="22"/>
          <w:lang w:val="sr-Latn-BA"/>
        </w:rPr>
        <w:t xml:space="preserve"> godine. </w:t>
      </w:r>
    </w:p>
    <w:p w:rsidR="00F54AC2" w:rsidRPr="000173D9" w:rsidRDefault="00600A08" w:rsidP="00566F39">
      <w:pPr>
        <w:spacing w:after="120"/>
        <w:jc w:val="both"/>
        <w:rPr>
          <w:rFonts w:ascii="Calibri" w:hAnsi="Calibri"/>
          <w:sz w:val="22"/>
          <w:szCs w:val="22"/>
          <w:lang w:val="sr-Latn-BA"/>
        </w:rPr>
      </w:pPr>
      <w:r w:rsidRPr="000173D9">
        <w:rPr>
          <w:rFonts w:ascii="Calibri" w:hAnsi="Calibri"/>
          <w:sz w:val="22"/>
          <w:szCs w:val="22"/>
          <w:lang w:val="sr-Latn-BA"/>
        </w:rPr>
        <w:lastRenderedPageBreak/>
        <w:t xml:space="preserve">Početkom </w:t>
      </w:r>
      <w:r w:rsidR="0048467D" w:rsidRPr="000173D9">
        <w:rPr>
          <w:rFonts w:ascii="Calibri" w:hAnsi="Calibri"/>
          <w:sz w:val="22"/>
          <w:szCs w:val="22"/>
          <w:lang w:val="sr-Latn-BA"/>
        </w:rPr>
        <w:t>jula</w:t>
      </w:r>
      <w:r w:rsidRPr="000173D9">
        <w:rPr>
          <w:rFonts w:ascii="Calibri" w:hAnsi="Calibri"/>
          <w:sz w:val="22"/>
          <w:szCs w:val="22"/>
          <w:lang w:val="sr-Latn-BA"/>
        </w:rPr>
        <w:t xml:space="preserve"> 201</w:t>
      </w:r>
      <w:r w:rsidR="0048467D" w:rsidRPr="000173D9">
        <w:rPr>
          <w:rFonts w:ascii="Calibri" w:hAnsi="Calibri"/>
          <w:sz w:val="22"/>
          <w:szCs w:val="22"/>
          <w:lang w:val="sr-Latn-BA"/>
        </w:rPr>
        <w:t>9</w:t>
      </w:r>
      <w:r w:rsidRPr="000173D9">
        <w:rPr>
          <w:rFonts w:ascii="Calibri" w:hAnsi="Calibri"/>
          <w:sz w:val="22"/>
          <w:szCs w:val="22"/>
          <w:lang w:val="sr-Latn-BA"/>
        </w:rPr>
        <w:t xml:space="preserve">.godine na osnovu naloga prinudne naplate izvršena je blokada sredstava na računu u iznosu od </w:t>
      </w:r>
      <w:r w:rsidR="0048467D" w:rsidRPr="000173D9">
        <w:rPr>
          <w:rFonts w:ascii="Calibri" w:hAnsi="Calibri"/>
          <w:sz w:val="22"/>
          <w:szCs w:val="22"/>
          <w:lang w:val="sr-Latn-BA"/>
        </w:rPr>
        <w:t>224.640,00KM od strane Sinchro doo Prijedor</w:t>
      </w:r>
      <w:r w:rsidR="00931269" w:rsidRPr="000173D9">
        <w:rPr>
          <w:rFonts w:ascii="Calibri" w:hAnsi="Calibri"/>
          <w:sz w:val="22"/>
          <w:szCs w:val="22"/>
          <w:lang w:val="sr-Latn-BA"/>
        </w:rPr>
        <w:t xml:space="preserve">. 10.07.2019.godine izvršen je cjelokupan prenos sredstava po mjenici </w:t>
      </w:r>
      <w:r w:rsidR="009E6A54" w:rsidRPr="000173D9">
        <w:rPr>
          <w:rFonts w:ascii="Calibri" w:hAnsi="Calibri"/>
          <w:sz w:val="22"/>
          <w:szCs w:val="22"/>
          <w:lang w:val="sr-Latn-BA"/>
        </w:rPr>
        <w:t xml:space="preserve">sa računa društva </w:t>
      </w:r>
      <w:r w:rsidR="00931269" w:rsidRPr="000173D9">
        <w:rPr>
          <w:rFonts w:ascii="Calibri" w:hAnsi="Calibri"/>
          <w:sz w:val="22"/>
          <w:szCs w:val="22"/>
          <w:lang w:val="sr-Latn-BA"/>
        </w:rPr>
        <w:t>na račun Sinchro doo Prijedor.</w:t>
      </w:r>
    </w:p>
    <w:p w:rsidR="00F54AC2" w:rsidRPr="000173D9" w:rsidRDefault="00810D87" w:rsidP="00566F39">
      <w:pPr>
        <w:spacing w:after="120"/>
        <w:jc w:val="both"/>
        <w:rPr>
          <w:rFonts w:ascii="Calibri" w:hAnsi="Calibri"/>
          <w:sz w:val="22"/>
          <w:szCs w:val="22"/>
          <w:lang w:val="sr-Latn-BA"/>
        </w:rPr>
      </w:pPr>
      <w:r w:rsidRPr="000173D9">
        <w:rPr>
          <w:rFonts w:ascii="Calibri" w:hAnsi="Calibri"/>
          <w:sz w:val="22"/>
          <w:szCs w:val="22"/>
          <w:lang w:val="sr-Latn-BA"/>
        </w:rPr>
        <w:t xml:space="preserve">Uprava društva je podnijela tužbu </w:t>
      </w:r>
      <w:r w:rsidR="009E6A54" w:rsidRPr="000173D9">
        <w:rPr>
          <w:rFonts w:ascii="Calibri" w:hAnsi="Calibri"/>
          <w:sz w:val="22"/>
          <w:szCs w:val="22"/>
          <w:lang w:val="sr-Latn-BA"/>
        </w:rPr>
        <w:t xml:space="preserve">Okružnom privrednom sudu </w:t>
      </w:r>
      <w:r w:rsidRPr="000173D9">
        <w:rPr>
          <w:rFonts w:ascii="Calibri" w:hAnsi="Calibri"/>
          <w:sz w:val="22"/>
          <w:szCs w:val="22"/>
          <w:lang w:val="sr-Latn-BA"/>
        </w:rPr>
        <w:t>u kojoj tražimo da se utvrdi ništavost ugovora o poslovnoj saradnji sa Sinchro doo Prijedor iz aprila 2009.godine, zatim ništavost ugovora o okončanju poslovne sar</w:t>
      </w:r>
      <w:r w:rsidR="009E6A54" w:rsidRPr="000173D9">
        <w:rPr>
          <w:rFonts w:ascii="Calibri" w:hAnsi="Calibri"/>
          <w:sz w:val="22"/>
          <w:szCs w:val="22"/>
          <w:lang w:val="sr-Latn-BA"/>
        </w:rPr>
        <w:t>a</w:t>
      </w:r>
      <w:r w:rsidRPr="000173D9">
        <w:rPr>
          <w:rFonts w:ascii="Calibri" w:hAnsi="Calibri"/>
          <w:sz w:val="22"/>
          <w:szCs w:val="22"/>
          <w:lang w:val="sr-Latn-BA"/>
        </w:rPr>
        <w:t xml:space="preserve">dnje </w:t>
      </w:r>
      <w:r w:rsidR="009E6A54" w:rsidRPr="000173D9">
        <w:rPr>
          <w:rFonts w:ascii="Calibri" w:hAnsi="Calibri"/>
          <w:sz w:val="22"/>
          <w:szCs w:val="22"/>
          <w:lang w:val="sr-Latn-BA"/>
        </w:rPr>
        <w:t>od 10.09.</w:t>
      </w:r>
      <w:r w:rsidRPr="000173D9">
        <w:rPr>
          <w:rFonts w:ascii="Calibri" w:hAnsi="Calibri"/>
          <w:sz w:val="22"/>
          <w:szCs w:val="22"/>
          <w:lang w:val="sr-Latn-BA"/>
        </w:rPr>
        <w:t>2018,</w:t>
      </w:r>
      <w:r w:rsidR="009E6A54" w:rsidRPr="000173D9">
        <w:rPr>
          <w:rFonts w:ascii="Calibri" w:hAnsi="Calibri"/>
          <w:sz w:val="22"/>
          <w:szCs w:val="22"/>
          <w:lang w:val="sr-Latn-BA"/>
        </w:rPr>
        <w:t xml:space="preserve"> ugovora o ustupanju potraživanja od 13.08.2018.  i ugovora o priznanju duga od 14.09.2018.godine uz obavezu tuženog da društvu vrati cjelokupan iznos sredstava sa zateznom kamatom.</w:t>
      </w:r>
    </w:p>
    <w:p w:rsidR="000173D9" w:rsidRPr="000173D9" w:rsidRDefault="00C921FD" w:rsidP="00566F39">
      <w:pPr>
        <w:spacing w:after="120"/>
        <w:jc w:val="both"/>
        <w:rPr>
          <w:rFonts w:ascii="Calibri" w:hAnsi="Calibri"/>
          <w:sz w:val="22"/>
          <w:szCs w:val="22"/>
          <w:lang w:val="sr-Latn-BA"/>
        </w:rPr>
      </w:pPr>
      <w:r w:rsidRPr="000173D9">
        <w:rPr>
          <w:rFonts w:ascii="Calibri" w:hAnsi="Calibri"/>
          <w:sz w:val="22"/>
          <w:szCs w:val="22"/>
          <w:lang w:val="sr-Latn-BA"/>
        </w:rPr>
        <w:t>Dana 20.11.2020.godine Okružni privredni sud je donio presudu</w:t>
      </w:r>
      <w:r w:rsidR="00052126" w:rsidRPr="000173D9">
        <w:rPr>
          <w:rFonts w:ascii="Calibri" w:hAnsi="Calibri"/>
          <w:sz w:val="22"/>
          <w:szCs w:val="22"/>
          <w:lang w:val="sr-Latn-BA"/>
        </w:rPr>
        <w:t xml:space="preserve"> u našu korist, presudom je utvrđeno da je ništav sporazum o okončanju poslovne saradnje po ugovoru o poslovnoj saradnji od 10.09.2018.,zatim da je ništav ugovor o ustupanju potraživanja(cesiji) od 13.09.2018.g.,i da je ništav ugovor o priznanju duga od 14.09.2018.g.</w:t>
      </w:r>
      <w:r w:rsidR="000173D9" w:rsidRPr="000173D9">
        <w:rPr>
          <w:rFonts w:ascii="Calibri" w:hAnsi="Calibri"/>
          <w:sz w:val="22"/>
          <w:szCs w:val="22"/>
          <w:lang w:val="sr-Latn-BA"/>
        </w:rPr>
        <w:t xml:space="preserve"> </w:t>
      </w:r>
      <w:r w:rsidR="00052126" w:rsidRPr="000173D9">
        <w:rPr>
          <w:rFonts w:ascii="Calibri" w:hAnsi="Calibri"/>
          <w:sz w:val="22"/>
          <w:szCs w:val="22"/>
          <w:lang w:val="sr-Latn-BA"/>
        </w:rPr>
        <w:t>Tuženi Sinchro treba da Čajavec megi isplati iznos od 224.640,00KM sa zakonskom zateznom kamatom i da nadoknadi troškove postupka u iznosu od 11.793,60KM.</w:t>
      </w:r>
    </w:p>
    <w:p w:rsidR="00C921FD" w:rsidRDefault="00FF0009" w:rsidP="00566F39">
      <w:pPr>
        <w:spacing w:after="120"/>
        <w:jc w:val="both"/>
        <w:rPr>
          <w:rFonts w:ascii="Calibri" w:hAnsi="Calibri"/>
          <w:sz w:val="22"/>
          <w:szCs w:val="22"/>
          <w:lang w:val="sr-Latn-BA"/>
        </w:rPr>
      </w:pPr>
      <w:r w:rsidRPr="000173D9">
        <w:rPr>
          <w:rFonts w:ascii="Calibri" w:hAnsi="Calibri"/>
          <w:sz w:val="22"/>
          <w:szCs w:val="22"/>
          <w:lang w:val="sr-Latn-BA"/>
        </w:rPr>
        <w:t>Do današnjeg dana Čajavec mega nije uspjela ništa naplatiti od Sinchro doo</w:t>
      </w:r>
      <w:r w:rsidR="00432874" w:rsidRPr="000173D9">
        <w:rPr>
          <w:rFonts w:ascii="Calibri" w:hAnsi="Calibri"/>
          <w:sz w:val="22"/>
          <w:szCs w:val="22"/>
          <w:lang w:val="sr-Latn-BA"/>
        </w:rPr>
        <w:t xml:space="preserve"> Prijedor</w:t>
      </w:r>
      <w:r w:rsidRPr="000173D9">
        <w:rPr>
          <w:rFonts w:ascii="Calibri" w:hAnsi="Calibri"/>
          <w:sz w:val="22"/>
          <w:szCs w:val="22"/>
          <w:lang w:val="sr-Latn-BA"/>
        </w:rPr>
        <w:t>.</w:t>
      </w:r>
    </w:p>
    <w:p w:rsidR="005711FE" w:rsidRDefault="005711FE" w:rsidP="00566F39">
      <w:pPr>
        <w:spacing w:after="120"/>
        <w:jc w:val="both"/>
        <w:rPr>
          <w:rFonts w:ascii="Calibri" w:hAnsi="Calibri"/>
          <w:sz w:val="22"/>
          <w:szCs w:val="22"/>
          <w:lang w:val="sr-Latn-BA"/>
        </w:rPr>
      </w:pPr>
    </w:p>
    <w:p w:rsidR="005711FE" w:rsidRPr="00AD307B" w:rsidRDefault="005711FE" w:rsidP="00566F39">
      <w:pPr>
        <w:spacing w:after="120"/>
        <w:jc w:val="both"/>
        <w:rPr>
          <w:rFonts w:ascii="Calibri" w:hAnsi="Calibri"/>
          <w:sz w:val="22"/>
          <w:szCs w:val="22"/>
          <w:lang w:val="sr-Latn-BA"/>
        </w:rPr>
      </w:pPr>
    </w:p>
    <w:p w:rsidR="00B1562C" w:rsidRDefault="00B1562C" w:rsidP="001065DF">
      <w:pPr>
        <w:pStyle w:val="Heading2"/>
        <w:numPr>
          <w:ilvl w:val="0"/>
          <w:numId w:val="0"/>
        </w:numPr>
        <w:spacing w:before="120" w:after="120"/>
        <w:ind w:left="426"/>
        <w:rPr>
          <w:rFonts w:ascii="Calibri" w:hAnsi="Calibri"/>
          <w:i/>
          <w:szCs w:val="22"/>
          <w:highlight w:val="yellow"/>
        </w:rPr>
      </w:pPr>
    </w:p>
    <w:p w:rsidR="001065DF" w:rsidRDefault="00B43CF9" w:rsidP="001065DF">
      <w:pPr>
        <w:pStyle w:val="Heading2"/>
        <w:numPr>
          <w:ilvl w:val="0"/>
          <w:numId w:val="0"/>
        </w:numPr>
        <w:spacing w:before="120" w:after="120"/>
        <w:ind w:left="426"/>
        <w:rPr>
          <w:rFonts w:ascii="Calibri" w:hAnsi="Calibri"/>
          <w:i/>
          <w:szCs w:val="22"/>
        </w:rPr>
      </w:pPr>
      <w:r w:rsidRPr="00C7436A">
        <w:rPr>
          <w:rFonts w:ascii="Calibri" w:hAnsi="Calibri"/>
          <w:i/>
          <w:szCs w:val="22"/>
        </w:rPr>
        <w:t>3.5</w:t>
      </w:r>
      <w:r w:rsidR="001065DF" w:rsidRPr="00C7436A">
        <w:rPr>
          <w:rFonts w:ascii="Calibri" w:hAnsi="Calibri"/>
          <w:i/>
          <w:szCs w:val="22"/>
        </w:rPr>
        <w:t>. Analiza sudskih sporova</w:t>
      </w:r>
    </w:p>
    <w:p w:rsidR="005711FE" w:rsidRPr="005711FE" w:rsidRDefault="005711FE" w:rsidP="005711FE"/>
    <w:p w:rsidR="001065DF" w:rsidRPr="00455932" w:rsidRDefault="00092879" w:rsidP="00455932">
      <w:pPr>
        <w:autoSpaceDE w:val="0"/>
        <w:autoSpaceDN w:val="0"/>
        <w:adjustRightInd w:val="0"/>
        <w:spacing w:after="120"/>
        <w:jc w:val="both"/>
        <w:rPr>
          <w:rFonts w:ascii="Calibri" w:eastAsia="Calibri" w:hAnsi="Calibri" w:cs="Constantia"/>
          <w:sz w:val="22"/>
          <w:lang w:val="en-US"/>
        </w:rPr>
      </w:pPr>
      <w:r w:rsidRPr="00721236">
        <w:rPr>
          <w:rFonts w:ascii="Calibri" w:eastAsia="Calibri" w:hAnsi="Calibri" w:cs="Constantia"/>
          <w:sz w:val="22"/>
          <w:lang w:val="en-US"/>
        </w:rPr>
        <w:t xml:space="preserve">  </w:t>
      </w:r>
      <w:proofErr w:type="spellStart"/>
      <w:r w:rsidRPr="00455932">
        <w:rPr>
          <w:rFonts w:ascii="Calibri" w:eastAsia="Calibri" w:hAnsi="Calibri" w:cs="Constantia"/>
          <w:sz w:val="22"/>
          <w:lang w:val="en-US"/>
        </w:rPr>
        <w:t>N</w:t>
      </w:r>
      <w:r w:rsidR="001065DF" w:rsidRPr="00455932">
        <w:rPr>
          <w:rFonts w:ascii="Calibri" w:eastAsia="Calibri" w:hAnsi="Calibri" w:cs="Constantia"/>
          <w:sz w:val="22"/>
          <w:lang w:val="en-US"/>
        </w:rPr>
        <w:t>ajvažnija</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i</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najrizičnija</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kategorija</w:t>
      </w:r>
      <w:proofErr w:type="spellEnd"/>
      <w:r w:rsidR="001065DF" w:rsidRPr="00455932">
        <w:rPr>
          <w:rFonts w:ascii="Calibri" w:eastAsia="Calibri" w:hAnsi="Calibri" w:cs="Constantia"/>
          <w:sz w:val="22"/>
          <w:lang w:val="en-US"/>
        </w:rPr>
        <w:t xml:space="preserve"> za </w:t>
      </w:r>
      <w:proofErr w:type="spellStart"/>
      <w:r w:rsidR="001065DF" w:rsidRPr="00455932">
        <w:rPr>
          <w:rFonts w:ascii="Calibri" w:eastAsia="Calibri" w:hAnsi="Calibri" w:cs="Constantia"/>
          <w:sz w:val="22"/>
          <w:lang w:val="en-US"/>
        </w:rPr>
        <w:t>finansijski</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i</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ukupan</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ekonomski</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položaj</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Društva</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su</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sudski</w:t>
      </w:r>
      <w:proofErr w:type="spellEnd"/>
      <w:r w:rsidR="001065DF" w:rsidRPr="00455932">
        <w:rPr>
          <w:rFonts w:ascii="Calibri" w:eastAsia="Calibri" w:hAnsi="Calibri" w:cs="Constantia"/>
          <w:sz w:val="22"/>
          <w:lang w:val="en-US"/>
        </w:rPr>
        <w:t xml:space="preserve"> </w:t>
      </w:r>
      <w:proofErr w:type="spellStart"/>
      <w:r w:rsidR="001065DF" w:rsidRPr="00455932">
        <w:rPr>
          <w:rFonts w:ascii="Calibri" w:eastAsia="Calibri" w:hAnsi="Calibri" w:cs="Constantia"/>
          <w:sz w:val="22"/>
          <w:lang w:val="en-US"/>
        </w:rPr>
        <w:t>sporovi</w:t>
      </w:r>
      <w:proofErr w:type="spellEnd"/>
      <w:r w:rsidR="001065DF" w:rsidRPr="00455932">
        <w:rPr>
          <w:rFonts w:ascii="Calibri" w:eastAsia="Calibri" w:hAnsi="Calibri" w:cs="Constantia"/>
          <w:sz w:val="22"/>
          <w:lang w:val="en-US"/>
        </w:rPr>
        <w:t>.</w:t>
      </w:r>
    </w:p>
    <w:p w:rsidR="00455932" w:rsidRPr="00455932" w:rsidRDefault="000141A0" w:rsidP="00455932">
      <w:pPr>
        <w:tabs>
          <w:tab w:val="left" w:pos="180"/>
          <w:tab w:val="right" w:pos="540"/>
        </w:tabs>
        <w:ind w:left="90"/>
        <w:jc w:val="both"/>
        <w:rPr>
          <w:rFonts w:asciiTheme="minorHAnsi" w:hAnsiTheme="minorHAnsi" w:cstheme="minorHAnsi"/>
          <w:noProof/>
          <w:sz w:val="22"/>
          <w:szCs w:val="22"/>
          <w:lang w:val="sr-Latn-CS"/>
        </w:rPr>
      </w:pPr>
      <w:r w:rsidRPr="00455932">
        <w:rPr>
          <w:rFonts w:asciiTheme="minorHAnsi" w:hAnsiTheme="minorHAnsi" w:cstheme="minorHAnsi"/>
          <w:noProof/>
          <w:sz w:val="22"/>
          <w:szCs w:val="22"/>
          <w:lang w:val="sr-Latn-CS"/>
        </w:rPr>
        <w:t>Društvo na dan 31. decembra 202</w:t>
      </w:r>
      <w:r w:rsidR="00760ECC" w:rsidRPr="00455932">
        <w:rPr>
          <w:rFonts w:asciiTheme="minorHAnsi" w:hAnsiTheme="minorHAnsi" w:cstheme="minorHAnsi"/>
          <w:noProof/>
          <w:sz w:val="22"/>
          <w:szCs w:val="22"/>
          <w:lang w:val="sr-Latn-CS"/>
        </w:rPr>
        <w:t>3</w:t>
      </w:r>
      <w:r w:rsidRPr="00455932">
        <w:rPr>
          <w:rFonts w:asciiTheme="minorHAnsi" w:hAnsiTheme="minorHAnsi" w:cstheme="minorHAnsi"/>
          <w:noProof/>
          <w:sz w:val="22"/>
          <w:szCs w:val="22"/>
          <w:lang w:val="sr-Latn-CS"/>
        </w:rPr>
        <w:t xml:space="preserve">. godine vodi </w:t>
      </w:r>
      <w:r w:rsidR="006A37A5" w:rsidRPr="00455932">
        <w:rPr>
          <w:rFonts w:asciiTheme="minorHAnsi" w:hAnsiTheme="minorHAnsi" w:cstheme="minorHAnsi"/>
          <w:noProof/>
          <w:sz w:val="22"/>
          <w:szCs w:val="22"/>
          <w:lang w:val="sr-Latn-CS"/>
        </w:rPr>
        <w:t>49</w:t>
      </w:r>
      <w:r w:rsidRPr="00455932">
        <w:rPr>
          <w:rFonts w:asciiTheme="minorHAnsi" w:hAnsiTheme="minorHAnsi" w:cstheme="minorHAnsi"/>
          <w:sz w:val="22"/>
          <w:szCs w:val="22"/>
        </w:rPr>
        <w:t xml:space="preserve"> </w:t>
      </w:r>
      <w:r w:rsidRPr="00455932">
        <w:rPr>
          <w:rFonts w:asciiTheme="minorHAnsi" w:hAnsiTheme="minorHAnsi" w:cstheme="minorHAnsi"/>
          <w:noProof/>
          <w:sz w:val="22"/>
          <w:szCs w:val="22"/>
          <w:lang w:val="sr-Latn-CS"/>
        </w:rPr>
        <w:t>sudska spora u ukupnoj vrijenosti od 1.</w:t>
      </w:r>
      <w:r w:rsidR="006A37A5" w:rsidRPr="00455932">
        <w:rPr>
          <w:rFonts w:asciiTheme="minorHAnsi" w:hAnsiTheme="minorHAnsi" w:cstheme="minorHAnsi"/>
          <w:noProof/>
          <w:sz w:val="22"/>
          <w:szCs w:val="22"/>
          <w:lang w:val="sr-Latn-CS"/>
        </w:rPr>
        <w:t>157</w:t>
      </w:r>
      <w:r w:rsidR="00F622C5" w:rsidRPr="00455932">
        <w:rPr>
          <w:rFonts w:asciiTheme="minorHAnsi" w:hAnsiTheme="minorHAnsi" w:cstheme="minorHAnsi"/>
          <w:noProof/>
          <w:sz w:val="22"/>
          <w:szCs w:val="22"/>
          <w:lang w:val="sr-Latn-CS"/>
        </w:rPr>
        <w:t>.</w:t>
      </w:r>
      <w:r w:rsidR="006A37A5" w:rsidRPr="00455932">
        <w:rPr>
          <w:rFonts w:asciiTheme="minorHAnsi" w:hAnsiTheme="minorHAnsi" w:cstheme="minorHAnsi"/>
          <w:noProof/>
          <w:sz w:val="22"/>
          <w:szCs w:val="22"/>
          <w:lang w:val="sr-Latn-CS"/>
        </w:rPr>
        <w:t>561</w:t>
      </w:r>
      <w:r w:rsidRPr="00455932">
        <w:rPr>
          <w:rFonts w:asciiTheme="minorHAnsi" w:hAnsiTheme="minorHAnsi" w:cstheme="minorHAnsi"/>
          <w:noProof/>
          <w:sz w:val="22"/>
          <w:szCs w:val="22"/>
          <w:lang w:val="sr-Latn-CS"/>
        </w:rPr>
        <w:t xml:space="preserve">KM. </w:t>
      </w:r>
    </w:p>
    <w:p w:rsidR="000141A0" w:rsidRPr="00455932" w:rsidRDefault="000141A0" w:rsidP="00455932">
      <w:pPr>
        <w:tabs>
          <w:tab w:val="left" w:pos="180"/>
          <w:tab w:val="right" w:pos="540"/>
        </w:tabs>
        <w:ind w:left="90"/>
        <w:jc w:val="both"/>
        <w:rPr>
          <w:rFonts w:asciiTheme="minorHAnsi" w:hAnsiTheme="minorHAnsi" w:cstheme="minorHAnsi"/>
          <w:noProof/>
          <w:sz w:val="22"/>
          <w:szCs w:val="22"/>
          <w:lang w:val="sr-Latn-CS"/>
        </w:rPr>
      </w:pPr>
      <w:r w:rsidRPr="00455932">
        <w:rPr>
          <w:rFonts w:asciiTheme="minorHAnsi" w:hAnsiTheme="minorHAnsi" w:cstheme="minorHAnsi"/>
          <w:noProof/>
          <w:sz w:val="22"/>
          <w:szCs w:val="22"/>
          <w:lang w:val="sr-Latn-CS"/>
        </w:rPr>
        <w:t>U 3</w:t>
      </w:r>
      <w:r w:rsidR="006A37A5" w:rsidRPr="00455932">
        <w:rPr>
          <w:rFonts w:asciiTheme="minorHAnsi" w:hAnsiTheme="minorHAnsi" w:cstheme="minorHAnsi"/>
          <w:noProof/>
          <w:sz w:val="22"/>
          <w:szCs w:val="22"/>
          <w:lang w:val="sr-Latn-CS"/>
        </w:rPr>
        <w:t>4</w:t>
      </w:r>
      <w:r w:rsidRPr="00455932">
        <w:rPr>
          <w:rFonts w:asciiTheme="minorHAnsi" w:hAnsiTheme="minorHAnsi" w:cstheme="minorHAnsi"/>
          <w:noProof/>
          <w:sz w:val="22"/>
          <w:szCs w:val="22"/>
          <w:lang w:val="sr-Latn-CS"/>
        </w:rPr>
        <w:t xml:space="preserve"> spora, čija  ukupna vrijednost iznosi </w:t>
      </w:r>
      <w:r w:rsidR="006A37A5" w:rsidRPr="00455932">
        <w:rPr>
          <w:rFonts w:asciiTheme="minorHAnsi" w:hAnsiTheme="minorHAnsi" w:cstheme="minorHAnsi"/>
          <w:noProof/>
          <w:sz w:val="22"/>
          <w:szCs w:val="22"/>
          <w:lang w:val="sr-Latn-CS"/>
        </w:rPr>
        <w:t>637</w:t>
      </w:r>
      <w:r w:rsidRPr="00455932">
        <w:rPr>
          <w:rFonts w:asciiTheme="minorHAnsi" w:hAnsiTheme="minorHAnsi" w:cstheme="minorHAnsi"/>
          <w:noProof/>
          <w:sz w:val="22"/>
          <w:szCs w:val="22"/>
          <w:lang w:val="sr-Latn-CS"/>
        </w:rPr>
        <w:t>.</w:t>
      </w:r>
      <w:r w:rsidR="006A37A5" w:rsidRPr="00455932">
        <w:rPr>
          <w:rFonts w:asciiTheme="minorHAnsi" w:hAnsiTheme="minorHAnsi" w:cstheme="minorHAnsi"/>
          <w:noProof/>
          <w:sz w:val="22"/>
          <w:szCs w:val="22"/>
          <w:lang w:val="sr-Latn-CS"/>
        </w:rPr>
        <w:t>404.</w:t>
      </w:r>
      <w:r w:rsidR="006A37A5" w:rsidRPr="00455932">
        <w:rPr>
          <w:rFonts w:asciiTheme="minorHAnsi" w:hAnsiTheme="minorHAnsi" w:cstheme="minorHAnsi"/>
          <w:sz w:val="22"/>
          <w:szCs w:val="22"/>
        </w:rPr>
        <w:t>27</w:t>
      </w:r>
      <w:r w:rsidRPr="00455932">
        <w:rPr>
          <w:rFonts w:asciiTheme="minorHAnsi" w:hAnsiTheme="minorHAnsi" w:cstheme="minorHAnsi"/>
          <w:noProof/>
          <w:sz w:val="22"/>
          <w:szCs w:val="22"/>
          <w:lang w:val="sr-Latn-CS"/>
        </w:rPr>
        <w:t xml:space="preserve">KM, Društvo  je u poziciji tužioca, dok je u </w:t>
      </w:r>
      <w:r w:rsidR="00F622C5" w:rsidRPr="00455932">
        <w:rPr>
          <w:rFonts w:asciiTheme="minorHAnsi" w:hAnsiTheme="minorHAnsi" w:cstheme="minorHAnsi"/>
          <w:noProof/>
          <w:sz w:val="22"/>
          <w:szCs w:val="22"/>
          <w:lang w:val="sr-Latn-CS"/>
        </w:rPr>
        <w:t>1</w:t>
      </w:r>
      <w:r w:rsidR="006A37A5" w:rsidRPr="00455932">
        <w:rPr>
          <w:rFonts w:asciiTheme="minorHAnsi" w:hAnsiTheme="minorHAnsi" w:cstheme="minorHAnsi"/>
          <w:noProof/>
          <w:sz w:val="22"/>
          <w:szCs w:val="22"/>
          <w:lang w:val="sr-Latn-CS"/>
        </w:rPr>
        <w:t>5</w:t>
      </w:r>
      <w:r w:rsidRPr="00455932">
        <w:rPr>
          <w:rFonts w:asciiTheme="minorHAnsi" w:hAnsiTheme="minorHAnsi" w:cstheme="minorHAnsi"/>
          <w:noProof/>
          <w:sz w:val="22"/>
          <w:szCs w:val="22"/>
          <w:lang w:val="sr-Latn-CS"/>
        </w:rPr>
        <w:t xml:space="preserve"> sporova u poziciji tuženog čija proc</w:t>
      </w:r>
      <w:r w:rsidR="009C4A35" w:rsidRPr="00455932">
        <w:rPr>
          <w:rFonts w:asciiTheme="minorHAnsi" w:hAnsiTheme="minorHAnsi" w:cstheme="minorHAnsi"/>
          <w:noProof/>
          <w:sz w:val="22"/>
          <w:szCs w:val="22"/>
          <w:lang w:val="sr-Latn-CS"/>
        </w:rPr>
        <w:t>i</w:t>
      </w:r>
      <w:r w:rsidRPr="00455932">
        <w:rPr>
          <w:rFonts w:asciiTheme="minorHAnsi" w:hAnsiTheme="minorHAnsi" w:cstheme="minorHAnsi"/>
          <w:noProof/>
          <w:sz w:val="22"/>
          <w:szCs w:val="22"/>
          <w:lang w:val="sr-Latn-CS"/>
        </w:rPr>
        <w:t xml:space="preserve">jenjena potencijalna obaveza iznosi </w:t>
      </w:r>
      <w:r w:rsidR="006A37A5" w:rsidRPr="00455932">
        <w:rPr>
          <w:rFonts w:asciiTheme="minorHAnsi" w:hAnsiTheme="minorHAnsi" w:cstheme="minorHAnsi"/>
          <w:noProof/>
          <w:sz w:val="22"/>
          <w:szCs w:val="22"/>
          <w:lang w:val="sr-Latn-CS"/>
        </w:rPr>
        <w:t>5</w:t>
      </w:r>
      <w:r w:rsidR="00F622C5" w:rsidRPr="00455932">
        <w:rPr>
          <w:rFonts w:asciiTheme="minorHAnsi" w:hAnsiTheme="minorHAnsi" w:cstheme="minorHAnsi"/>
          <w:noProof/>
          <w:sz w:val="22"/>
          <w:szCs w:val="22"/>
          <w:lang w:val="sr-Latn-CS"/>
        </w:rPr>
        <w:t>2</w:t>
      </w:r>
      <w:r w:rsidR="006A37A5" w:rsidRPr="00455932">
        <w:rPr>
          <w:rFonts w:asciiTheme="minorHAnsi" w:hAnsiTheme="minorHAnsi" w:cstheme="minorHAnsi"/>
          <w:noProof/>
          <w:sz w:val="22"/>
          <w:szCs w:val="22"/>
          <w:lang w:val="sr-Latn-CS"/>
        </w:rPr>
        <w:t>0</w:t>
      </w:r>
      <w:r w:rsidRPr="00455932">
        <w:rPr>
          <w:rFonts w:asciiTheme="minorHAnsi" w:hAnsiTheme="minorHAnsi" w:cstheme="minorHAnsi"/>
          <w:noProof/>
          <w:sz w:val="22"/>
          <w:szCs w:val="22"/>
          <w:lang w:val="sr-Latn-CS"/>
        </w:rPr>
        <w:t>.</w:t>
      </w:r>
      <w:r w:rsidR="006A37A5" w:rsidRPr="00455932">
        <w:rPr>
          <w:rFonts w:asciiTheme="minorHAnsi" w:hAnsiTheme="minorHAnsi" w:cstheme="minorHAnsi"/>
          <w:noProof/>
          <w:sz w:val="22"/>
          <w:szCs w:val="22"/>
          <w:lang w:val="sr-Latn-CS"/>
        </w:rPr>
        <w:t>15</w:t>
      </w:r>
      <w:r w:rsidR="00F622C5" w:rsidRPr="00455932">
        <w:rPr>
          <w:rFonts w:asciiTheme="minorHAnsi" w:hAnsiTheme="minorHAnsi" w:cstheme="minorHAnsi"/>
          <w:noProof/>
          <w:sz w:val="22"/>
          <w:szCs w:val="22"/>
          <w:lang w:val="sr-Latn-CS"/>
        </w:rPr>
        <w:t>7</w:t>
      </w:r>
      <w:r w:rsidR="006A37A5" w:rsidRPr="00455932">
        <w:rPr>
          <w:rFonts w:asciiTheme="minorHAnsi" w:hAnsiTheme="minorHAnsi" w:cstheme="minorHAnsi"/>
          <w:noProof/>
          <w:sz w:val="22"/>
          <w:szCs w:val="22"/>
          <w:lang w:val="sr-Latn-CS"/>
        </w:rPr>
        <w:t>.14</w:t>
      </w:r>
      <w:r w:rsidRPr="00455932">
        <w:rPr>
          <w:rFonts w:asciiTheme="minorHAnsi" w:hAnsiTheme="minorHAnsi" w:cstheme="minorHAnsi"/>
          <w:noProof/>
          <w:sz w:val="22"/>
          <w:szCs w:val="22"/>
          <w:lang w:val="sr-Latn-CS"/>
        </w:rPr>
        <w:t>KM ne uključujući efekte zateznih kamata.</w:t>
      </w:r>
    </w:p>
    <w:p w:rsidR="00721236" w:rsidRPr="00455932" w:rsidRDefault="00721236" w:rsidP="00455932">
      <w:pPr>
        <w:tabs>
          <w:tab w:val="left" w:pos="180"/>
          <w:tab w:val="right" w:pos="600"/>
        </w:tabs>
        <w:jc w:val="both"/>
        <w:rPr>
          <w:rFonts w:ascii="Trebuchet MS" w:hAnsi="Trebuchet MS"/>
          <w:noProof/>
          <w:sz w:val="22"/>
          <w:szCs w:val="22"/>
          <w:lang w:val="sr-Latn-CS"/>
        </w:rPr>
      </w:pPr>
    </w:p>
    <w:p w:rsidR="004604EA" w:rsidRPr="00A14328" w:rsidRDefault="004604EA" w:rsidP="00455932">
      <w:pPr>
        <w:tabs>
          <w:tab w:val="right" w:pos="180"/>
          <w:tab w:val="right" w:pos="600"/>
        </w:tabs>
        <w:spacing w:after="120"/>
        <w:jc w:val="both"/>
        <w:rPr>
          <w:rFonts w:ascii="Calibri" w:hAnsi="Calibri"/>
          <w:noProof/>
          <w:sz w:val="22"/>
          <w:szCs w:val="22"/>
          <w:lang w:val="sr-Latn-CS"/>
        </w:rPr>
      </w:pPr>
      <w:r w:rsidRPr="00455932">
        <w:rPr>
          <w:rFonts w:ascii="Calibri" w:hAnsi="Calibri"/>
          <w:noProof/>
          <w:sz w:val="22"/>
          <w:szCs w:val="22"/>
          <w:lang w:val="sr-Latn-CS"/>
        </w:rPr>
        <w:t xml:space="preserve">Društvo </w:t>
      </w:r>
      <w:r w:rsidR="00C4112E" w:rsidRPr="00455932">
        <w:rPr>
          <w:rFonts w:ascii="Calibri" w:hAnsi="Calibri"/>
          <w:noProof/>
          <w:sz w:val="22"/>
          <w:szCs w:val="22"/>
          <w:lang w:val="sr-Latn-CS"/>
        </w:rPr>
        <w:t>je u 20</w:t>
      </w:r>
      <w:r w:rsidR="00721236" w:rsidRPr="00455932">
        <w:rPr>
          <w:rFonts w:ascii="Calibri" w:hAnsi="Calibri"/>
          <w:noProof/>
          <w:sz w:val="22"/>
          <w:szCs w:val="22"/>
          <w:lang w:val="sr-Latn-CS"/>
        </w:rPr>
        <w:t>2</w:t>
      </w:r>
      <w:r w:rsidR="006A37A5" w:rsidRPr="00455932">
        <w:rPr>
          <w:rFonts w:ascii="Calibri" w:hAnsi="Calibri"/>
          <w:noProof/>
          <w:sz w:val="22"/>
          <w:szCs w:val="22"/>
          <w:lang w:val="sr-Latn-CS"/>
        </w:rPr>
        <w:t>3</w:t>
      </w:r>
      <w:r w:rsidR="00C4112E" w:rsidRPr="00455932">
        <w:rPr>
          <w:rFonts w:ascii="Calibri" w:hAnsi="Calibri"/>
          <w:noProof/>
          <w:sz w:val="22"/>
          <w:szCs w:val="22"/>
          <w:lang w:val="sr-Latn-CS"/>
        </w:rPr>
        <w:t xml:space="preserve">. godini </w:t>
      </w:r>
      <w:r w:rsidRPr="00455932">
        <w:rPr>
          <w:rFonts w:ascii="Calibri" w:hAnsi="Calibri"/>
          <w:noProof/>
          <w:sz w:val="22"/>
          <w:szCs w:val="22"/>
          <w:lang w:val="sr-Latn-CS"/>
        </w:rPr>
        <w:t xml:space="preserve"> </w:t>
      </w:r>
      <w:r w:rsidR="00C4112E" w:rsidRPr="00455932">
        <w:rPr>
          <w:rFonts w:ascii="Calibri" w:hAnsi="Calibri"/>
          <w:noProof/>
          <w:sz w:val="22"/>
          <w:szCs w:val="22"/>
          <w:lang w:val="sr-Latn-CS"/>
        </w:rPr>
        <w:t>iz</w:t>
      </w:r>
      <w:r w:rsidR="001065DF" w:rsidRPr="00455932">
        <w:rPr>
          <w:rFonts w:ascii="Calibri" w:hAnsi="Calibri"/>
          <w:noProof/>
          <w:sz w:val="22"/>
          <w:szCs w:val="22"/>
          <w:lang w:val="sr-Latn-CS"/>
        </w:rPr>
        <w:t xml:space="preserve">vršilo rezervisanje sredstava </w:t>
      </w:r>
      <w:r w:rsidR="007F6E5D" w:rsidRPr="00455932">
        <w:rPr>
          <w:rFonts w:ascii="Calibri" w:hAnsi="Calibri"/>
          <w:noProof/>
          <w:sz w:val="22"/>
          <w:szCs w:val="22"/>
          <w:lang w:val="sr-Latn-CS"/>
        </w:rPr>
        <w:t>po osnovu potencijalnih gubitaka koji bi mogli nastati po navedenim sporovima</w:t>
      </w:r>
    </w:p>
    <w:p w:rsidR="00675377" w:rsidRDefault="00675377" w:rsidP="00455932">
      <w:pPr>
        <w:pStyle w:val="Heading1"/>
        <w:tabs>
          <w:tab w:val="left" w:pos="426"/>
        </w:tabs>
        <w:spacing w:after="120"/>
        <w:rPr>
          <w:rFonts w:ascii="Calibri" w:hAnsi="Calibri"/>
          <w:i/>
          <w:sz w:val="24"/>
          <w:szCs w:val="22"/>
        </w:rPr>
      </w:pPr>
    </w:p>
    <w:p w:rsidR="00883031" w:rsidRDefault="00883031" w:rsidP="00883031"/>
    <w:p w:rsidR="001065DF" w:rsidRPr="00493B8C" w:rsidRDefault="001065DF" w:rsidP="00675377">
      <w:pPr>
        <w:pStyle w:val="Heading1"/>
        <w:tabs>
          <w:tab w:val="left" w:pos="426"/>
        </w:tabs>
        <w:spacing w:after="120"/>
        <w:rPr>
          <w:rFonts w:ascii="Calibri" w:hAnsi="Calibri"/>
          <w:i/>
          <w:sz w:val="24"/>
          <w:szCs w:val="22"/>
        </w:rPr>
      </w:pPr>
      <w:r w:rsidRPr="00493B8C">
        <w:rPr>
          <w:rFonts w:ascii="Calibri" w:hAnsi="Calibri"/>
          <w:i/>
          <w:sz w:val="24"/>
          <w:szCs w:val="22"/>
        </w:rPr>
        <w:t>Rizici kojima je Društvo izloženo</w:t>
      </w:r>
    </w:p>
    <w:p w:rsidR="001065DF" w:rsidRPr="00194DEE" w:rsidRDefault="001065DF" w:rsidP="001065DF">
      <w:pPr>
        <w:spacing w:after="120"/>
        <w:jc w:val="both"/>
        <w:rPr>
          <w:rFonts w:asciiTheme="minorHAnsi" w:hAnsiTheme="minorHAnsi"/>
          <w:noProof/>
          <w:sz w:val="22"/>
          <w:szCs w:val="22"/>
          <w:lang w:val="sr-Latn-CS"/>
        </w:rPr>
      </w:pPr>
      <w:r w:rsidRPr="00194DEE">
        <w:rPr>
          <w:rFonts w:asciiTheme="minorHAnsi" w:hAnsiTheme="minorHAnsi"/>
          <w:sz w:val="22"/>
          <w:szCs w:val="22"/>
          <w:lang w:val="sr-Latn-CS"/>
        </w:rPr>
        <w:t xml:space="preserve">Društvo je izloženo različitim vrstama </w:t>
      </w:r>
      <w:r>
        <w:rPr>
          <w:rFonts w:asciiTheme="minorHAnsi" w:hAnsiTheme="minorHAnsi"/>
          <w:sz w:val="22"/>
          <w:szCs w:val="22"/>
          <w:lang w:val="sr-Latn-CS"/>
        </w:rPr>
        <w:t xml:space="preserve">rizika </w:t>
      </w:r>
      <w:r w:rsidRPr="00194DEE">
        <w:rPr>
          <w:rFonts w:asciiTheme="minorHAnsi" w:hAnsiTheme="minorHAnsi"/>
          <w:sz w:val="22"/>
          <w:szCs w:val="22"/>
          <w:lang w:val="sr-Latn-CS"/>
        </w:rPr>
        <w:t>na osnovu svojih aktivnosti koje, između ostalog, uključuju analize, procjene i prihvatanje određenog stepena ili kombinacije rizika, kao i upravljanje istim.</w:t>
      </w:r>
    </w:p>
    <w:p w:rsidR="001065DF" w:rsidRPr="00225064" w:rsidRDefault="001065DF" w:rsidP="001065DF">
      <w:pPr>
        <w:spacing w:after="120"/>
        <w:jc w:val="both"/>
        <w:rPr>
          <w:rFonts w:asciiTheme="minorHAnsi" w:hAnsiTheme="minorHAnsi"/>
          <w:noProof/>
          <w:sz w:val="22"/>
          <w:szCs w:val="22"/>
          <w:lang w:val="sr-Latn-CS"/>
        </w:rPr>
      </w:pPr>
      <w:r>
        <w:rPr>
          <w:rFonts w:asciiTheme="minorHAnsi" w:hAnsiTheme="minorHAnsi"/>
          <w:noProof/>
          <w:sz w:val="22"/>
          <w:szCs w:val="22"/>
          <w:lang w:val="sr-Latn-CS"/>
        </w:rPr>
        <w:t xml:space="preserve">Prije svega, </w:t>
      </w:r>
      <w:r w:rsidRPr="00225064">
        <w:rPr>
          <w:rFonts w:asciiTheme="minorHAnsi" w:hAnsiTheme="minorHAnsi"/>
          <w:noProof/>
          <w:sz w:val="22"/>
          <w:szCs w:val="22"/>
          <w:lang w:val="sr-Latn-CS"/>
        </w:rPr>
        <w:t>Društvo je u svom redovnom poslovanju</w:t>
      </w:r>
      <w:r>
        <w:rPr>
          <w:rFonts w:asciiTheme="minorHAnsi" w:hAnsiTheme="minorHAnsi"/>
          <w:noProof/>
          <w:sz w:val="22"/>
          <w:szCs w:val="22"/>
          <w:lang w:val="sr-Latn-CS"/>
        </w:rPr>
        <w:t>,</w:t>
      </w:r>
      <w:r w:rsidRPr="00225064">
        <w:rPr>
          <w:rFonts w:asciiTheme="minorHAnsi" w:hAnsiTheme="minorHAnsi"/>
          <w:noProof/>
          <w:sz w:val="22"/>
          <w:szCs w:val="22"/>
          <w:lang w:val="sr-Latn-CS"/>
        </w:rPr>
        <w:t xml:space="preserve"> u različitom obimu</w:t>
      </w:r>
      <w:r>
        <w:rPr>
          <w:rFonts w:asciiTheme="minorHAnsi" w:hAnsiTheme="minorHAnsi"/>
          <w:noProof/>
          <w:sz w:val="22"/>
          <w:szCs w:val="22"/>
          <w:lang w:val="sr-Latn-CS"/>
        </w:rPr>
        <w:t>,</w:t>
      </w:r>
      <w:r w:rsidRPr="00225064">
        <w:rPr>
          <w:rFonts w:asciiTheme="minorHAnsi" w:hAnsiTheme="minorHAnsi"/>
          <w:noProof/>
          <w:sz w:val="22"/>
          <w:szCs w:val="22"/>
          <w:lang w:val="sr-Latn-CS"/>
        </w:rPr>
        <w:t xml:space="preserve"> izloženoodređenim finansijskim rizicima</w:t>
      </w:r>
      <w:r>
        <w:rPr>
          <w:rFonts w:asciiTheme="minorHAnsi" w:hAnsiTheme="minorHAnsi"/>
          <w:noProof/>
          <w:sz w:val="22"/>
          <w:szCs w:val="22"/>
          <w:lang w:val="sr-Latn-CS"/>
        </w:rPr>
        <w:t>, anaroči</w:t>
      </w:r>
      <w:r w:rsidRPr="00225064">
        <w:rPr>
          <w:rFonts w:asciiTheme="minorHAnsi" w:hAnsiTheme="minorHAnsi"/>
          <w:noProof/>
          <w:sz w:val="22"/>
          <w:szCs w:val="22"/>
          <w:lang w:val="sr-Latn-CS"/>
        </w:rPr>
        <w:t xml:space="preserve">to: </w:t>
      </w:r>
    </w:p>
    <w:p w:rsidR="001065DF" w:rsidRPr="00225064" w:rsidRDefault="001065DF" w:rsidP="001065DF">
      <w:pPr>
        <w:pStyle w:val="ListParagraph"/>
        <w:numPr>
          <w:ilvl w:val="0"/>
          <w:numId w:val="13"/>
        </w:numPr>
        <w:tabs>
          <w:tab w:val="left" w:pos="540"/>
          <w:tab w:val="num" w:pos="990"/>
        </w:tabs>
        <w:rPr>
          <w:rFonts w:asciiTheme="minorHAnsi" w:hAnsiTheme="minorHAnsi"/>
          <w:sz w:val="22"/>
          <w:szCs w:val="22"/>
          <w:lang w:val="sr-Latn-CS"/>
        </w:rPr>
      </w:pPr>
      <w:r w:rsidRPr="00225064">
        <w:rPr>
          <w:rFonts w:asciiTheme="minorHAnsi" w:hAnsiTheme="minorHAnsi"/>
          <w:sz w:val="22"/>
          <w:szCs w:val="22"/>
          <w:lang w:val="sr-Latn-CS"/>
        </w:rPr>
        <w:t>tržišnim rizicima,</w:t>
      </w:r>
    </w:p>
    <w:p w:rsidR="001065DF" w:rsidRPr="00225064" w:rsidRDefault="001065DF" w:rsidP="001065DF">
      <w:pPr>
        <w:pStyle w:val="ListParagraph"/>
        <w:numPr>
          <w:ilvl w:val="0"/>
          <w:numId w:val="13"/>
        </w:numPr>
        <w:tabs>
          <w:tab w:val="left" w:pos="540"/>
          <w:tab w:val="num" w:pos="990"/>
        </w:tabs>
        <w:rPr>
          <w:rFonts w:asciiTheme="minorHAnsi" w:hAnsiTheme="minorHAnsi"/>
          <w:sz w:val="22"/>
          <w:szCs w:val="22"/>
          <w:lang w:val="sr-Latn-CS"/>
        </w:rPr>
      </w:pPr>
      <w:r w:rsidRPr="00225064">
        <w:rPr>
          <w:rFonts w:asciiTheme="minorHAnsi" w:hAnsiTheme="minorHAnsi"/>
          <w:sz w:val="22"/>
          <w:szCs w:val="22"/>
          <w:lang w:val="sr-Latn-CS"/>
        </w:rPr>
        <w:t>riziku likvidnosti,</w:t>
      </w:r>
    </w:p>
    <w:p w:rsidR="001065DF" w:rsidRDefault="001065DF" w:rsidP="001065DF">
      <w:pPr>
        <w:pStyle w:val="ListParagraph"/>
        <w:numPr>
          <w:ilvl w:val="0"/>
          <w:numId w:val="13"/>
        </w:numPr>
        <w:spacing w:after="120"/>
        <w:rPr>
          <w:rFonts w:asciiTheme="minorHAnsi" w:hAnsiTheme="minorHAnsi"/>
          <w:sz w:val="22"/>
          <w:szCs w:val="22"/>
          <w:lang w:val="sr-Latn-CS"/>
        </w:rPr>
      </w:pPr>
      <w:r w:rsidRPr="00225064">
        <w:rPr>
          <w:rFonts w:asciiTheme="minorHAnsi" w:hAnsiTheme="minorHAnsi"/>
          <w:sz w:val="22"/>
          <w:szCs w:val="22"/>
          <w:lang w:val="sr-Latn-CS"/>
        </w:rPr>
        <w:t>kreditnom riziku</w:t>
      </w:r>
      <w:r>
        <w:rPr>
          <w:rFonts w:asciiTheme="minorHAnsi" w:hAnsiTheme="minorHAnsi"/>
          <w:sz w:val="22"/>
          <w:szCs w:val="22"/>
          <w:lang w:val="sr-Latn-CS"/>
        </w:rPr>
        <w:t>, i</w:t>
      </w:r>
    </w:p>
    <w:p w:rsidR="001065DF" w:rsidRPr="00B61692" w:rsidRDefault="001065DF" w:rsidP="001065DF">
      <w:pPr>
        <w:pStyle w:val="ListParagraph"/>
        <w:numPr>
          <w:ilvl w:val="0"/>
          <w:numId w:val="13"/>
        </w:numPr>
        <w:spacing w:after="120"/>
        <w:rPr>
          <w:rFonts w:asciiTheme="minorHAnsi" w:hAnsiTheme="minorHAnsi"/>
          <w:sz w:val="22"/>
          <w:szCs w:val="22"/>
          <w:lang w:val="sr-Latn-CS"/>
        </w:rPr>
      </w:pPr>
      <w:r w:rsidRPr="00B61692">
        <w:rPr>
          <w:rFonts w:asciiTheme="minorHAnsi" w:hAnsiTheme="minorHAnsi"/>
          <w:sz w:val="22"/>
          <w:szCs w:val="22"/>
          <w:lang w:val="sr-Latn-CS"/>
        </w:rPr>
        <w:t>poreskom riziku.</w:t>
      </w:r>
    </w:p>
    <w:p w:rsidR="001065DF" w:rsidRPr="00225064" w:rsidRDefault="001065DF" w:rsidP="001065DF">
      <w:pPr>
        <w:spacing w:after="120"/>
        <w:jc w:val="both"/>
        <w:rPr>
          <w:rFonts w:asciiTheme="minorHAnsi" w:hAnsiTheme="minorHAnsi"/>
          <w:noProof/>
          <w:sz w:val="22"/>
          <w:szCs w:val="22"/>
          <w:lang w:val="sr-Latn-CS"/>
        </w:rPr>
      </w:pPr>
      <w:r w:rsidRPr="00225064">
        <w:rPr>
          <w:rFonts w:asciiTheme="minorHAnsi" w:hAnsiTheme="minorHAnsi"/>
          <w:noProof/>
          <w:sz w:val="22"/>
          <w:szCs w:val="22"/>
          <w:lang w:val="sr-Latn-CS"/>
        </w:rPr>
        <w:t>Upravljanje rizicima u Društvu je usm</w:t>
      </w:r>
      <w:r>
        <w:rPr>
          <w:rFonts w:asciiTheme="minorHAnsi" w:hAnsiTheme="minorHAnsi"/>
          <w:noProof/>
          <w:sz w:val="22"/>
          <w:szCs w:val="22"/>
          <w:lang w:val="sr-Latn-CS"/>
        </w:rPr>
        <w:t>j</w:t>
      </w:r>
      <w:r w:rsidRPr="00225064">
        <w:rPr>
          <w:rFonts w:asciiTheme="minorHAnsi" w:hAnsiTheme="minorHAnsi"/>
          <w:noProof/>
          <w:sz w:val="22"/>
          <w:szCs w:val="22"/>
          <w:lang w:val="sr-Latn-CS"/>
        </w:rPr>
        <w:t>ereno na minimiziranje potencijalnih negativnih uticaja na finansijsko stanje i poslovanje Društva u situac</w:t>
      </w:r>
      <w:r>
        <w:rPr>
          <w:rFonts w:asciiTheme="minorHAnsi" w:hAnsiTheme="minorHAnsi"/>
          <w:noProof/>
          <w:sz w:val="22"/>
          <w:szCs w:val="22"/>
          <w:lang w:val="sr-Latn-CS"/>
        </w:rPr>
        <w:t>iji nepredvidivosti finansijskog</w:t>
      </w:r>
      <w:r w:rsidRPr="00225064">
        <w:rPr>
          <w:rFonts w:asciiTheme="minorHAnsi" w:hAnsiTheme="minorHAnsi"/>
          <w:noProof/>
          <w:sz w:val="22"/>
          <w:szCs w:val="22"/>
          <w:lang w:val="sr-Latn-CS"/>
        </w:rPr>
        <w:t xml:space="preserve"> tržišta. </w:t>
      </w:r>
    </w:p>
    <w:p w:rsidR="00675377" w:rsidRDefault="00675377" w:rsidP="001065DF">
      <w:pPr>
        <w:tabs>
          <w:tab w:val="left" w:pos="400"/>
        </w:tabs>
        <w:spacing w:after="80"/>
        <w:ind w:left="400"/>
        <w:jc w:val="both"/>
        <w:rPr>
          <w:rFonts w:asciiTheme="minorHAnsi" w:hAnsiTheme="minorHAnsi"/>
          <w:b/>
          <w:i/>
          <w:noProof/>
          <w:sz w:val="24"/>
          <w:szCs w:val="22"/>
          <w:lang w:val="sr-Latn-CS"/>
        </w:rPr>
      </w:pPr>
    </w:p>
    <w:p w:rsidR="00455932" w:rsidRDefault="00455932" w:rsidP="00F622C5">
      <w:pPr>
        <w:tabs>
          <w:tab w:val="left" w:pos="400"/>
        </w:tabs>
        <w:spacing w:after="80"/>
        <w:jc w:val="both"/>
        <w:rPr>
          <w:rFonts w:asciiTheme="minorHAnsi" w:hAnsiTheme="minorHAnsi"/>
          <w:b/>
          <w:i/>
          <w:noProof/>
          <w:sz w:val="24"/>
          <w:szCs w:val="22"/>
          <w:lang w:val="sr-Latn-CS"/>
        </w:rPr>
      </w:pPr>
    </w:p>
    <w:p w:rsidR="001065DF" w:rsidRDefault="001065DF" w:rsidP="00F622C5">
      <w:pPr>
        <w:tabs>
          <w:tab w:val="left" w:pos="400"/>
        </w:tabs>
        <w:spacing w:after="80"/>
        <w:jc w:val="both"/>
        <w:rPr>
          <w:rFonts w:asciiTheme="minorHAnsi" w:hAnsiTheme="minorHAnsi"/>
          <w:b/>
          <w:i/>
          <w:noProof/>
          <w:sz w:val="24"/>
          <w:szCs w:val="22"/>
          <w:lang w:val="sr-Latn-CS"/>
        </w:rPr>
      </w:pPr>
      <w:r>
        <w:rPr>
          <w:rFonts w:asciiTheme="minorHAnsi" w:hAnsiTheme="minorHAnsi"/>
          <w:b/>
          <w:i/>
          <w:noProof/>
          <w:sz w:val="24"/>
          <w:szCs w:val="22"/>
          <w:lang w:val="sr-Latn-CS"/>
        </w:rPr>
        <w:lastRenderedPageBreak/>
        <w:t>4</w:t>
      </w:r>
      <w:r w:rsidRPr="00B85C12">
        <w:rPr>
          <w:rFonts w:asciiTheme="minorHAnsi" w:hAnsiTheme="minorHAnsi"/>
          <w:b/>
          <w:i/>
          <w:noProof/>
          <w:sz w:val="24"/>
          <w:szCs w:val="22"/>
          <w:lang w:val="sr-Latn-CS"/>
        </w:rPr>
        <w:t xml:space="preserve">.1. Tržišni i </w:t>
      </w:r>
      <w:r w:rsidRPr="00B85C12">
        <w:rPr>
          <w:rFonts w:asciiTheme="minorHAnsi" w:hAnsiTheme="minorHAnsi"/>
          <w:b/>
          <w:i/>
          <w:sz w:val="24"/>
          <w:szCs w:val="22"/>
        </w:rPr>
        <w:t>cjenovni</w:t>
      </w:r>
      <w:r w:rsidRPr="00B85C12">
        <w:rPr>
          <w:rFonts w:asciiTheme="minorHAnsi" w:hAnsiTheme="minorHAnsi"/>
          <w:b/>
          <w:i/>
          <w:noProof/>
          <w:sz w:val="24"/>
          <w:szCs w:val="22"/>
          <w:lang w:val="sr-Latn-CS"/>
        </w:rPr>
        <w:t xml:space="preserve"> rizik</w:t>
      </w:r>
    </w:p>
    <w:p w:rsidR="009B6515" w:rsidRDefault="009B6515" w:rsidP="001065DF">
      <w:pPr>
        <w:tabs>
          <w:tab w:val="left" w:pos="400"/>
        </w:tabs>
        <w:spacing w:after="80"/>
        <w:ind w:left="400"/>
        <w:jc w:val="both"/>
        <w:rPr>
          <w:rFonts w:asciiTheme="minorHAnsi" w:hAnsiTheme="minorHAnsi"/>
          <w:b/>
          <w:i/>
          <w:noProof/>
          <w:sz w:val="24"/>
          <w:szCs w:val="22"/>
          <w:lang w:val="sr-Latn-CS"/>
        </w:rPr>
      </w:pPr>
    </w:p>
    <w:p w:rsidR="00C640C7" w:rsidRPr="00C640C7" w:rsidRDefault="00C640C7" w:rsidP="00C640C7">
      <w:pPr>
        <w:tabs>
          <w:tab w:val="left" w:pos="90"/>
          <w:tab w:val="left" w:pos="400"/>
        </w:tabs>
        <w:spacing w:after="120"/>
        <w:jc w:val="both"/>
        <w:rPr>
          <w:rFonts w:asciiTheme="minorHAnsi" w:hAnsiTheme="minorHAnsi"/>
          <w:b/>
          <w:i/>
          <w:noProof/>
          <w:sz w:val="22"/>
          <w:szCs w:val="22"/>
          <w:lang w:val="sr-Latn-CS"/>
        </w:rPr>
      </w:pPr>
      <w:r w:rsidRPr="00C640C7">
        <w:rPr>
          <w:rFonts w:asciiTheme="minorHAnsi" w:hAnsiTheme="minorHAnsi"/>
          <w:b/>
          <w:i/>
          <w:noProof/>
          <w:sz w:val="22"/>
          <w:szCs w:val="22"/>
          <w:lang w:val="sr-Latn-CS"/>
        </w:rPr>
        <w:t>(a)  Rizik od promjene kursa stranih valuta</w:t>
      </w:r>
    </w:p>
    <w:p w:rsidR="00C640C7" w:rsidRPr="00C640C7" w:rsidRDefault="00C640C7" w:rsidP="00C640C7">
      <w:pPr>
        <w:jc w:val="both"/>
        <w:rPr>
          <w:rFonts w:asciiTheme="minorHAnsi" w:hAnsiTheme="minorHAnsi"/>
          <w:sz w:val="22"/>
          <w:szCs w:val="22"/>
          <w:lang w:val="sr-Latn-CS"/>
        </w:rPr>
      </w:pPr>
      <w:r w:rsidRPr="00C640C7">
        <w:rPr>
          <w:rFonts w:asciiTheme="minorHAnsi" w:hAnsiTheme="minorHAnsi"/>
          <w:noProof/>
          <w:sz w:val="22"/>
          <w:szCs w:val="22"/>
          <w:lang w:val="sr-Latn-CS"/>
        </w:rPr>
        <w:t xml:space="preserve">Društvo nije izloženo riziku od promjene kursa stranih valuta prilikom poslovanja u zemlji i inostranstvu, a koji proističe iz poslovanja sa različitim valutama, prvenstveno EUR. </w:t>
      </w:r>
      <w:r w:rsidRPr="00C640C7">
        <w:rPr>
          <w:rFonts w:asciiTheme="minorHAnsi" w:hAnsiTheme="minorHAnsi"/>
          <w:sz w:val="22"/>
          <w:szCs w:val="22"/>
          <w:lang w:val="sr-Latn-CS"/>
        </w:rPr>
        <w:t>Devizni rizik nastaje u slučajevima neusklađenosti finansijskih sredstava i obaveza izraženih u stranoj valuti i/</w:t>
      </w:r>
      <w:r w:rsidRPr="00C640C7">
        <w:rPr>
          <w:rFonts w:asciiTheme="minorHAnsi" w:hAnsiTheme="minorHAnsi"/>
          <w:i/>
          <w:sz w:val="22"/>
          <w:szCs w:val="22"/>
          <w:lang w:val="sr-Latn-CS"/>
        </w:rPr>
        <w:t>ili sa valutnom klauzulom</w:t>
      </w:r>
      <w:r w:rsidRPr="00C640C7">
        <w:rPr>
          <w:rFonts w:asciiTheme="minorHAnsi" w:hAnsiTheme="minorHAnsi"/>
          <w:sz w:val="22"/>
          <w:szCs w:val="22"/>
          <w:lang w:val="sr-Latn-CS"/>
        </w:rPr>
        <w:t>. Društvo u svom poslovanju nije imalo deviznih transakacija i otvorenih deviznih pozicija. U mjeri u kojoj  to</w:t>
      </w:r>
      <w:r>
        <w:rPr>
          <w:rFonts w:asciiTheme="minorHAnsi" w:hAnsiTheme="minorHAnsi"/>
          <w:sz w:val="22"/>
          <w:szCs w:val="22"/>
          <w:lang w:val="sr-Latn-CS"/>
        </w:rPr>
        <w:t xml:space="preserve"> </w:t>
      </w:r>
      <w:r w:rsidRPr="00C640C7">
        <w:rPr>
          <w:rFonts w:asciiTheme="minorHAnsi" w:hAnsiTheme="minorHAnsi"/>
          <w:sz w:val="22"/>
          <w:szCs w:val="22"/>
          <w:lang w:val="sr-Latn-CS"/>
        </w:rPr>
        <w:t xml:space="preserve">bude potrebno, Društvo će minimizirati devizni rizik kroz minimiziranje otvorenih deviznih pozicij.   </w:t>
      </w:r>
    </w:p>
    <w:p w:rsidR="00C640C7" w:rsidRPr="00C640C7" w:rsidRDefault="00C640C7" w:rsidP="00C640C7">
      <w:pPr>
        <w:tabs>
          <w:tab w:val="left" w:pos="0"/>
          <w:tab w:val="left" w:pos="400"/>
        </w:tabs>
        <w:spacing w:after="120"/>
        <w:jc w:val="both"/>
        <w:rPr>
          <w:rFonts w:asciiTheme="minorHAnsi" w:hAnsiTheme="minorHAnsi"/>
          <w:b/>
          <w:i/>
          <w:noProof/>
          <w:sz w:val="22"/>
          <w:szCs w:val="22"/>
          <w:lang w:val="sr-Latn-CS"/>
        </w:rPr>
      </w:pPr>
      <w:r w:rsidRPr="00C640C7">
        <w:rPr>
          <w:rFonts w:asciiTheme="minorHAnsi" w:hAnsiTheme="minorHAnsi"/>
          <w:b/>
          <w:i/>
          <w:noProof/>
          <w:sz w:val="22"/>
          <w:szCs w:val="22"/>
          <w:lang w:val="sr-Latn-CS"/>
        </w:rPr>
        <w:t>(b)</w:t>
      </w:r>
      <w:r w:rsidRPr="00C640C7">
        <w:rPr>
          <w:rFonts w:asciiTheme="minorHAnsi" w:hAnsiTheme="minorHAnsi"/>
          <w:b/>
          <w:i/>
          <w:noProof/>
          <w:sz w:val="22"/>
          <w:szCs w:val="22"/>
          <w:lang w:val="sr-Latn-CS"/>
        </w:rPr>
        <w:tab/>
        <w:t>Rizik od promjene kamatnih stopa</w:t>
      </w:r>
    </w:p>
    <w:p w:rsidR="00C640C7" w:rsidRPr="00C640C7" w:rsidRDefault="00C640C7" w:rsidP="00C640C7">
      <w:pPr>
        <w:jc w:val="both"/>
        <w:rPr>
          <w:rFonts w:asciiTheme="minorHAnsi" w:hAnsiTheme="minorHAnsi"/>
          <w:noProof/>
          <w:sz w:val="22"/>
          <w:szCs w:val="22"/>
          <w:highlight w:val="yellow"/>
          <w:lang w:val="sr-Latn-CS"/>
        </w:rPr>
      </w:pPr>
      <w:r w:rsidRPr="00C640C7">
        <w:rPr>
          <w:rFonts w:asciiTheme="minorHAnsi" w:hAnsiTheme="minorHAnsi"/>
          <w:noProof/>
          <w:sz w:val="22"/>
          <w:szCs w:val="22"/>
          <w:lang w:val="sr-Latn-CS"/>
        </w:rPr>
        <w:t xml:space="preserve">Društvo nije izloženo rizicima koji kroz efekte promjena visine tržišnih kamatnih stopa djeluju na njegov finansijski položaj i tokove gotovine. </w:t>
      </w:r>
    </w:p>
    <w:p w:rsidR="00C640C7" w:rsidRPr="00C640C7" w:rsidRDefault="00C640C7" w:rsidP="00C640C7">
      <w:pPr>
        <w:jc w:val="both"/>
        <w:rPr>
          <w:rFonts w:asciiTheme="minorHAnsi" w:hAnsiTheme="minorHAnsi"/>
          <w:noProof/>
          <w:sz w:val="22"/>
          <w:szCs w:val="22"/>
          <w:lang w:val="sr-Latn-CS"/>
        </w:rPr>
      </w:pPr>
      <w:r w:rsidRPr="00C640C7">
        <w:rPr>
          <w:rFonts w:asciiTheme="minorHAnsi" w:hAnsiTheme="minorHAnsi"/>
          <w:noProof/>
          <w:sz w:val="22"/>
          <w:szCs w:val="22"/>
          <w:lang w:val="sr-Latn-CS"/>
        </w:rPr>
        <w:t xml:space="preserve">S obzirom da Društvo nema značajnu kamatonosnu imovinu, prihod Društva i tokovi gotovine u velikoj mjeri su nezavisni od promjena tržišnih kamatnih stopa. Rizik Društva od promjena fer vrijednosti kamatnih stopa proističe prvenstveno iz obaveza po osnovu primljenih dugoročnih kredita od banke. Društvo nema kredita koji su primljeni po promjenljivim kamatnim stopama i izlažu Društvo kamatnom riziku tokova gotovine. Tokom </w:t>
      </w:r>
      <w:r w:rsidRPr="009B6515">
        <w:rPr>
          <w:rFonts w:asciiTheme="minorHAnsi" w:hAnsiTheme="minorHAnsi"/>
          <w:noProof/>
          <w:sz w:val="22"/>
          <w:szCs w:val="22"/>
          <w:lang w:val="sr-Latn-CS"/>
        </w:rPr>
        <w:t>20</w:t>
      </w:r>
      <w:r w:rsidR="00061781" w:rsidRPr="009B6515">
        <w:rPr>
          <w:rFonts w:asciiTheme="minorHAnsi" w:hAnsiTheme="minorHAnsi"/>
          <w:noProof/>
          <w:sz w:val="22"/>
          <w:szCs w:val="22"/>
          <w:lang w:val="sr-Latn-CS"/>
        </w:rPr>
        <w:t>2</w:t>
      </w:r>
      <w:r w:rsidR="00455932">
        <w:rPr>
          <w:rFonts w:asciiTheme="minorHAnsi" w:hAnsiTheme="minorHAnsi"/>
          <w:noProof/>
          <w:sz w:val="22"/>
          <w:szCs w:val="22"/>
          <w:lang w:val="sr-Latn-CS"/>
        </w:rPr>
        <w:t>3</w:t>
      </w:r>
      <w:r w:rsidRPr="009B6515">
        <w:rPr>
          <w:rFonts w:asciiTheme="minorHAnsi" w:hAnsiTheme="minorHAnsi"/>
          <w:noProof/>
          <w:sz w:val="22"/>
          <w:szCs w:val="22"/>
          <w:lang w:val="sr-Latn-CS"/>
        </w:rPr>
        <w:t>.</w:t>
      </w:r>
      <w:r w:rsidRPr="00C640C7">
        <w:rPr>
          <w:rFonts w:asciiTheme="minorHAnsi" w:hAnsiTheme="minorHAnsi"/>
          <w:noProof/>
          <w:sz w:val="22"/>
          <w:szCs w:val="22"/>
          <w:lang w:val="sr-Latn-CS"/>
        </w:rPr>
        <w:t xml:space="preserve"> godine društvo nije imalo obaveza po kreditima a time ni obaveza po kreditima sa varijabilnom kamatnom stopom, koja je vezana za Euribor. </w:t>
      </w:r>
    </w:p>
    <w:p w:rsidR="00C640C7" w:rsidRPr="006E268E" w:rsidRDefault="00C640C7" w:rsidP="00C640C7">
      <w:pPr>
        <w:jc w:val="both"/>
        <w:rPr>
          <w:rFonts w:ascii="Trebuchet MS" w:hAnsi="Trebuchet MS"/>
          <w:noProof/>
          <w:sz w:val="22"/>
          <w:szCs w:val="22"/>
          <w:lang w:val="sr-Latn-CS"/>
        </w:rPr>
      </w:pPr>
    </w:p>
    <w:p w:rsidR="00C640C7" w:rsidRPr="00C640C7" w:rsidRDefault="00C640C7" w:rsidP="00C640C7">
      <w:pPr>
        <w:jc w:val="both"/>
        <w:rPr>
          <w:rFonts w:asciiTheme="minorHAnsi" w:hAnsiTheme="minorHAnsi"/>
          <w:sz w:val="22"/>
          <w:szCs w:val="22"/>
          <w:lang w:val="sr-Latn-CS"/>
        </w:rPr>
      </w:pPr>
      <w:r w:rsidRPr="00C640C7">
        <w:rPr>
          <w:rFonts w:asciiTheme="minorHAnsi" w:hAnsiTheme="minorHAnsi"/>
          <w:noProof/>
          <w:sz w:val="22"/>
          <w:szCs w:val="22"/>
          <w:lang w:val="sr-Latn-CS"/>
        </w:rPr>
        <w:t xml:space="preserve">Društvo vrši analizu izloženosti riziku od promjene kamatnih stopa na dinamičkoj osnovi uzimajući u obzir alternativne izvore finansiranja i refinansiranje. </w:t>
      </w:r>
      <w:r w:rsidRPr="00C640C7">
        <w:rPr>
          <w:rFonts w:asciiTheme="minorHAnsi" w:hAnsiTheme="minorHAnsi"/>
          <w:sz w:val="22"/>
          <w:szCs w:val="22"/>
          <w:lang w:val="sr-Latn-CS"/>
        </w:rPr>
        <w:t>Aktivnosti upravljanja rizicima imaju za cilj da optimiziraju neto rashod od kamata, uz uslov da su tržišne kamatne stope na nivou koji je u skladu sa poslovnom strategijom Društva.</w:t>
      </w:r>
    </w:p>
    <w:p w:rsidR="00C640C7" w:rsidRDefault="00C640C7" w:rsidP="001065DF">
      <w:pPr>
        <w:tabs>
          <w:tab w:val="left" w:pos="400"/>
        </w:tabs>
        <w:spacing w:after="80"/>
        <w:ind w:left="400"/>
        <w:jc w:val="both"/>
        <w:rPr>
          <w:rFonts w:asciiTheme="minorHAnsi" w:hAnsiTheme="minorHAnsi"/>
          <w:b/>
          <w:i/>
          <w:noProof/>
          <w:sz w:val="24"/>
          <w:szCs w:val="22"/>
          <w:lang w:val="sr-Latn-CS"/>
        </w:rPr>
      </w:pPr>
    </w:p>
    <w:p w:rsidR="001065DF" w:rsidRPr="00F10A6F" w:rsidRDefault="00675377" w:rsidP="00675377">
      <w:pPr>
        <w:tabs>
          <w:tab w:val="left" w:pos="400"/>
        </w:tabs>
        <w:spacing w:after="80"/>
        <w:jc w:val="both"/>
        <w:rPr>
          <w:rFonts w:asciiTheme="minorHAnsi" w:hAnsiTheme="minorHAnsi"/>
          <w:b/>
          <w:i/>
          <w:noProof/>
          <w:sz w:val="24"/>
          <w:szCs w:val="22"/>
          <w:lang w:val="sr-Latn-CS"/>
        </w:rPr>
      </w:pPr>
      <w:r>
        <w:rPr>
          <w:rFonts w:asciiTheme="minorHAnsi" w:hAnsiTheme="minorHAnsi"/>
          <w:b/>
          <w:i/>
          <w:noProof/>
          <w:sz w:val="24"/>
          <w:szCs w:val="22"/>
          <w:lang w:val="sr-Latn-CS"/>
        </w:rPr>
        <w:t xml:space="preserve">  </w:t>
      </w:r>
      <w:r w:rsidR="001065DF">
        <w:rPr>
          <w:rFonts w:asciiTheme="minorHAnsi" w:hAnsiTheme="minorHAnsi"/>
          <w:b/>
          <w:i/>
          <w:noProof/>
          <w:sz w:val="24"/>
          <w:szCs w:val="22"/>
          <w:lang w:val="sr-Latn-CS"/>
        </w:rPr>
        <w:t>4</w:t>
      </w:r>
      <w:r w:rsidR="001065DF" w:rsidRPr="00F10A6F">
        <w:rPr>
          <w:rFonts w:asciiTheme="minorHAnsi" w:hAnsiTheme="minorHAnsi"/>
          <w:b/>
          <w:i/>
          <w:noProof/>
          <w:sz w:val="24"/>
          <w:szCs w:val="22"/>
          <w:lang w:val="sr-Latn-CS"/>
        </w:rPr>
        <w:t>.2. Rizik likvidnosti</w:t>
      </w:r>
    </w:p>
    <w:p w:rsidR="001065DF" w:rsidRPr="00F10A6F" w:rsidRDefault="001065DF" w:rsidP="001065DF">
      <w:pPr>
        <w:spacing w:after="80"/>
        <w:jc w:val="both"/>
        <w:rPr>
          <w:rFonts w:asciiTheme="minorHAnsi" w:hAnsiTheme="minorHAnsi"/>
          <w:sz w:val="22"/>
          <w:szCs w:val="22"/>
          <w:lang w:val="sr-Latn-CS"/>
        </w:rPr>
      </w:pPr>
      <w:r w:rsidRPr="00F10A6F">
        <w:rPr>
          <w:rFonts w:asciiTheme="minorHAnsi" w:hAnsiTheme="minorHAnsi"/>
          <w:sz w:val="22"/>
          <w:szCs w:val="22"/>
          <w:lang w:val="sr-Latn-CS"/>
        </w:rPr>
        <w:t xml:space="preserve">Rizik likvidnosti je rizik da Društvo neće biti u mogućnosti da finansira sredstva odgovarajućim izvorima finansiranja sa stanovišta rokova i stopa i rizik nemogućnosti da se sredstvo realizuje po razumnoj cjeni u odgovarajućem vremenskom okviru. </w:t>
      </w:r>
    </w:p>
    <w:p w:rsidR="001065DF" w:rsidRDefault="001065DF" w:rsidP="001065DF">
      <w:pPr>
        <w:spacing w:after="80"/>
        <w:jc w:val="both"/>
        <w:rPr>
          <w:rFonts w:asciiTheme="minorHAnsi" w:hAnsiTheme="minorHAnsi"/>
          <w:sz w:val="22"/>
          <w:szCs w:val="22"/>
          <w:lang w:val="sr-Latn-CS"/>
        </w:rPr>
      </w:pPr>
      <w:r w:rsidRPr="00F10A6F">
        <w:rPr>
          <w:rFonts w:asciiTheme="minorHAnsi" w:hAnsiTheme="minorHAnsi"/>
          <w:sz w:val="22"/>
          <w:szCs w:val="22"/>
          <w:lang w:val="sr-Latn-CS"/>
        </w:rPr>
        <w:t xml:space="preserve">Društvo upravlja likvidnošću sa ciljem da osigura da izvori finansiranja budu raspoloživi za izmirenje obaveza u trenutku njihovog dospijeća. Društvo neprekidno procjenjuje rizik likvidnosti identifikovanjem i praćenjem promjena u izvorima finansiranja potrebnim za ispunjenje poslovnih ciljeva Društva, a u skladu sa poslovnom strategijom Društva. </w:t>
      </w:r>
    </w:p>
    <w:p w:rsidR="008C4C32" w:rsidRPr="008C4C32" w:rsidRDefault="008C4C32" w:rsidP="008C4C32">
      <w:pPr>
        <w:jc w:val="both"/>
        <w:rPr>
          <w:rFonts w:asciiTheme="minorHAnsi" w:hAnsiTheme="minorHAnsi"/>
          <w:sz w:val="22"/>
          <w:szCs w:val="22"/>
          <w:lang w:val="sr-Latn-CS"/>
        </w:rPr>
      </w:pPr>
      <w:r w:rsidRPr="008C4C32">
        <w:rPr>
          <w:rFonts w:asciiTheme="minorHAnsi" w:hAnsiTheme="minorHAnsi"/>
          <w:sz w:val="22"/>
          <w:szCs w:val="22"/>
          <w:lang w:val="sr-Latn-CS"/>
        </w:rPr>
        <w:t xml:space="preserve">Društvo ima pristup raznolikim izvorima finansiranja za kojim u toku izvještajnog perioda nije bilo potrebe. </w:t>
      </w:r>
    </w:p>
    <w:p w:rsidR="008C4C32" w:rsidRDefault="008C4C32" w:rsidP="008C4C32">
      <w:pPr>
        <w:spacing w:after="120"/>
        <w:jc w:val="both"/>
        <w:rPr>
          <w:rFonts w:asciiTheme="minorHAnsi" w:hAnsiTheme="minorHAnsi"/>
          <w:b/>
          <w:i/>
          <w:noProof/>
          <w:sz w:val="24"/>
          <w:szCs w:val="22"/>
          <w:lang w:val="sr-Latn-CS"/>
        </w:rPr>
      </w:pPr>
    </w:p>
    <w:p w:rsidR="001065DF" w:rsidRPr="00493B8C" w:rsidRDefault="001065DF" w:rsidP="001065DF">
      <w:pPr>
        <w:spacing w:after="120"/>
        <w:ind w:left="426"/>
        <w:jc w:val="both"/>
        <w:rPr>
          <w:rFonts w:asciiTheme="minorHAnsi" w:hAnsiTheme="minorHAnsi"/>
          <w:b/>
          <w:i/>
          <w:noProof/>
          <w:sz w:val="24"/>
          <w:szCs w:val="22"/>
          <w:lang w:val="sr-Latn-CS"/>
        </w:rPr>
      </w:pPr>
      <w:r>
        <w:rPr>
          <w:rFonts w:asciiTheme="minorHAnsi" w:hAnsiTheme="minorHAnsi"/>
          <w:b/>
          <w:i/>
          <w:noProof/>
          <w:sz w:val="24"/>
          <w:szCs w:val="22"/>
          <w:lang w:val="sr-Latn-CS"/>
        </w:rPr>
        <w:t>4</w:t>
      </w:r>
      <w:r w:rsidRPr="00493B8C">
        <w:rPr>
          <w:rFonts w:asciiTheme="minorHAnsi" w:hAnsiTheme="minorHAnsi"/>
          <w:b/>
          <w:i/>
          <w:noProof/>
          <w:sz w:val="24"/>
          <w:szCs w:val="22"/>
          <w:lang w:val="sr-Latn-CS"/>
        </w:rPr>
        <w:t>.</w:t>
      </w:r>
      <w:r>
        <w:rPr>
          <w:rFonts w:asciiTheme="minorHAnsi" w:hAnsiTheme="minorHAnsi"/>
          <w:b/>
          <w:i/>
          <w:noProof/>
          <w:sz w:val="24"/>
          <w:szCs w:val="22"/>
          <w:lang w:val="sr-Latn-CS"/>
        </w:rPr>
        <w:t>3</w:t>
      </w:r>
      <w:r w:rsidRPr="00493B8C">
        <w:rPr>
          <w:rFonts w:asciiTheme="minorHAnsi" w:hAnsiTheme="minorHAnsi"/>
          <w:b/>
          <w:i/>
          <w:noProof/>
          <w:sz w:val="24"/>
          <w:szCs w:val="22"/>
          <w:lang w:val="sr-Latn-CS"/>
        </w:rPr>
        <w:t>. Kreditni rizik</w:t>
      </w:r>
    </w:p>
    <w:p w:rsidR="001065DF" w:rsidRPr="00493B8C" w:rsidRDefault="001065DF" w:rsidP="001065DF">
      <w:pPr>
        <w:spacing w:after="120"/>
        <w:jc w:val="both"/>
        <w:rPr>
          <w:rFonts w:asciiTheme="minorHAnsi" w:hAnsiTheme="minorHAnsi"/>
          <w:noProof/>
          <w:sz w:val="22"/>
          <w:szCs w:val="22"/>
          <w:lang w:val="sr-Latn-CS"/>
        </w:rPr>
      </w:pPr>
      <w:r w:rsidRPr="00493B8C">
        <w:rPr>
          <w:rFonts w:asciiTheme="minorHAnsi" w:hAnsiTheme="minorHAnsi"/>
          <w:sz w:val="22"/>
          <w:szCs w:val="22"/>
          <w:lang w:val="sr-Latn-CS"/>
        </w:rPr>
        <w:t xml:space="preserve">Kreditni rizik je rizik nastanka finansijskih gubitaka Društva kao rezultat kašnjenja klijenata ili druge ugovorne strane u izmirivanju ugovornih obaveza. Kreditni rizik se prvenstveno vezuje za izloženost Društva po osnovu </w:t>
      </w:r>
      <w:r w:rsidRPr="00493B8C">
        <w:rPr>
          <w:rFonts w:asciiTheme="minorHAnsi" w:hAnsiTheme="minorHAnsi"/>
          <w:noProof/>
          <w:sz w:val="22"/>
          <w:szCs w:val="22"/>
          <w:lang w:val="sr-Latn-CS"/>
        </w:rPr>
        <w:t>gotovine i gotovinskih ekvivalenata, depozita u bankama i finansijskim institucijama, investiranja u hartije od vrijednosti, potraživanja od pravnih i fizičkih lica i preuzetih obaveza.</w:t>
      </w:r>
    </w:p>
    <w:p w:rsidR="001065DF" w:rsidRDefault="001065DF" w:rsidP="001065DF">
      <w:pPr>
        <w:spacing w:after="120"/>
        <w:jc w:val="both"/>
        <w:rPr>
          <w:rFonts w:asciiTheme="minorHAnsi" w:hAnsiTheme="minorHAnsi"/>
          <w:noProof/>
          <w:sz w:val="22"/>
          <w:szCs w:val="22"/>
          <w:lang w:val="sr-Latn-CS"/>
        </w:rPr>
      </w:pPr>
      <w:r w:rsidRPr="00493B8C">
        <w:rPr>
          <w:rFonts w:asciiTheme="minorHAnsi" w:hAnsiTheme="minorHAnsi"/>
          <w:noProof/>
          <w:sz w:val="22"/>
          <w:szCs w:val="22"/>
          <w:lang w:val="sr-Latn-CS"/>
        </w:rPr>
        <w:t>Društvo je izloženo kreditnom riziku</w:t>
      </w:r>
      <w:r>
        <w:rPr>
          <w:rFonts w:asciiTheme="minorHAnsi" w:hAnsiTheme="minorHAnsi"/>
          <w:noProof/>
          <w:sz w:val="22"/>
          <w:szCs w:val="22"/>
          <w:lang w:val="sr-Latn-CS"/>
        </w:rPr>
        <w:t>,</w:t>
      </w:r>
      <w:r w:rsidRPr="00493B8C">
        <w:rPr>
          <w:rFonts w:asciiTheme="minorHAnsi" w:hAnsiTheme="minorHAnsi"/>
          <w:noProof/>
          <w:sz w:val="22"/>
          <w:szCs w:val="22"/>
          <w:lang w:val="sr-Latn-CS"/>
        </w:rPr>
        <w:t xml:space="preserve"> a obezbjeđenje od kreditnog rizika uspostavljeno je preduzimanjem određenih mjera i aktivnosti na nivou Društva. </w:t>
      </w:r>
    </w:p>
    <w:p w:rsidR="00D25BF9" w:rsidRDefault="00D25BF9" w:rsidP="001065DF">
      <w:pPr>
        <w:spacing w:after="120"/>
        <w:ind w:left="426"/>
        <w:jc w:val="both"/>
        <w:rPr>
          <w:rFonts w:asciiTheme="minorHAnsi" w:hAnsiTheme="minorHAnsi"/>
          <w:b/>
          <w:i/>
          <w:noProof/>
          <w:sz w:val="24"/>
          <w:szCs w:val="22"/>
          <w:lang w:val="sr-Latn-CS"/>
        </w:rPr>
      </w:pPr>
    </w:p>
    <w:p w:rsidR="00455932" w:rsidRDefault="00455932" w:rsidP="005711FE">
      <w:pPr>
        <w:spacing w:after="120"/>
        <w:jc w:val="both"/>
        <w:rPr>
          <w:rFonts w:asciiTheme="minorHAnsi" w:hAnsiTheme="minorHAnsi"/>
          <w:b/>
          <w:i/>
          <w:noProof/>
          <w:sz w:val="24"/>
          <w:szCs w:val="22"/>
          <w:lang w:val="sr-Latn-CS"/>
        </w:rPr>
      </w:pPr>
    </w:p>
    <w:p w:rsidR="00455932" w:rsidRDefault="00455932" w:rsidP="005711FE">
      <w:pPr>
        <w:spacing w:after="120"/>
        <w:jc w:val="both"/>
        <w:rPr>
          <w:rFonts w:asciiTheme="minorHAnsi" w:hAnsiTheme="minorHAnsi"/>
          <w:b/>
          <w:i/>
          <w:noProof/>
          <w:sz w:val="24"/>
          <w:szCs w:val="22"/>
          <w:lang w:val="sr-Latn-CS"/>
        </w:rPr>
      </w:pPr>
    </w:p>
    <w:p w:rsidR="001065DF" w:rsidRDefault="001065DF" w:rsidP="005711FE">
      <w:pPr>
        <w:spacing w:after="120"/>
        <w:jc w:val="both"/>
        <w:rPr>
          <w:rFonts w:asciiTheme="minorHAnsi" w:hAnsiTheme="minorHAnsi"/>
          <w:b/>
          <w:i/>
          <w:noProof/>
          <w:sz w:val="24"/>
          <w:szCs w:val="22"/>
          <w:lang w:val="sr-Latn-CS"/>
        </w:rPr>
      </w:pPr>
      <w:r>
        <w:rPr>
          <w:rFonts w:asciiTheme="minorHAnsi" w:hAnsiTheme="minorHAnsi"/>
          <w:b/>
          <w:i/>
          <w:noProof/>
          <w:sz w:val="24"/>
          <w:szCs w:val="22"/>
          <w:lang w:val="sr-Latn-CS"/>
        </w:rPr>
        <w:lastRenderedPageBreak/>
        <w:t>4</w:t>
      </w:r>
      <w:r w:rsidRPr="002A7509">
        <w:rPr>
          <w:rFonts w:asciiTheme="minorHAnsi" w:hAnsiTheme="minorHAnsi"/>
          <w:b/>
          <w:i/>
          <w:noProof/>
          <w:sz w:val="24"/>
          <w:szCs w:val="22"/>
          <w:lang w:val="sr-Latn-CS"/>
        </w:rPr>
        <w:t>.</w:t>
      </w:r>
      <w:r>
        <w:rPr>
          <w:rFonts w:asciiTheme="minorHAnsi" w:hAnsiTheme="minorHAnsi"/>
          <w:b/>
          <w:i/>
          <w:noProof/>
          <w:sz w:val="24"/>
          <w:szCs w:val="22"/>
          <w:lang w:val="sr-Latn-CS"/>
        </w:rPr>
        <w:t>4</w:t>
      </w:r>
      <w:r w:rsidRPr="002A7509">
        <w:rPr>
          <w:rFonts w:asciiTheme="minorHAnsi" w:hAnsiTheme="minorHAnsi"/>
          <w:b/>
          <w:i/>
          <w:noProof/>
          <w:sz w:val="24"/>
          <w:szCs w:val="22"/>
          <w:lang w:val="sr-Latn-CS"/>
        </w:rPr>
        <w:t>. Poreski rizik</w:t>
      </w:r>
    </w:p>
    <w:p w:rsidR="000B2AEB" w:rsidRDefault="001065DF" w:rsidP="001065DF">
      <w:pPr>
        <w:spacing w:after="120"/>
        <w:jc w:val="both"/>
        <w:rPr>
          <w:rFonts w:asciiTheme="minorHAnsi" w:hAnsiTheme="minorHAnsi"/>
          <w:noProof/>
          <w:sz w:val="22"/>
          <w:szCs w:val="22"/>
          <w:lang w:val="sr-Latn-CS"/>
        </w:rPr>
      </w:pPr>
      <w:r>
        <w:rPr>
          <w:rFonts w:asciiTheme="minorHAnsi" w:hAnsiTheme="minorHAnsi"/>
          <w:noProof/>
          <w:sz w:val="22"/>
          <w:szCs w:val="22"/>
          <w:lang w:val="sr-Latn-CS"/>
        </w:rPr>
        <w:t xml:space="preserve">Pored navedenog, Društvo je izloženo i značajnom poreskom riziku. </w:t>
      </w:r>
      <w:r w:rsidRPr="002259A6">
        <w:rPr>
          <w:rFonts w:asciiTheme="minorHAnsi" w:hAnsiTheme="minorHAnsi"/>
          <w:noProof/>
          <w:sz w:val="22"/>
          <w:szCs w:val="22"/>
          <w:lang w:val="sr-Latn-CS"/>
        </w:rPr>
        <w:t xml:space="preserve">Trenutno u </w:t>
      </w:r>
      <w:r>
        <w:rPr>
          <w:rFonts w:asciiTheme="minorHAnsi" w:hAnsiTheme="minorHAnsi"/>
          <w:noProof/>
          <w:sz w:val="22"/>
          <w:szCs w:val="22"/>
          <w:lang w:val="sr-Latn-CS"/>
        </w:rPr>
        <w:t>Republici</w:t>
      </w:r>
      <w:r w:rsidRPr="002259A6">
        <w:rPr>
          <w:rFonts w:asciiTheme="minorHAnsi" w:hAnsiTheme="minorHAnsi"/>
          <w:noProof/>
          <w:sz w:val="22"/>
          <w:szCs w:val="22"/>
          <w:lang w:val="sr-Latn-CS"/>
        </w:rPr>
        <w:t xml:space="preserve"> Srpsk</w:t>
      </w:r>
      <w:r>
        <w:rPr>
          <w:rFonts w:asciiTheme="minorHAnsi" w:hAnsiTheme="minorHAnsi"/>
          <w:noProof/>
          <w:sz w:val="22"/>
          <w:szCs w:val="22"/>
          <w:lang w:val="sr-Latn-CS"/>
        </w:rPr>
        <w:t>oj i B</w:t>
      </w:r>
      <w:r w:rsidRPr="002259A6">
        <w:rPr>
          <w:rFonts w:asciiTheme="minorHAnsi" w:hAnsiTheme="minorHAnsi"/>
          <w:noProof/>
          <w:sz w:val="22"/>
          <w:szCs w:val="22"/>
          <w:lang w:val="sr-Latn-CS"/>
        </w:rPr>
        <w:t xml:space="preserve">iH </w:t>
      </w:r>
      <w:r>
        <w:rPr>
          <w:rFonts w:asciiTheme="minorHAnsi" w:hAnsiTheme="minorHAnsi"/>
          <w:noProof/>
          <w:sz w:val="22"/>
          <w:szCs w:val="22"/>
          <w:lang w:val="sr-Latn-CS"/>
        </w:rPr>
        <w:t>postoji</w:t>
      </w:r>
      <w:r w:rsidRPr="002259A6">
        <w:rPr>
          <w:rFonts w:asciiTheme="minorHAnsi" w:hAnsiTheme="minorHAnsi"/>
          <w:noProof/>
          <w:sz w:val="22"/>
          <w:szCs w:val="22"/>
          <w:lang w:val="sr-Latn-CS"/>
        </w:rPr>
        <w:t xml:space="preserve"> više zakona koji regulišu razne poreze uvedene od strane nadležnih organa</w:t>
      </w:r>
      <w:r>
        <w:rPr>
          <w:rFonts w:asciiTheme="minorHAnsi" w:hAnsiTheme="minorHAnsi"/>
          <w:noProof/>
          <w:sz w:val="22"/>
          <w:szCs w:val="22"/>
          <w:lang w:val="sr-Latn-CS"/>
        </w:rPr>
        <w:t xml:space="preserve">, kao što su </w:t>
      </w:r>
      <w:r w:rsidRPr="002259A6">
        <w:rPr>
          <w:rFonts w:asciiTheme="minorHAnsi" w:hAnsiTheme="minorHAnsi"/>
          <w:noProof/>
          <w:sz w:val="22"/>
          <w:szCs w:val="22"/>
          <w:lang w:val="sr-Latn-CS"/>
        </w:rPr>
        <w:t>PDV, porez na dobit</w:t>
      </w:r>
      <w:r>
        <w:rPr>
          <w:rFonts w:asciiTheme="minorHAnsi" w:hAnsiTheme="minorHAnsi"/>
          <w:noProof/>
          <w:sz w:val="22"/>
          <w:szCs w:val="22"/>
          <w:lang w:val="sr-Latn-CS"/>
        </w:rPr>
        <w:t>,</w:t>
      </w:r>
      <w:r w:rsidR="007D6872">
        <w:rPr>
          <w:rFonts w:asciiTheme="minorHAnsi" w:hAnsiTheme="minorHAnsi"/>
          <w:noProof/>
          <w:sz w:val="22"/>
          <w:szCs w:val="22"/>
          <w:lang w:val="sr-Latn-CS"/>
        </w:rPr>
        <w:t xml:space="preserve"> </w:t>
      </w:r>
      <w:r>
        <w:rPr>
          <w:rFonts w:asciiTheme="minorHAnsi" w:hAnsiTheme="minorHAnsi"/>
          <w:noProof/>
          <w:sz w:val="22"/>
          <w:szCs w:val="22"/>
          <w:lang w:val="sr-Latn-CS"/>
        </w:rPr>
        <w:t xml:space="preserve">porez na nepokretnost, </w:t>
      </w:r>
      <w:r w:rsidRPr="002259A6">
        <w:rPr>
          <w:rFonts w:asciiTheme="minorHAnsi" w:hAnsiTheme="minorHAnsi"/>
          <w:noProof/>
          <w:sz w:val="22"/>
          <w:szCs w:val="22"/>
          <w:lang w:val="sr-Latn-CS"/>
        </w:rPr>
        <w:t>porez</w:t>
      </w:r>
      <w:r>
        <w:rPr>
          <w:rFonts w:asciiTheme="minorHAnsi" w:hAnsiTheme="minorHAnsi"/>
          <w:noProof/>
          <w:sz w:val="22"/>
          <w:szCs w:val="22"/>
          <w:lang w:val="sr-Latn-CS"/>
        </w:rPr>
        <w:t xml:space="preserve"> na lična primanja i </w:t>
      </w:r>
      <w:r w:rsidRPr="002259A6">
        <w:rPr>
          <w:rFonts w:asciiTheme="minorHAnsi" w:hAnsiTheme="minorHAnsi"/>
          <w:noProof/>
          <w:sz w:val="22"/>
          <w:szCs w:val="22"/>
          <w:lang w:val="sr-Latn-CS"/>
        </w:rPr>
        <w:t>drugi porezi</w:t>
      </w:r>
      <w:r w:rsidRPr="00B61692">
        <w:rPr>
          <w:rFonts w:asciiTheme="minorHAnsi" w:hAnsiTheme="minorHAnsi"/>
          <w:noProof/>
          <w:sz w:val="22"/>
          <w:szCs w:val="22"/>
          <w:lang w:val="sr-Latn-CS"/>
        </w:rPr>
        <w:t>.</w:t>
      </w:r>
    </w:p>
    <w:p w:rsidR="000B2AEB" w:rsidRDefault="000B2AEB" w:rsidP="001065DF">
      <w:pPr>
        <w:spacing w:after="120"/>
        <w:jc w:val="both"/>
        <w:rPr>
          <w:rFonts w:asciiTheme="minorHAnsi" w:hAnsiTheme="minorHAnsi"/>
          <w:noProof/>
          <w:sz w:val="22"/>
          <w:szCs w:val="22"/>
          <w:lang w:val="sr-Latn-CS"/>
        </w:rPr>
      </w:pPr>
      <w:r>
        <w:rPr>
          <w:rFonts w:asciiTheme="minorHAnsi" w:hAnsiTheme="minorHAnsi"/>
          <w:noProof/>
          <w:sz w:val="22"/>
          <w:szCs w:val="22"/>
          <w:lang w:val="sr-Latn-CS"/>
        </w:rPr>
        <w:t>Društvo je vrlo ranl</w:t>
      </w:r>
      <w:r w:rsidR="007D6872">
        <w:rPr>
          <w:rFonts w:asciiTheme="minorHAnsi" w:hAnsiTheme="minorHAnsi"/>
          <w:noProof/>
          <w:sz w:val="22"/>
          <w:szCs w:val="22"/>
          <w:lang w:val="sr-Latn-CS"/>
        </w:rPr>
        <w:t>jivo po pitanju poreskih optereć</w:t>
      </w:r>
      <w:r>
        <w:rPr>
          <w:rFonts w:asciiTheme="minorHAnsi" w:hAnsiTheme="minorHAnsi"/>
          <w:noProof/>
          <w:sz w:val="22"/>
          <w:szCs w:val="22"/>
          <w:lang w:val="sr-Latn-CS"/>
        </w:rPr>
        <w:t>enja. Relativn</w:t>
      </w:r>
      <w:r w:rsidR="007D6872">
        <w:rPr>
          <w:rFonts w:asciiTheme="minorHAnsi" w:hAnsiTheme="minorHAnsi"/>
          <w:noProof/>
          <w:sz w:val="22"/>
          <w:szCs w:val="22"/>
          <w:lang w:val="sr-Latn-CS"/>
        </w:rPr>
        <w:t>o vis</w:t>
      </w:r>
      <w:r w:rsidR="00E95066">
        <w:rPr>
          <w:rFonts w:asciiTheme="minorHAnsi" w:hAnsiTheme="minorHAnsi"/>
          <w:noProof/>
          <w:sz w:val="22"/>
          <w:szCs w:val="22"/>
          <w:lang w:val="sr-Latn-CS"/>
        </w:rPr>
        <w:t>o</w:t>
      </w:r>
      <w:r w:rsidR="007D6872">
        <w:rPr>
          <w:rFonts w:asciiTheme="minorHAnsi" w:hAnsiTheme="minorHAnsi"/>
          <w:noProof/>
          <w:sz w:val="22"/>
          <w:szCs w:val="22"/>
          <w:lang w:val="sr-Latn-CS"/>
        </w:rPr>
        <w:t>ka vrijednost imovine name</w:t>
      </w:r>
      <w:r w:rsidR="00E95066">
        <w:rPr>
          <w:rFonts w:asciiTheme="minorHAnsi" w:hAnsiTheme="minorHAnsi"/>
          <w:noProof/>
          <w:sz w:val="22"/>
          <w:szCs w:val="22"/>
          <w:lang w:val="sr-Latn-CS"/>
        </w:rPr>
        <w:t>tnula je</w:t>
      </w:r>
      <w:r>
        <w:rPr>
          <w:rFonts w:asciiTheme="minorHAnsi" w:hAnsiTheme="minorHAnsi"/>
          <w:noProof/>
          <w:sz w:val="22"/>
          <w:szCs w:val="22"/>
          <w:lang w:val="sr-Latn-CS"/>
        </w:rPr>
        <w:t xml:space="preserve"> visoke poreske namete</w:t>
      </w:r>
      <w:r w:rsidR="007D6872">
        <w:rPr>
          <w:rFonts w:asciiTheme="minorHAnsi" w:hAnsiTheme="minorHAnsi"/>
          <w:noProof/>
          <w:sz w:val="22"/>
          <w:szCs w:val="22"/>
          <w:lang w:val="sr-Latn-CS"/>
        </w:rPr>
        <w:t>,</w:t>
      </w:r>
      <w:r>
        <w:rPr>
          <w:rFonts w:asciiTheme="minorHAnsi" w:hAnsiTheme="minorHAnsi"/>
          <w:noProof/>
          <w:sz w:val="22"/>
          <w:szCs w:val="22"/>
          <w:lang w:val="sr-Latn-CS"/>
        </w:rPr>
        <w:t xml:space="preserve"> a adekvatne prihode od im</w:t>
      </w:r>
      <w:r w:rsidR="00E95066">
        <w:rPr>
          <w:rFonts w:asciiTheme="minorHAnsi" w:hAnsiTheme="minorHAnsi"/>
          <w:noProof/>
          <w:sz w:val="22"/>
          <w:szCs w:val="22"/>
          <w:lang w:val="sr-Latn-CS"/>
        </w:rPr>
        <w:t>o</w:t>
      </w:r>
      <w:r>
        <w:rPr>
          <w:rFonts w:asciiTheme="minorHAnsi" w:hAnsiTheme="minorHAnsi"/>
          <w:noProof/>
          <w:sz w:val="22"/>
          <w:szCs w:val="22"/>
          <w:lang w:val="sr-Latn-CS"/>
        </w:rPr>
        <w:t xml:space="preserve">vine nije </w:t>
      </w:r>
      <w:r w:rsidR="00E95066">
        <w:rPr>
          <w:rFonts w:asciiTheme="minorHAnsi" w:hAnsiTheme="minorHAnsi"/>
          <w:noProof/>
          <w:sz w:val="22"/>
          <w:szCs w:val="22"/>
          <w:lang w:val="sr-Latn-CS"/>
        </w:rPr>
        <w:t xml:space="preserve">bilo </w:t>
      </w:r>
      <w:r>
        <w:rPr>
          <w:rFonts w:asciiTheme="minorHAnsi" w:hAnsiTheme="minorHAnsi"/>
          <w:noProof/>
          <w:sz w:val="22"/>
          <w:szCs w:val="22"/>
          <w:lang w:val="sr-Latn-CS"/>
        </w:rPr>
        <w:t>mog</w:t>
      </w:r>
      <w:r w:rsidR="007D6872">
        <w:rPr>
          <w:rFonts w:asciiTheme="minorHAnsi" w:hAnsiTheme="minorHAnsi"/>
          <w:noProof/>
          <w:sz w:val="22"/>
          <w:szCs w:val="22"/>
          <w:lang w:val="sr-Latn-CS"/>
        </w:rPr>
        <w:t xml:space="preserve">uće ostvariti. </w:t>
      </w:r>
      <w:r w:rsidR="00E95066">
        <w:rPr>
          <w:rFonts w:asciiTheme="minorHAnsi" w:hAnsiTheme="minorHAnsi"/>
          <w:noProof/>
          <w:sz w:val="22"/>
          <w:szCs w:val="22"/>
          <w:lang w:val="sr-Latn-CS"/>
        </w:rPr>
        <w:t>Zbog toga se uprava Društva odlučila na prodaju svih nekretnina.</w:t>
      </w:r>
    </w:p>
    <w:p w:rsidR="008B2C79" w:rsidRDefault="008B2C79" w:rsidP="001065DF">
      <w:pPr>
        <w:spacing w:after="120"/>
        <w:jc w:val="both"/>
        <w:rPr>
          <w:rFonts w:asciiTheme="minorHAnsi" w:hAnsiTheme="minorHAnsi"/>
          <w:noProof/>
          <w:sz w:val="22"/>
          <w:szCs w:val="22"/>
          <w:lang w:val="sr-Latn-CS"/>
        </w:rPr>
      </w:pPr>
    </w:p>
    <w:p w:rsidR="001065DF" w:rsidRPr="00455932" w:rsidRDefault="001065DF" w:rsidP="001065DF">
      <w:pPr>
        <w:pStyle w:val="Heading1"/>
        <w:numPr>
          <w:ilvl w:val="0"/>
          <w:numId w:val="5"/>
        </w:numPr>
        <w:tabs>
          <w:tab w:val="left" w:pos="426"/>
        </w:tabs>
        <w:spacing w:after="120"/>
        <w:ind w:left="357" w:hanging="357"/>
        <w:rPr>
          <w:rFonts w:ascii="Calibri" w:hAnsi="Calibri"/>
          <w:i/>
          <w:sz w:val="24"/>
          <w:szCs w:val="22"/>
        </w:rPr>
      </w:pPr>
      <w:r w:rsidRPr="00455932">
        <w:rPr>
          <w:rFonts w:ascii="Calibri" w:hAnsi="Calibri"/>
          <w:i/>
          <w:sz w:val="24"/>
          <w:szCs w:val="22"/>
        </w:rPr>
        <w:t>Važniji poslovni događaji nakon isteka 20</w:t>
      </w:r>
      <w:r w:rsidR="001431A4" w:rsidRPr="00455932">
        <w:rPr>
          <w:rFonts w:ascii="Calibri" w:hAnsi="Calibri"/>
          <w:i/>
          <w:sz w:val="24"/>
          <w:szCs w:val="22"/>
        </w:rPr>
        <w:t>2</w:t>
      </w:r>
      <w:r w:rsidR="007F5832" w:rsidRPr="00455932">
        <w:rPr>
          <w:rFonts w:ascii="Calibri" w:hAnsi="Calibri"/>
          <w:i/>
          <w:sz w:val="24"/>
          <w:szCs w:val="22"/>
        </w:rPr>
        <w:t>3</w:t>
      </w:r>
      <w:r w:rsidRPr="00455932">
        <w:rPr>
          <w:rFonts w:ascii="Calibri" w:hAnsi="Calibri"/>
          <w:i/>
          <w:sz w:val="24"/>
          <w:szCs w:val="22"/>
        </w:rPr>
        <w:t>. godine</w:t>
      </w:r>
    </w:p>
    <w:p w:rsidR="00D7275C" w:rsidRDefault="00675377" w:rsidP="005711FE">
      <w:pPr>
        <w:pStyle w:val="Heading1"/>
        <w:tabs>
          <w:tab w:val="left" w:pos="426"/>
        </w:tabs>
        <w:spacing w:after="120"/>
        <w:ind w:left="357"/>
        <w:rPr>
          <w:rFonts w:asciiTheme="minorHAnsi" w:hAnsiTheme="minorHAnsi"/>
          <w:b w:val="0"/>
          <w:sz w:val="22"/>
          <w:szCs w:val="22"/>
          <w:u w:val="none"/>
        </w:rPr>
      </w:pPr>
      <w:r w:rsidRPr="00455932">
        <w:rPr>
          <w:rFonts w:asciiTheme="minorHAnsi" w:hAnsiTheme="minorHAnsi"/>
          <w:b w:val="0"/>
          <w:sz w:val="22"/>
          <w:szCs w:val="22"/>
          <w:u w:val="none"/>
        </w:rPr>
        <w:t xml:space="preserve">Još u aprilu </w:t>
      </w:r>
      <w:r w:rsidR="003F5441" w:rsidRPr="00455932">
        <w:rPr>
          <w:rFonts w:asciiTheme="minorHAnsi" w:hAnsiTheme="minorHAnsi"/>
          <w:b w:val="0"/>
          <w:sz w:val="22"/>
          <w:szCs w:val="22"/>
          <w:u w:val="none"/>
        </w:rPr>
        <w:t>2019.godine Društvo je obavješteno da je Vrhovni sud Republike Srpske u pravnoj stvari tužiteljice Nele Kuprešak Tadić vl.str.Nela protiv tuženog Čajavec Mega donio presudu kojom se naša revizija usvaja tako da se obje nižestepene presude preinačavaju tako što se odbija u cjelosti tužbeni zahtjev tužiteljice.</w:t>
      </w:r>
    </w:p>
    <w:p w:rsidR="00481756" w:rsidRDefault="003F5441" w:rsidP="00481756">
      <w:pPr>
        <w:pStyle w:val="Heading1"/>
        <w:tabs>
          <w:tab w:val="left" w:pos="426"/>
        </w:tabs>
        <w:spacing w:after="120"/>
        <w:ind w:left="357"/>
        <w:rPr>
          <w:rFonts w:asciiTheme="minorHAnsi" w:hAnsiTheme="minorHAnsi"/>
          <w:b w:val="0"/>
          <w:sz w:val="22"/>
          <w:szCs w:val="22"/>
          <w:u w:val="none"/>
        </w:rPr>
      </w:pPr>
      <w:r w:rsidRPr="00455932">
        <w:rPr>
          <w:rFonts w:asciiTheme="minorHAnsi" w:hAnsiTheme="minorHAnsi"/>
          <w:b w:val="0"/>
          <w:sz w:val="22"/>
          <w:szCs w:val="22"/>
          <w:u w:val="none"/>
        </w:rPr>
        <w:t>Vrhovni sud ukazuje da odluke nižestepenih sudova nisu pravilne, odnosno nižestepeni sudovi su izveli pogrešan zaključak o postojanju i visini štete.</w:t>
      </w:r>
    </w:p>
    <w:p w:rsidR="0078515C" w:rsidRPr="00481756" w:rsidRDefault="0078515C" w:rsidP="00481756">
      <w:pPr>
        <w:pStyle w:val="Heading1"/>
        <w:tabs>
          <w:tab w:val="left" w:pos="426"/>
        </w:tabs>
        <w:spacing w:after="120"/>
        <w:ind w:left="357"/>
        <w:rPr>
          <w:rFonts w:asciiTheme="minorHAnsi" w:hAnsiTheme="minorHAnsi"/>
          <w:b w:val="0"/>
          <w:sz w:val="22"/>
          <w:szCs w:val="22"/>
          <w:u w:val="none"/>
        </w:rPr>
      </w:pPr>
      <w:r w:rsidRPr="00481756">
        <w:rPr>
          <w:rFonts w:asciiTheme="minorHAnsi" w:hAnsiTheme="minorHAnsi"/>
          <w:b w:val="0"/>
          <w:sz w:val="22"/>
          <w:szCs w:val="22"/>
          <w:u w:val="none"/>
        </w:rPr>
        <w:t xml:space="preserve">Društvo je uputilo na sud prijedlog za protivizvršenje </w:t>
      </w:r>
      <w:r w:rsidR="00675377" w:rsidRPr="00481756">
        <w:rPr>
          <w:rFonts w:asciiTheme="minorHAnsi" w:hAnsiTheme="minorHAnsi"/>
          <w:b w:val="0"/>
          <w:sz w:val="22"/>
          <w:szCs w:val="22"/>
          <w:u w:val="none"/>
        </w:rPr>
        <w:t xml:space="preserve">radi povrata novčanog </w:t>
      </w:r>
      <w:r w:rsidRPr="00481756">
        <w:rPr>
          <w:rFonts w:asciiTheme="minorHAnsi" w:hAnsiTheme="minorHAnsi"/>
          <w:b w:val="0"/>
          <w:sz w:val="22"/>
          <w:szCs w:val="22"/>
          <w:u w:val="none"/>
        </w:rPr>
        <w:t>iznosa koji je ostvaren izvršenjem.</w:t>
      </w:r>
    </w:p>
    <w:p w:rsidR="00675377" w:rsidRPr="00455932" w:rsidRDefault="00675377" w:rsidP="005711FE">
      <w:pPr>
        <w:jc w:val="both"/>
        <w:rPr>
          <w:rFonts w:asciiTheme="minorHAnsi" w:hAnsiTheme="minorHAnsi"/>
          <w:sz w:val="22"/>
          <w:szCs w:val="22"/>
        </w:rPr>
      </w:pPr>
      <w:r w:rsidRPr="00455932">
        <w:rPr>
          <w:rFonts w:asciiTheme="minorHAnsi" w:hAnsiTheme="minorHAnsi"/>
          <w:sz w:val="22"/>
          <w:szCs w:val="22"/>
        </w:rPr>
        <w:t xml:space="preserve">       Okružni privredni sud je svojim rješenjem </w:t>
      </w:r>
      <w:r w:rsidR="00933E3B" w:rsidRPr="00455932">
        <w:rPr>
          <w:rFonts w:asciiTheme="minorHAnsi" w:hAnsiTheme="minorHAnsi"/>
          <w:sz w:val="22"/>
          <w:szCs w:val="22"/>
        </w:rPr>
        <w:t>prihvatio naš prijedlog i naložio SZTR Nela da izvrši povrat novčanih sredstava društvu u iznosu od 211.232,84KM sa zakonskom zateznom kamatom.</w:t>
      </w:r>
    </w:p>
    <w:p w:rsidR="00933E3B" w:rsidRDefault="00933E3B" w:rsidP="005711FE">
      <w:pPr>
        <w:jc w:val="both"/>
        <w:rPr>
          <w:rFonts w:asciiTheme="minorHAnsi" w:hAnsiTheme="minorHAnsi"/>
          <w:sz w:val="22"/>
          <w:szCs w:val="22"/>
        </w:rPr>
      </w:pPr>
      <w:r w:rsidRPr="00455932">
        <w:rPr>
          <w:rFonts w:asciiTheme="minorHAnsi" w:hAnsiTheme="minorHAnsi"/>
          <w:sz w:val="22"/>
          <w:szCs w:val="22"/>
        </w:rPr>
        <w:t xml:space="preserve">S obzirom da novčana sredstva još uvijek nisu vraćena društvu, i s obzirom da je Nela Kuprešak Medić Tadić prometovala svoj vlasnički dio nepokretnosti, stan, Uprava društva je podnijela tužbu </w:t>
      </w:r>
      <w:r w:rsidR="00557212" w:rsidRPr="00455932">
        <w:rPr>
          <w:rFonts w:asciiTheme="minorHAnsi" w:hAnsiTheme="minorHAnsi"/>
          <w:sz w:val="22"/>
          <w:szCs w:val="22"/>
        </w:rPr>
        <w:t>kojom se traži da se</w:t>
      </w:r>
      <w:r w:rsidR="00557212" w:rsidRPr="009B6515">
        <w:rPr>
          <w:rFonts w:asciiTheme="minorHAnsi" w:hAnsiTheme="minorHAnsi"/>
          <w:sz w:val="22"/>
          <w:szCs w:val="22"/>
        </w:rPr>
        <w:t xml:space="preserve"> poništi ugovor o prodaji nekretnina radi namirenja potraživanja društva.</w:t>
      </w:r>
      <w:r w:rsidRPr="009B6515">
        <w:rPr>
          <w:rFonts w:asciiTheme="minorHAnsi" w:hAnsiTheme="minorHAnsi"/>
          <w:sz w:val="22"/>
          <w:szCs w:val="22"/>
        </w:rPr>
        <w:t xml:space="preserve"> </w:t>
      </w:r>
      <w:r w:rsidR="00B602B0" w:rsidRPr="009B6515">
        <w:rPr>
          <w:rFonts w:asciiTheme="minorHAnsi" w:hAnsiTheme="minorHAnsi"/>
          <w:sz w:val="22"/>
          <w:szCs w:val="22"/>
        </w:rPr>
        <w:t>Glavno ročište po ovom sporu je zakazano za 10.05.2021.godine.</w:t>
      </w:r>
      <w:r w:rsidR="009B6515">
        <w:rPr>
          <w:rFonts w:asciiTheme="minorHAnsi" w:hAnsiTheme="minorHAnsi"/>
          <w:sz w:val="22"/>
          <w:szCs w:val="22"/>
        </w:rPr>
        <w:t xml:space="preserve"> Društvo je dobilo odgovor da je tužba neosnovana, pa smo </w:t>
      </w:r>
      <w:r w:rsidR="00F724C2">
        <w:rPr>
          <w:rFonts w:asciiTheme="minorHAnsi" w:hAnsiTheme="minorHAnsi"/>
          <w:sz w:val="22"/>
          <w:szCs w:val="22"/>
        </w:rPr>
        <w:t xml:space="preserve">početkom 2022.godine </w:t>
      </w:r>
      <w:r w:rsidR="009B6515">
        <w:rPr>
          <w:rFonts w:asciiTheme="minorHAnsi" w:hAnsiTheme="minorHAnsi"/>
          <w:sz w:val="22"/>
          <w:szCs w:val="22"/>
        </w:rPr>
        <w:t>uložili reviziju Vrhovnom sudu</w:t>
      </w:r>
      <w:r w:rsidR="00BF7690">
        <w:rPr>
          <w:rFonts w:asciiTheme="minorHAnsi" w:hAnsiTheme="minorHAnsi"/>
          <w:sz w:val="22"/>
          <w:szCs w:val="22"/>
        </w:rPr>
        <w:t xml:space="preserve"> i zahtjev RUGIP</w:t>
      </w:r>
      <w:r w:rsidR="00B8638A">
        <w:rPr>
          <w:rFonts w:asciiTheme="minorHAnsi" w:hAnsiTheme="minorHAnsi"/>
          <w:sz w:val="22"/>
          <w:szCs w:val="22"/>
        </w:rPr>
        <w:t>P</w:t>
      </w:r>
      <w:r w:rsidR="00BF7690">
        <w:rPr>
          <w:rFonts w:asciiTheme="minorHAnsi" w:hAnsiTheme="minorHAnsi"/>
          <w:sz w:val="22"/>
          <w:szCs w:val="22"/>
        </w:rPr>
        <w:t>-u za zabilježbu vođenja spora</w:t>
      </w:r>
      <w:r w:rsidR="009B6515">
        <w:rPr>
          <w:rFonts w:asciiTheme="minorHAnsi" w:hAnsiTheme="minorHAnsi"/>
          <w:sz w:val="22"/>
          <w:szCs w:val="22"/>
        </w:rPr>
        <w:t>.</w:t>
      </w:r>
    </w:p>
    <w:p w:rsidR="00B8638A" w:rsidRDefault="00B8638A" w:rsidP="008A0373">
      <w:pPr>
        <w:jc w:val="both"/>
        <w:rPr>
          <w:rFonts w:asciiTheme="minorHAnsi" w:hAnsiTheme="minorHAnsi"/>
          <w:sz w:val="22"/>
          <w:szCs w:val="22"/>
        </w:rPr>
      </w:pPr>
    </w:p>
    <w:p w:rsidR="008A0373" w:rsidRPr="00455932" w:rsidRDefault="00481756" w:rsidP="008A0373">
      <w:pPr>
        <w:jc w:val="both"/>
        <w:rPr>
          <w:rFonts w:asciiTheme="minorHAnsi" w:hAnsiTheme="minorHAnsi"/>
          <w:sz w:val="22"/>
          <w:szCs w:val="22"/>
        </w:rPr>
      </w:pPr>
      <w:r>
        <w:rPr>
          <w:rFonts w:asciiTheme="minorHAnsi" w:hAnsiTheme="minorHAnsi"/>
          <w:sz w:val="22"/>
          <w:szCs w:val="22"/>
        </w:rPr>
        <w:t xml:space="preserve">U avgustu </w:t>
      </w:r>
      <w:r w:rsidR="008A0373" w:rsidRPr="00455932">
        <w:rPr>
          <w:rFonts w:asciiTheme="minorHAnsi" w:hAnsiTheme="minorHAnsi"/>
          <w:sz w:val="22"/>
          <w:szCs w:val="22"/>
        </w:rPr>
        <w:t>2022.godine Društvo je dobilo rješenje RUGIPP-a u kome je navedeno da se dozvoljava brisanje zabilježbe spora upisanog na osnovu uvjerenja Osnovnog suda pd brojem: 071-0-SU-I-21-001848 od 26.04.2021. godine na pomenutoj vlasničkoj nepokretnosti, stanu.</w:t>
      </w:r>
    </w:p>
    <w:p w:rsidR="00F516F7" w:rsidRDefault="00F516F7" w:rsidP="008A0373">
      <w:pPr>
        <w:jc w:val="both"/>
        <w:rPr>
          <w:rFonts w:asciiTheme="minorHAnsi" w:hAnsiTheme="minorHAnsi"/>
          <w:sz w:val="22"/>
          <w:szCs w:val="22"/>
        </w:rPr>
      </w:pPr>
    </w:p>
    <w:p w:rsidR="008A0373" w:rsidRDefault="00481756" w:rsidP="008A0373">
      <w:pPr>
        <w:jc w:val="both"/>
        <w:rPr>
          <w:rFonts w:asciiTheme="minorHAnsi" w:hAnsiTheme="minorHAnsi"/>
          <w:sz w:val="22"/>
          <w:szCs w:val="22"/>
        </w:rPr>
      </w:pPr>
      <w:r>
        <w:rPr>
          <w:rFonts w:asciiTheme="minorHAnsi" w:hAnsiTheme="minorHAnsi"/>
          <w:sz w:val="22"/>
          <w:szCs w:val="22"/>
        </w:rPr>
        <w:t>U novembru 2023.</w:t>
      </w:r>
      <w:r w:rsidR="008A0373" w:rsidRPr="00455932">
        <w:rPr>
          <w:rFonts w:asciiTheme="minorHAnsi" w:hAnsiTheme="minorHAnsi"/>
          <w:sz w:val="22"/>
          <w:szCs w:val="22"/>
        </w:rPr>
        <w:t xml:space="preserve"> godine Društvo </w:t>
      </w:r>
      <w:r>
        <w:rPr>
          <w:rFonts w:asciiTheme="minorHAnsi" w:hAnsiTheme="minorHAnsi"/>
          <w:sz w:val="22"/>
          <w:szCs w:val="22"/>
        </w:rPr>
        <w:t xml:space="preserve">je </w:t>
      </w:r>
      <w:r w:rsidR="008A0373" w:rsidRPr="00455932">
        <w:rPr>
          <w:rFonts w:asciiTheme="minorHAnsi" w:hAnsiTheme="minorHAnsi"/>
          <w:sz w:val="22"/>
          <w:szCs w:val="22"/>
        </w:rPr>
        <w:t>dobi</w:t>
      </w:r>
      <w:r>
        <w:rPr>
          <w:rFonts w:asciiTheme="minorHAnsi" w:hAnsiTheme="minorHAnsi"/>
          <w:sz w:val="22"/>
          <w:szCs w:val="22"/>
        </w:rPr>
        <w:t>lo</w:t>
      </w:r>
      <w:r w:rsidR="008A0373" w:rsidRPr="00455932">
        <w:rPr>
          <w:rFonts w:asciiTheme="minorHAnsi" w:hAnsiTheme="minorHAnsi"/>
          <w:sz w:val="22"/>
          <w:szCs w:val="22"/>
        </w:rPr>
        <w:t xml:space="preserve"> rješenje Vrhovnog suda gdje se navodi da se usvaja revizija te se presuda Osnovnog suda  od 13.10.2021. godine ukida i predmet se vraća istom sudu na ponovno suđenje. </w:t>
      </w:r>
      <w:r>
        <w:rPr>
          <w:rFonts w:asciiTheme="minorHAnsi" w:hAnsiTheme="minorHAnsi"/>
          <w:sz w:val="22"/>
          <w:szCs w:val="22"/>
        </w:rPr>
        <w:t>Takođe, naloženo je RUGIPP-u da se evidentira zabilježba vođenja spora na pomenutoj nepokretnosti, stanu.</w:t>
      </w:r>
    </w:p>
    <w:p w:rsidR="00F516F7" w:rsidRDefault="00F516F7" w:rsidP="008A0373">
      <w:pPr>
        <w:jc w:val="both"/>
        <w:rPr>
          <w:rFonts w:asciiTheme="minorHAnsi" w:hAnsiTheme="minorHAnsi"/>
          <w:sz w:val="22"/>
          <w:szCs w:val="22"/>
        </w:rPr>
      </w:pPr>
    </w:p>
    <w:p w:rsidR="008A0373" w:rsidRDefault="00F216D5" w:rsidP="005711FE">
      <w:pPr>
        <w:jc w:val="both"/>
        <w:rPr>
          <w:rFonts w:asciiTheme="minorHAnsi" w:hAnsiTheme="minorHAnsi"/>
          <w:sz w:val="22"/>
          <w:szCs w:val="22"/>
        </w:rPr>
      </w:pPr>
      <w:r>
        <w:rPr>
          <w:rFonts w:asciiTheme="minorHAnsi" w:hAnsiTheme="minorHAnsi"/>
          <w:sz w:val="22"/>
          <w:szCs w:val="22"/>
        </w:rPr>
        <w:t>U januaru 2024.godine Upravni odbor Čajavec mege je donio odluku o statusnoj promjeni -spajanje uz pripajanje kojom se matičnom društvu TC Zenit doo Banjaluka pripaja zavisno društvo Gama holding doo Banjaluka.  Društvu je naloženo da preduzme sve faktičke i pravne radnje u pravcu realizacije ove odluke.</w:t>
      </w:r>
    </w:p>
    <w:p w:rsidR="00B16F8C" w:rsidRDefault="00B16F8C" w:rsidP="005711FE">
      <w:pPr>
        <w:jc w:val="both"/>
        <w:rPr>
          <w:rFonts w:asciiTheme="minorHAnsi" w:hAnsiTheme="minorHAnsi"/>
          <w:sz w:val="22"/>
          <w:szCs w:val="22"/>
        </w:rPr>
      </w:pPr>
    </w:p>
    <w:p w:rsidR="00F04C0B" w:rsidRDefault="00F04C0B" w:rsidP="005711FE">
      <w:pPr>
        <w:jc w:val="both"/>
        <w:rPr>
          <w:rFonts w:asciiTheme="minorHAnsi" w:hAnsiTheme="minorHAnsi"/>
          <w:sz w:val="22"/>
          <w:szCs w:val="22"/>
        </w:rPr>
      </w:pPr>
    </w:p>
    <w:p w:rsidR="005027D1" w:rsidRDefault="005027D1" w:rsidP="005711FE">
      <w:pPr>
        <w:jc w:val="both"/>
        <w:rPr>
          <w:rFonts w:asciiTheme="minorHAnsi" w:hAnsiTheme="minorHAnsi"/>
          <w:sz w:val="22"/>
          <w:szCs w:val="22"/>
        </w:rPr>
      </w:pPr>
    </w:p>
    <w:p w:rsidR="000C023E" w:rsidRDefault="000C023E" w:rsidP="0078515C">
      <w:pPr>
        <w:rPr>
          <w:rFonts w:asciiTheme="minorHAnsi" w:hAnsiTheme="minorHAnsi"/>
          <w:sz w:val="22"/>
          <w:szCs w:val="22"/>
        </w:rPr>
      </w:pPr>
    </w:p>
    <w:p w:rsidR="00F724C2" w:rsidRDefault="00F724C2" w:rsidP="0078515C">
      <w:pPr>
        <w:rPr>
          <w:rFonts w:asciiTheme="minorHAnsi" w:hAnsiTheme="minorHAnsi"/>
          <w:sz w:val="22"/>
          <w:szCs w:val="22"/>
        </w:rPr>
      </w:pPr>
    </w:p>
    <w:p w:rsidR="00F724C2" w:rsidRPr="0078515C" w:rsidRDefault="00F724C2" w:rsidP="0078515C">
      <w:pPr>
        <w:rPr>
          <w:rFonts w:asciiTheme="minorHAnsi" w:hAnsiTheme="minorHAnsi"/>
          <w:sz w:val="22"/>
          <w:szCs w:val="22"/>
        </w:rPr>
      </w:pPr>
    </w:p>
    <w:p w:rsidR="0078515C" w:rsidRPr="0078515C" w:rsidRDefault="0078515C" w:rsidP="0078515C"/>
    <w:p w:rsidR="001065DF" w:rsidRPr="00A33C0E" w:rsidRDefault="001065DF" w:rsidP="00D960F2">
      <w:pPr>
        <w:pStyle w:val="Heading1"/>
        <w:numPr>
          <w:ilvl w:val="0"/>
          <w:numId w:val="5"/>
        </w:numPr>
        <w:tabs>
          <w:tab w:val="left" w:pos="426"/>
        </w:tabs>
        <w:spacing w:after="120"/>
        <w:rPr>
          <w:rFonts w:ascii="Calibri" w:hAnsi="Calibri"/>
          <w:i/>
          <w:sz w:val="24"/>
          <w:szCs w:val="22"/>
        </w:rPr>
      </w:pPr>
      <w:r w:rsidRPr="00A33C0E">
        <w:rPr>
          <w:rFonts w:ascii="Calibri" w:hAnsi="Calibri"/>
          <w:i/>
          <w:sz w:val="24"/>
          <w:szCs w:val="22"/>
        </w:rPr>
        <w:lastRenderedPageBreak/>
        <w:t>Očekivani razvoj Društva</w:t>
      </w:r>
    </w:p>
    <w:p w:rsidR="007F69E9" w:rsidRPr="00A33C0E" w:rsidRDefault="007F69E9" w:rsidP="001065DF">
      <w:pPr>
        <w:spacing w:after="120"/>
        <w:jc w:val="both"/>
        <w:rPr>
          <w:rFonts w:asciiTheme="minorHAnsi" w:hAnsiTheme="minorHAnsi"/>
          <w:sz w:val="22"/>
        </w:rPr>
      </w:pPr>
      <w:r w:rsidRPr="00A33C0E">
        <w:rPr>
          <w:rFonts w:asciiTheme="minorHAnsi" w:hAnsiTheme="minorHAnsi"/>
          <w:sz w:val="22"/>
        </w:rPr>
        <w:t xml:space="preserve"> Društvo </w:t>
      </w:r>
      <w:r w:rsidR="00FE44E3" w:rsidRPr="00A33C0E">
        <w:rPr>
          <w:rFonts w:asciiTheme="minorHAnsi" w:hAnsiTheme="minorHAnsi"/>
          <w:sz w:val="22"/>
        </w:rPr>
        <w:t>je u 20</w:t>
      </w:r>
      <w:r w:rsidR="00A33C0E">
        <w:rPr>
          <w:rFonts w:asciiTheme="minorHAnsi" w:hAnsiTheme="minorHAnsi"/>
          <w:sz w:val="22"/>
        </w:rPr>
        <w:t>20</w:t>
      </w:r>
      <w:r w:rsidR="00FE44E3" w:rsidRPr="00A33C0E">
        <w:rPr>
          <w:rFonts w:asciiTheme="minorHAnsi" w:hAnsiTheme="minorHAnsi"/>
          <w:sz w:val="22"/>
        </w:rPr>
        <w:t>.godini</w:t>
      </w:r>
      <w:r w:rsidRPr="00A33C0E">
        <w:rPr>
          <w:rFonts w:asciiTheme="minorHAnsi" w:hAnsiTheme="minorHAnsi"/>
          <w:sz w:val="22"/>
        </w:rPr>
        <w:t xml:space="preserve"> transformi</w:t>
      </w:r>
      <w:r w:rsidR="00FE44E3" w:rsidRPr="00A33C0E">
        <w:rPr>
          <w:rFonts w:asciiTheme="minorHAnsi" w:hAnsiTheme="minorHAnsi"/>
          <w:sz w:val="22"/>
        </w:rPr>
        <w:t>salo</w:t>
      </w:r>
      <w:r w:rsidRPr="00A33C0E">
        <w:rPr>
          <w:rFonts w:asciiTheme="minorHAnsi" w:hAnsiTheme="minorHAnsi"/>
          <w:sz w:val="22"/>
        </w:rPr>
        <w:t xml:space="preserve"> svoju imovinu  </w:t>
      </w:r>
      <w:r w:rsidR="00545161" w:rsidRPr="00A33C0E">
        <w:rPr>
          <w:rFonts w:asciiTheme="minorHAnsi" w:hAnsiTheme="minorHAnsi"/>
          <w:sz w:val="22"/>
        </w:rPr>
        <w:t xml:space="preserve">prodajom </w:t>
      </w:r>
      <w:r w:rsidR="001718B1" w:rsidRPr="00A33C0E">
        <w:rPr>
          <w:rFonts w:asciiTheme="minorHAnsi" w:hAnsiTheme="minorHAnsi"/>
          <w:sz w:val="22"/>
        </w:rPr>
        <w:t>nekretnina</w:t>
      </w:r>
      <w:r w:rsidR="00545161" w:rsidRPr="00A33C0E">
        <w:rPr>
          <w:rFonts w:asciiTheme="minorHAnsi" w:hAnsiTheme="minorHAnsi"/>
          <w:sz w:val="22"/>
        </w:rPr>
        <w:t xml:space="preserve"> </w:t>
      </w:r>
      <w:r w:rsidR="00FE44E3" w:rsidRPr="00A33C0E">
        <w:rPr>
          <w:rFonts w:asciiTheme="minorHAnsi" w:hAnsiTheme="minorHAnsi"/>
          <w:sz w:val="22"/>
        </w:rPr>
        <w:t>i učestvovaće</w:t>
      </w:r>
      <w:r w:rsidR="00545161" w:rsidRPr="00A33C0E">
        <w:rPr>
          <w:rFonts w:asciiTheme="minorHAnsi" w:hAnsiTheme="minorHAnsi"/>
          <w:sz w:val="22"/>
        </w:rPr>
        <w:t xml:space="preserve"> u</w:t>
      </w:r>
      <w:r w:rsidRPr="00A33C0E">
        <w:rPr>
          <w:rFonts w:asciiTheme="minorHAnsi" w:hAnsiTheme="minorHAnsi"/>
          <w:sz w:val="22"/>
        </w:rPr>
        <w:t xml:space="preserve"> projektima zajedničkih ulaganja</w:t>
      </w:r>
      <w:r w:rsidR="002D5E9A">
        <w:rPr>
          <w:rFonts w:asciiTheme="minorHAnsi" w:hAnsiTheme="minorHAnsi"/>
          <w:sz w:val="22"/>
        </w:rPr>
        <w:t>.</w:t>
      </w:r>
      <w:r w:rsidR="00A11581" w:rsidRPr="00A33C0E">
        <w:rPr>
          <w:rFonts w:asciiTheme="minorHAnsi" w:hAnsiTheme="minorHAnsi"/>
          <w:sz w:val="22"/>
        </w:rPr>
        <w:t xml:space="preserve"> </w:t>
      </w:r>
      <w:r w:rsidR="00FE44E3" w:rsidRPr="00A33C0E">
        <w:rPr>
          <w:rFonts w:asciiTheme="minorHAnsi" w:hAnsiTheme="minorHAnsi"/>
          <w:sz w:val="22"/>
        </w:rPr>
        <w:t xml:space="preserve">Na ovaj način Društvo </w:t>
      </w:r>
      <w:r w:rsidR="00A11581" w:rsidRPr="00A33C0E">
        <w:rPr>
          <w:rFonts w:asciiTheme="minorHAnsi" w:hAnsiTheme="minorHAnsi"/>
          <w:sz w:val="22"/>
        </w:rPr>
        <w:t xml:space="preserve">može povećati dobit, bitno smanjiti troškove upravljanja i održavanja i </w:t>
      </w:r>
      <w:r w:rsidR="00545161" w:rsidRPr="00A33C0E">
        <w:rPr>
          <w:rFonts w:asciiTheme="minorHAnsi" w:hAnsiTheme="minorHAnsi"/>
          <w:sz w:val="22"/>
        </w:rPr>
        <w:t xml:space="preserve">omogućiti </w:t>
      </w:r>
      <w:r w:rsidR="00FE44E3" w:rsidRPr="00A33C0E">
        <w:rPr>
          <w:rFonts w:asciiTheme="minorHAnsi" w:hAnsiTheme="minorHAnsi"/>
          <w:sz w:val="22"/>
        </w:rPr>
        <w:t>izlazak</w:t>
      </w:r>
      <w:r w:rsidR="00A11581" w:rsidRPr="00A33C0E">
        <w:rPr>
          <w:rFonts w:asciiTheme="minorHAnsi" w:hAnsiTheme="minorHAnsi"/>
          <w:sz w:val="22"/>
        </w:rPr>
        <w:t xml:space="preserve"> na tržište </w:t>
      </w:r>
      <w:r w:rsidR="00FE44E3" w:rsidRPr="00A33C0E">
        <w:rPr>
          <w:rFonts w:asciiTheme="minorHAnsi" w:hAnsiTheme="minorHAnsi"/>
          <w:sz w:val="22"/>
        </w:rPr>
        <w:t xml:space="preserve">nekretnina </w:t>
      </w:r>
      <w:r w:rsidR="00A11581" w:rsidRPr="00A33C0E">
        <w:rPr>
          <w:rFonts w:asciiTheme="minorHAnsi" w:hAnsiTheme="minorHAnsi"/>
          <w:sz w:val="22"/>
        </w:rPr>
        <w:t>sa novim manjim jedinicama kako bi ponuda bila što fleksibilnija, raznovrsnija i adekvatnija potražnji i privrednom okruženju.</w:t>
      </w:r>
    </w:p>
    <w:p w:rsidR="00FB5573" w:rsidRDefault="00FB5573" w:rsidP="001065DF">
      <w:pPr>
        <w:spacing w:after="120"/>
        <w:jc w:val="both"/>
        <w:rPr>
          <w:rFonts w:asciiTheme="minorHAnsi" w:hAnsiTheme="minorHAnsi"/>
          <w:sz w:val="22"/>
        </w:rPr>
      </w:pPr>
      <w:r w:rsidRPr="00A33C0E">
        <w:rPr>
          <w:rFonts w:asciiTheme="minorHAnsi" w:hAnsiTheme="minorHAnsi"/>
          <w:sz w:val="22"/>
        </w:rPr>
        <w:t>Društvo će svoj razvoj i prosperitet tražiti i u ulaganju na globalnom tržištu hartija od vrijednosti.</w:t>
      </w:r>
    </w:p>
    <w:p w:rsidR="00EC2AC0" w:rsidRPr="00646F9A" w:rsidRDefault="00EC2AC0" w:rsidP="001065DF">
      <w:pPr>
        <w:spacing w:after="120"/>
        <w:jc w:val="both"/>
        <w:rPr>
          <w:rFonts w:asciiTheme="minorHAnsi" w:hAnsiTheme="minorHAnsi"/>
          <w:sz w:val="22"/>
        </w:rPr>
      </w:pPr>
    </w:p>
    <w:p w:rsidR="001065DF" w:rsidRPr="00646F9A" w:rsidRDefault="001065DF" w:rsidP="001065DF">
      <w:pPr>
        <w:pStyle w:val="Heading1"/>
        <w:numPr>
          <w:ilvl w:val="0"/>
          <w:numId w:val="5"/>
        </w:numPr>
        <w:spacing w:after="120"/>
        <w:ind w:left="357" w:hanging="357"/>
        <w:rPr>
          <w:rFonts w:ascii="Calibri" w:hAnsi="Calibri"/>
          <w:i/>
          <w:sz w:val="24"/>
          <w:szCs w:val="22"/>
        </w:rPr>
      </w:pPr>
      <w:r w:rsidRPr="00646F9A">
        <w:rPr>
          <w:rFonts w:ascii="Calibri" w:hAnsi="Calibri"/>
          <w:i/>
          <w:sz w:val="24"/>
          <w:szCs w:val="22"/>
        </w:rPr>
        <w:t>Zaključak</w:t>
      </w:r>
    </w:p>
    <w:p w:rsidR="001065DF" w:rsidRPr="00646F9A" w:rsidRDefault="001065DF" w:rsidP="001065DF">
      <w:pPr>
        <w:autoSpaceDE w:val="0"/>
        <w:autoSpaceDN w:val="0"/>
        <w:adjustRightInd w:val="0"/>
        <w:spacing w:after="120"/>
        <w:jc w:val="both"/>
        <w:rPr>
          <w:rFonts w:ascii="Calibri" w:eastAsia="Calibri" w:hAnsi="Calibri" w:cs="Constantia-Bold"/>
          <w:bCs/>
          <w:sz w:val="22"/>
          <w:szCs w:val="22"/>
        </w:rPr>
      </w:pPr>
      <w:r w:rsidRPr="00646F9A">
        <w:rPr>
          <w:rFonts w:ascii="Calibri" w:eastAsia="Calibri" w:hAnsi="Calibri" w:cs="Constantia-Bold"/>
          <w:bCs/>
          <w:sz w:val="22"/>
          <w:szCs w:val="22"/>
          <w:lang w:val="en-US"/>
        </w:rPr>
        <w:t>Kao</w:t>
      </w:r>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aktivan</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i</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odgovoran</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privredni</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subjekt</w:t>
      </w:r>
      <w:proofErr w:type="spellEnd"/>
      <w:r w:rsidRPr="00646F9A">
        <w:rPr>
          <w:rFonts w:ascii="Calibri" w:eastAsia="Calibri" w:hAnsi="Calibri" w:cs="Constantia-Bold"/>
          <w:bCs/>
          <w:sz w:val="22"/>
          <w:szCs w:val="22"/>
        </w:rPr>
        <w:t xml:space="preserve">, </w:t>
      </w:r>
      <w:r w:rsidRPr="00646F9A">
        <w:rPr>
          <w:rFonts w:ascii="Calibri" w:eastAsia="Calibri" w:hAnsi="Calibri" w:cs="Constantia-Bold"/>
          <w:bCs/>
          <w:sz w:val="22"/>
          <w:szCs w:val="22"/>
          <w:lang w:val="en-US"/>
        </w:rPr>
        <w:t>Dru</w:t>
      </w:r>
      <w:r w:rsidRPr="00646F9A">
        <w:rPr>
          <w:rFonts w:ascii="Calibri" w:eastAsia="Calibri" w:hAnsi="Calibri" w:cs="Constantia-Bold"/>
          <w:bCs/>
          <w:sz w:val="22"/>
          <w:szCs w:val="22"/>
        </w:rPr>
        <w:t>š</w:t>
      </w:r>
      <w:proofErr w:type="spellStart"/>
      <w:r w:rsidRPr="00646F9A">
        <w:rPr>
          <w:rFonts w:ascii="Calibri" w:eastAsia="Calibri" w:hAnsi="Calibri" w:cs="Constantia-Bold"/>
          <w:bCs/>
          <w:sz w:val="22"/>
          <w:szCs w:val="22"/>
          <w:lang w:val="en-US"/>
        </w:rPr>
        <w:t>tvo</w:t>
      </w:r>
      <w:proofErr w:type="spellEnd"/>
      <w:r w:rsidRPr="00646F9A">
        <w:rPr>
          <w:rFonts w:ascii="Calibri" w:eastAsia="Calibri" w:hAnsi="Calibri" w:cs="Constantia-Bold"/>
          <w:bCs/>
          <w:sz w:val="22"/>
          <w:szCs w:val="22"/>
        </w:rPr>
        <w:t xml:space="preserve"> </w:t>
      </w:r>
      <w:r w:rsidRPr="00646F9A">
        <w:rPr>
          <w:rFonts w:ascii="Calibri" w:eastAsia="Calibri" w:hAnsi="Calibri" w:cs="Constantia-Bold"/>
          <w:bCs/>
          <w:sz w:val="22"/>
          <w:szCs w:val="22"/>
          <w:lang w:val="en-US"/>
        </w:rPr>
        <w:t>po</w:t>
      </w:r>
      <w:r w:rsidRPr="00646F9A">
        <w:rPr>
          <w:rFonts w:ascii="Calibri" w:eastAsia="Calibri" w:hAnsi="Calibri" w:cs="Constantia-Bold"/>
          <w:bCs/>
          <w:sz w:val="22"/>
          <w:szCs w:val="22"/>
        </w:rPr>
        <w:t>š</w:t>
      </w:r>
      <w:proofErr w:type="spellStart"/>
      <w:r w:rsidRPr="00646F9A">
        <w:rPr>
          <w:rFonts w:ascii="Calibri" w:eastAsia="Calibri" w:hAnsi="Calibri" w:cs="Constantia-Bold"/>
          <w:bCs/>
          <w:sz w:val="22"/>
          <w:szCs w:val="22"/>
          <w:lang w:val="en-US"/>
        </w:rPr>
        <w:t>tuje</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i</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primjenjuje</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pozitivne</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zakonske</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propise</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i</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eti</w:t>
      </w:r>
      <w:proofErr w:type="spellEnd"/>
      <w:r w:rsidRPr="00646F9A">
        <w:rPr>
          <w:rFonts w:ascii="Calibri" w:eastAsia="Calibri" w:hAnsi="Calibri" w:cs="Constantia-Bold"/>
          <w:bCs/>
          <w:sz w:val="22"/>
          <w:szCs w:val="22"/>
        </w:rPr>
        <w:t>č</w:t>
      </w:r>
      <w:proofErr w:type="spellStart"/>
      <w:r w:rsidRPr="00646F9A">
        <w:rPr>
          <w:rFonts w:ascii="Calibri" w:eastAsia="Calibri" w:hAnsi="Calibri" w:cs="Constantia-Bold"/>
          <w:bCs/>
          <w:sz w:val="22"/>
          <w:szCs w:val="22"/>
          <w:lang w:val="en-US"/>
        </w:rPr>
        <w:t>ke</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poslovne</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principe</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kao</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i</w:t>
      </w:r>
      <w:proofErr w:type="spellEnd"/>
      <w:r w:rsidRPr="00646F9A">
        <w:rPr>
          <w:rFonts w:ascii="Calibri" w:eastAsia="Calibri" w:hAnsi="Calibri" w:cs="Constantia-Bold"/>
          <w:bCs/>
          <w:sz w:val="22"/>
          <w:szCs w:val="22"/>
        </w:rPr>
        <w:t xml:space="preserve"> </w:t>
      </w:r>
      <w:r w:rsidRPr="00646F9A">
        <w:rPr>
          <w:rFonts w:asciiTheme="minorHAnsi" w:hAnsiTheme="minorHAnsi"/>
          <w:sz w:val="22"/>
          <w:szCs w:val="22"/>
        </w:rPr>
        <w:t>pravila korporativnog upravljanja</w:t>
      </w:r>
      <w:r w:rsidRPr="00646F9A">
        <w:rPr>
          <w:rFonts w:ascii="Calibri" w:eastAsia="Calibri" w:hAnsi="Calibri" w:cs="Constantia-Bold"/>
          <w:bCs/>
          <w:sz w:val="22"/>
          <w:szCs w:val="22"/>
        </w:rPr>
        <w:t>,</w:t>
      </w:r>
      <w:r w:rsidR="00A11581"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koji</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su</w:t>
      </w:r>
      <w:proofErr w:type="spellEnd"/>
      <w:r w:rsidRPr="00646F9A">
        <w:rPr>
          <w:rFonts w:ascii="Calibri" w:eastAsia="Calibri" w:hAnsi="Calibri" w:cs="Constantia-Bold"/>
          <w:bCs/>
          <w:sz w:val="22"/>
          <w:szCs w:val="22"/>
        </w:rPr>
        <w:t xml:space="preserve"> </w:t>
      </w:r>
      <w:r w:rsidRPr="00646F9A">
        <w:rPr>
          <w:rFonts w:ascii="Calibri" w:eastAsia="Calibri" w:hAnsi="Calibri" w:cs="Constantia-Bold"/>
          <w:bCs/>
          <w:sz w:val="22"/>
          <w:szCs w:val="22"/>
          <w:lang w:val="en-US"/>
        </w:rPr>
        <w:t>op</w:t>
      </w:r>
      <w:r w:rsidRPr="00646F9A">
        <w:rPr>
          <w:rFonts w:ascii="Calibri" w:eastAsia="Calibri" w:hAnsi="Calibri" w:cs="Constantia-Bold"/>
          <w:bCs/>
          <w:sz w:val="22"/>
          <w:szCs w:val="22"/>
        </w:rPr>
        <w:t>š</w:t>
      </w:r>
      <w:proofErr w:type="spellStart"/>
      <w:r w:rsidRPr="00646F9A">
        <w:rPr>
          <w:rFonts w:ascii="Calibri" w:eastAsia="Calibri" w:hAnsi="Calibri" w:cs="Constantia-Bold"/>
          <w:bCs/>
          <w:sz w:val="22"/>
          <w:szCs w:val="22"/>
          <w:lang w:val="en-US"/>
        </w:rPr>
        <w:t>te</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prihva</w:t>
      </w:r>
      <w:proofErr w:type="spellEnd"/>
      <w:r w:rsidRPr="00646F9A">
        <w:rPr>
          <w:rFonts w:ascii="Calibri" w:eastAsia="Calibri" w:hAnsi="Calibri" w:cs="Constantia-Bold"/>
          <w:bCs/>
          <w:sz w:val="22"/>
          <w:szCs w:val="22"/>
        </w:rPr>
        <w:t>ć</w:t>
      </w:r>
      <w:proofErr w:type="spellStart"/>
      <w:r w:rsidRPr="00646F9A">
        <w:rPr>
          <w:rFonts w:ascii="Calibri" w:eastAsia="Calibri" w:hAnsi="Calibri" w:cs="Constantia-Bold"/>
          <w:bCs/>
          <w:sz w:val="22"/>
          <w:szCs w:val="22"/>
          <w:lang w:val="en-US"/>
        </w:rPr>
        <w:t>eni</w:t>
      </w:r>
      <w:proofErr w:type="spellEnd"/>
      <w:r w:rsidRPr="00646F9A">
        <w:rPr>
          <w:rFonts w:ascii="Calibri" w:eastAsia="Calibri" w:hAnsi="Calibri" w:cs="Constantia-Bold"/>
          <w:bCs/>
          <w:sz w:val="22"/>
          <w:szCs w:val="22"/>
        </w:rPr>
        <w:t xml:space="preserve"> </w:t>
      </w:r>
      <w:r w:rsidRPr="00646F9A">
        <w:rPr>
          <w:rFonts w:ascii="Calibri" w:eastAsia="Calibri" w:hAnsi="Calibri" w:cs="Constantia-Bold"/>
          <w:bCs/>
          <w:sz w:val="22"/>
          <w:szCs w:val="22"/>
          <w:lang w:val="en-US"/>
        </w:rPr>
        <w:t>u</w:t>
      </w:r>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vo</w:t>
      </w:r>
      <w:proofErr w:type="spellEnd"/>
      <w:r w:rsidRPr="00646F9A">
        <w:rPr>
          <w:rFonts w:ascii="Calibri" w:eastAsia="Calibri" w:hAnsi="Calibri" w:cs="Constantia-Bold"/>
          <w:bCs/>
          <w:sz w:val="22"/>
          <w:szCs w:val="22"/>
        </w:rPr>
        <w:t>đ</w:t>
      </w:r>
      <w:proofErr w:type="spellStart"/>
      <w:r w:rsidRPr="00646F9A">
        <w:rPr>
          <w:rFonts w:ascii="Calibri" w:eastAsia="Calibri" w:hAnsi="Calibri" w:cs="Constantia-Bold"/>
          <w:bCs/>
          <w:sz w:val="22"/>
          <w:szCs w:val="22"/>
          <w:lang w:val="en-US"/>
        </w:rPr>
        <w:t>enju</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poslovanja</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i</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ostvarenju</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poslovnih</w:t>
      </w:r>
      <w:proofErr w:type="spellEnd"/>
      <w:r w:rsidRPr="00646F9A">
        <w:rPr>
          <w:rFonts w:ascii="Calibri" w:eastAsia="Calibri" w:hAnsi="Calibri" w:cs="Constantia-Bold"/>
          <w:bCs/>
          <w:sz w:val="22"/>
          <w:szCs w:val="22"/>
        </w:rPr>
        <w:t xml:space="preserve"> </w:t>
      </w:r>
      <w:proofErr w:type="spellStart"/>
      <w:r w:rsidRPr="00646F9A">
        <w:rPr>
          <w:rFonts w:ascii="Calibri" w:eastAsia="Calibri" w:hAnsi="Calibri" w:cs="Constantia-Bold"/>
          <w:bCs/>
          <w:sz w:val="22"/>
          <w:szCs w:val="22"/>
          <w:lang w:val="en-US"/>
        </w:rPr>
        <w:t>ciljeva</w:t>
      </w:r>
      <w:proofErr w:type="spellEnd"/>
      <w:r w:rsidRPr="00646F9A">
        <w:rPr>
          <w:rFonts w:ascii="Calibri" w:eastAsia="Calibri" w:hAnsi="Calibri" w:cs="Constantia-Bold"/>
          <w:bCs/>
          <w:sz w:val="22"/>
          <w:szCs w:val="22"/>
        </w:rPr>
        <w:t>.</w:t>
      </w:r>
    </w:p>
    <w:p w:rsidR="001065DF" w:rsidRPr="00646F9A" w:rsidRDefault="001065DF" w:rsidP="001065DF">
      <w:pPr>
        <w:autoSpaceDE w:val="0"/>
        <w:autoSpaceDN w:val="0"/>
        <w:adjustRightInd w:val="0"/>
        <w:spacing w:after="120"/>
        <w:jc w:val="both"/>
        <w:rPr>
          <w:rFonts w:ascii="Calibri" w:eastAsia="Calibri" w:hAnsi="Calibri" w:cs="Constantia"/>
          <w:sz w:val="22"/>
          <w:szCs w:val="22"/>
        </w:rPr>
      </w:pPr>
      <w:r w:rsidRPr="00646F9A">
        <w:rPr>
          <w:rFonts w:ascii="Calibri" w:eastAsia="Calibri" w:hAnsi="Calibri" w:cs="Constantia"/>
          <w:sz w:val="22"/>
          <w:szCs w:val="22"/>
          <w:lang w:val="en-US"/>
        </w:rPr>
        <w:t>Suo</w:t>
      </w:r>
      <w:r w:rsidRPr="00646F9A">
        <w:rPr>
          <w:rFonts w:ascii="Calibri" w:eastAsia="Calibri" w:hAnsi="Calibri" w:cs="Constantia"/>
          <w:sz w:val="22"/>
          <w:szCs w:val="22"/>
        </w:rPr>
        <w:t>č</w:t>
      </w:r>
      <w:proofErr w:type="spellStart"/>
      <w:r w:rsidRPr="00646F9A">
        <w:rPr>
          <w:rFonts w:ascii="Calibri" w:eastAsia="Calibri" w:hAnsi="Calibri" w:cs="Constantia"/>
          <w:sz w:val="22"/>
          <w:szCs w:val="22"/>
          <w:lang w:val="en-US"/>
        </w:rPr>
        <w:t>eni</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sa</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produbljivanjem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ekonomske</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krize</w:t>
      </w:r>
      <w:proofErr w:type="spellEnd"/>
      <w:r w:rsidRPr="00646F9A">
        <w:rPr>
          <w:rFonts w:ascii="Calibri" w:eastAsia="Calibri" w:hAnsi="Calibri" w:cs="Constantia"/>
          <w:sz w:val="22"/>
          <w:szCs w:val="22"/>
        </w:rPr>
        <w:t xml:space="preserve"> </w:t>
      </w:r>
      <w:r w:rsidRPr="00646F9A">
        <w:rPr>
          <w:rFonts w:ascii="Calibri" w:eastAsia="Calibri" w:hAnsi="Calibri" w:cs="Constantia"/>
          <w:sz w:val="22"/>
          <w:szCs w:val="22"/>
          <w:lang w:val="en-US"/>
        </w:rPr>
        <w:t>u</w:t>
      </w:r>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ekonomiji</w:t>
      </w:r>
      <w:proofErr w:type="spellEnd"/>
      <w:r w:rsidRPr="00646F9A">
        <w:rPr>
          <w:rFonts w:ascii="Calibri" w:eastAsia="Calibri" w:hAnsi="Calibri" w:cs="Constantia"/>
          <w:sz w:val="22"/>
          <w:szCs w:val="22"/>
        </w:rPr>
        <w:t xml:space="preserve"> </w:t>
      </w:r>
      <w:r w:rsidRPr="00646F9A">
        <w:rPr>
          <w:rFonts w:ascii="Calibri" w:eastAsia="Calibri" w:hAnsi="Calibri" w:cs="Constantia"/>
          <w:sz w:val="22"/>
          <w:szCs w:val="22"/>
          <w:lang w:val="en-US"/>
        </w:rPr>
        <w:t>u</w:t>
      </w:r>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kojoj</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poslujemo</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izazovima</w:t>
      </w:r>
      <w:proofErr w:type="spellEnd"/>
      <w:r w:rsidRPr="00646F9A">
        <w:rPr>
          <w:rFonts w:ascii="Calibri" w:eastAsia="Calibri" w:hAnsi="Calibri" w:cs="Constantia"/>
          <w:sz w:val="22"/>
          <w:szCs w:val="22"/>
        </w:rPr>
        <w:t xml:space="preserve"> </w:t>
      </w:r>
      <w:r w:rsidRPr="00646F9A">
        <w:rPr>
          <w:rFonts w:ascii="Calibri" w:eastAsia="Calibri" w:hAnsi="Calibri" w:cs="Constantia"/>
          <w:sz w:val="22"/>
          <w:szCs w:val="22"/>
          <w:lang w:val="en-US"/>
        </w:rPr>
        <w:t>tr</w:t>
      </w:r>
      <w:r w:rsidRPr="00646F9A">
        <w:rPr>
          <w:rFonts w:ascii="Calibri" w:eastAsia="Calibri" w:hAnsi="Calibri" w:cs="Constantia"/>
          <w:sz w:val="22"/>
          <w:szCs w:val="22"/>
        </w:rPr>
        <w:t>ž</w:t>
      </w:r>
      <w:proofErr w:type="spellStart"/>
      <w:r w:rsidRPr="00646F9A">
        <w:rPr>
          <w:rFonts w:ascii="Calibri" w:eastAsia="Calibri" w:hAnsi="Calibri" w:cs="Constantia"/>
          <w:sz w:val="22"/>
          <w:szCs w:val="22"/>
          <w:lang w:val="en-US"/>
        </w:rPr>
        <w:t>i</w:t>
      </w:r>
      <w:proofErr w:type="spellEnd"/>
      <w:r w:rsidRPr="00646F9A">
        <w:rPr>
          <w:rFonts w:ascii="Calibri" w:eastAsia="Calibri" w:hAnsi="Calibri" w:cs="Constantia"/>
          <w:sz w:val="22"/>
          <w:szCs w:val="22"/>
        </w:rPr>
        <w:t>š</w:t>
      </w:r>
      <w:r w:rsidRPr="00646F9A">
        <w:rPr>
          <w:rFonts w:ascii="Calibri" w:eastAsia="Calibri" w:hAnsi="Calibri" w:cs="Constantia"/>
          <w:sz w:val="22"/>
          <w:szCs w:val="22"/>
          <w:lang w:val="en-US"/>
        </w:rPr>
        <w:t>ta</w:t>
      </w:r>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i</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okru</w:t>
      </w:r>
      <w:proofErr w:type="spellEnd"/>
      <w:r w:rsidRPr="00646F9A">
        <w:rPr>
          <w:rFonts w:ascii="Calibri" w:eastAsia="Calibri" w:hAnsi="Calibri" w:cs="Constantia"/>
          <w:sz w:val="22"/>
          <w:szCs w:val="22"/>
        </w:rPr>
        <w:t>ž</w:t>
      </w:r>
      <w:proofErr w:type="spellStart"/>
      <w:r w:rsidRPr="00646F9A">
        <w:rPr>
          <w:rFonts w:ascii="Calibri" w:eastAsia="Calibri" w:hAnsi="Calibri" w:cs="Constantia"/>
          <w:sz w:val="22"/>
          <w:szCs w:val="22"/>
          <w:lang w:val="en-US"/>
        </w:rPr>
        <w:t>enja</w:t>
      </w:r>
      <w:proofErr w:type="spellEnd"/>
      <w:r w:rsidRPr="00646F9A">
        <w:rPr>
          <w:rFonts w:ascii="Calibri" w:eastAsia="Calibri" w:hAnsi="Calibri" w:cs="Constantia"/>
          <w:sz w:val="22"/>
          <w:szCs w:val="22"/>
        </w:rPr>
        <w:t xml:space="preserve">, </w:t>
      </w:r>
      <w:r w:rsidRPr="00646F9A">
        <w:rPr>
          <w:rFonts w:ascii="Calibri" w:eastAsia="Calibri" w:hAnsi="Calibri" w:cs="Constantia"/>
          <w:sz w:val="22"/>
          <w:szCs w:val="22"/>
          <w:lang w:val="en-US"/>
        </w:rPr>
        <w:t>op</w:t>
      </w:r>
      <w:r w:rsidRPr="00646F9A">
        <w:rPr>
          <w:rFonts w:ascii="Calibri" w:eastAsia="Calibri" w:hAnsi="Calibri" w:cs="Constantia"/>
          <w:sz w:val="22"/>
          <w:szCs w:val="22"/>
        </w:rPr>
        <w:t>š</w:t>
      </w:r>
      <w:proofErr w:type="spellStart"/>
      <w:r w:rsidRPr="00646F9A">
        <w:rPr>
          <w:rFonts w:ascii="Calibri" w:eastAsia="Calibri" w:hAnsi="Calibri" w:cs="Constantia"/>
          <w:sz w:val="22"/>
          <w:szCs w:val="22"/>
          <w:lang w:val="en-US"/>
        </w:rPr>
        <w:t>tim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padom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privredne</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aktivnosti</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padom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kupovne</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mo</w:t>
      </w:r>
      <w:proofErr w:type="spellEnd"/>
      <w:r w:rsidRPr="00646F9A">
        <w:rPr>
          <w:rFonts w:ascii="Calibri" w:eastAsia="Calibri" w:hAnsi="Calibri" w:cs="Constantia"/>
          <w:sz w:val="22"/>
          <w:szCs w:val="22"/>
        </w:rPr>
        <w:t>ć</w:t>
      </w:r>
      <w:proofErr w:type="spellStart"/>
      <w:r w:rsidRPr="00646F9A">
        <w:rPr>
          <w:rFonts w:ascii="Calibri" w:eastAsia="Calibri" w:hAnsi="Calibri" w:cs="Constantia"/>
          <w:sz w:val="22"/>
          <w:szCs w:val="22"/>
          <w:lang w:val="en-US"/>
        </w:rPr>
        <w:t>i</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stanovni</w:t>
      </w:r>
      <w:proofErr w:type="spellEnd"/>
      <w:r w:rsidRPr="00646F9A">
        <w:rPr>
          <w:rFonts w:ascii="Calibri" w:eastAsia="Calibri" w:hAnsi="Calibri" w:cs="Constantia"/>
          <w:sz w:val="22"/>
          <w:szCs w:val="22"/>
        </w:rPr>
        <w:t>š</w:t>
      </w:r>
      <w:proofErr w:type="spellStart"/>
      <w:r w:rsidRPr="00646F9A">
        <w:rPr>
          <w:rFonts w:ascii="Calibri" w:eastAsia="Calibri" w:hAnsi="Calibri" w:cs="Constantia"/>
          <w:sz w:val="22"/>
          <w:szCs w:val="22"/>
          <w:lang w:val="en-US"/>
        </w:rPr>
        <w:t>tva</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ve</w:t>
      </w:r>
      <w:proofErr w:type="spellEnd"/>
      <w:r w:rsidRPr="00646F9A">
        <w:rPr>
          <w:rFonts w:ascii="Calibri" w:eastAsia="Calibri" w:hAnsi="Calibri" w:cs="Constantia"/>
          <w:sz w:val="22"/>
          <w:szCs w:val="22"/>
        </w:rPr>
        <w:t>ć</w:t>
      </w:r>
      <w:r w:rsidRPr="00646F9A">
        <w:rPr>
          <w:rFonts w:ascii="Calibri" w:eastAsia="Calibri" w:hAnsi="Calibri" w:cs="Constantia"/>
          <w:sz w:val="22"/>
          <w:szCs w:val="22"/>
          <w:lang w:val="en-US"/>
        </w:rPr>
        <w:t>om</w:t>
      </w:r>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ponudom</w:t>
      </w:r>
      <w:proofErr w:type="spellEnd"/>
      <w:r w:rsidRPr="00646F9A">
        <w:rPr>
          <w:rFonts w:ascii="Calibri" w:eastAsia="Calibri" w:hAnsi="Calibri" w:cs="Constantia"/>
          <w:sz w:val="22"/>
          <w:szCs w:val="22"/>
        </w:rPr>
        <w:t xml:space="preserve"> </w:t>
      </w:r>
      <w:r w:rsidRPr="00646F9A">
        <w:rPr>
          <w:rFonts w:ascii="Calibri" w:eastAsia="Calibri" w:hAnsi="Calibri" w:cs="Constantia"/>
          <w:sz w:val="22"/>
          <w:szCs w:val="22"/>
          <w:lang w:val="en-US"/>
        </w:rPr>
        <w:t>od</w:t>
      </w:r>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potra</w:t>
      </w:r>
      <w:proofErr w:type="spellEnd"/>
      <w:r w:rsidRPr="00646F9A">
        <w:rPr>
          <w:rFonts w:ascii="Calibri" w:eastAsia="Calibri" w:hAnsi="Calibri" w:cs="Constantia"/>
          <w:sz w:val="22"/>
          <w:szCs w:val="22"/>
        </w:rPr>
        <w:t>ž</w:t>
      </w:r>
      <w:proofErr w:type="spellStart"/>
      <w:r w:rsidRPr="00646F9A">
        <w:rPr>
          <w:rFonts w:ascii="Calibri" w:eastAsia="Calibri" w:hAnsi="Calibri" w:cs="Constantia"/>
          <w:sz w:val="22"/>
          <w:szCs w:val="22"/>
          <w:lang w:val="en-US"/>
        </w:rPr>
        <w:t>nje</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poslovnih</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prostora</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ote</w:t>
      </w:r>
      <w:proofErr w:type="spellEnd"/>
      <w:r w:rsidRPr="00646F9A">
        <w:rPr>
          <w:rFonts w:ascii="Calibri" w:eastAsia="Calibri" w:hAnsi="Calibri" w:cs="Constantia"/>
          <w:sz w:val="22"/>
          <w:szCs w:val="22"/>
        </w:rPr>
        <w:t>ž</w:t>
      </w:r>
      <w:proofErr w:type="spellStart"/>
      <w:r w:rsidRPr="00646F9A">
        <w:rPr>
          <w:rFonts w:ascii="Calibri" w:eastAsia="Calibri" w:hAnsi="Calibri" w:cs="Constantia"/>
          <w:sz w:val="22"/>
          <w:szCs w:val="22"/>
          <w:lang w:val="en-US"/>
        </w:rPr>
        <w:t>anom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naplatom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potra</w:t>
      </w:r>
      <w:proofErr w:type="spellEnd"/>
      <w:r w:rsidRPr="00646F9A">
        <w:rPr>
          <w:rFonts w:ascii="Calibri" w:eastAsia="Calibri" w:hAnsi="Calibri" w:cs="Constantia"/>
          <w:sz w:val="22"/>
          <w:szCs w:val="22"/>
        </w:rPr>
        <w:t>ž</w:t>
      </w:r>
      <w:proofErr w:type="spellStart"/>
      <w:r w:rsidRPr="00646F9A">
        <w:rPr>
          <w:rFonts w:ascii="Calibri" w:eastAsia="Calibri" w:hAnsi="Calibri" w:cs="Constantia"/>
          <w:sz w:val="22"/>
          <w:szCs w:val="22"/>
          <w:lang w:val="en-US"/>
        </w:rPr>
        <w:t>ivanja</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i</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neefikasnim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rje</w:t>
      </w:r>
      <w:proofErr w:type="spellEnd"/>
      <w:r w:rsidRPr="00646F9A">
        <w:rPr>
          <w:rFonts w:ascii="Calibri" w:eastAsia="Calibri" w:hAnsi="Calibri" w:cs="Constantia"/>
          <w:sz w:val="22"/>
          <w:szCs w:val="22"/>
        </w:rPr>
        <w:t>š</w:t>
      </w:r>
      <w:proofErr w:type="spellStart"/>
      <w:r w:rsidRPr="00646F9A">
        <w:rPr>
          <w:rFonts w:ascii="Calibri" w:eastAsia="Calibri" w:hAnsi="Calibri" w:cs="Constantia"/>
          <w:sz w:val="22"/>
          <w:szCs w:val="22"/>
          <w:lang w:val="en-US"/>
        </w:rPr>
        <w:t>avanjem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sudskih</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sporova</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nemogu</w:t>
      </w:r>
      <w:proofErr w:type="spellEnd"/>
      <w:r w:rsidRPr="00646F9A">
        <w:rPr>
          <w:rFonts w:ascii="Calibri" w:eastAsia="Calibri" w:hAnsi="Calibri" w:cs="Constantia"/>
          <w:sz w:val="22"/>
          <w:szCs w:val="22"/>
        </w:rPr>
        <w:t>ć</w:t>
      </w:r>
      <w:r w:rsidRPr="00646F9A">
        <w:rPr>
          <w:rFonts w:ascii="Calibri" w:eastAsia="Calibri" w:hAnsi="Calibri" w:cs="Constantia"/>
          <w:sz w:val="22"/>
          <w:szCs w:val="22"/>
          <w:lang w:val="en-US"/>
        </w:rPr>
        <w:t>no</w:t>
      </w:r>
      <w:r w:rsidRPr="00646F9A">
        <w:rPr>
          <w:rFonts w:ascii="Calibri" w:eastAsia="Calibri" w:hAnsi="Calibri" w:cs="Constantia"/>
          <w:sz w:val="22"/>
          <w:szCs w:val="22"/>
        </w:rPr>
        <w:t>šć</w:t>
      </w:r>
      <w:r w:rsidRPr="00646F9A">
        <w:rPr>
          <w:rFonts w:ascii="Calibri" w:eastAsia="Calibri" w:hAnsi="Calibri" w:cs="Constantia"/>
          <w:sz w:val="22"/>
          <w:szCs w:val="22"/>
          <w:lang w:val="en-US"/>
        </w:rPr>
        <w:t>u</w:t>
      </w:r>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naplate</w:t>
      </w:r>
      <w:proofErr w:type="spellEnd"/>
      <w:r w:rsidRPr="00646F9A">
        <w:rPr>
          <w:rFonts w:ascii="Calibri" w:eastAsia="Calibri" w:hAnsi="Calibri" w:cs="Constantia"/>
          <w:sz w:val="22"/>
          <w:szCs w:val="22"/>
        </w:rPr>
        <w:t xml:space="preserve"> </w:t>
      </w:r>
      <w:r w:rsidRPr="00646F9A">
        <w:rPr>
          <w:rFonts w:ascii="Calibri" w:eastAsia="Calibri" w:hAnsi="Calibri" w:cs="Constantia"/>
          <w:sz w:val="22"/>
          <w:szCs w:val="22"/>
          <w:lang w:val="en-US"/>
        </w:rPr>
        <w:t>po</w:t>
      </w:r>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dobijenim</w:t>
      </w:r>
      <w:proofErr w:type="spellEnd"/>
      <w:r w:rsidRPr="00646F9A">
        <w:rPr>
          <w:rFonts w:ascii="Calibri" w:eastAsia="Calibri" w:hAnsi="Calibri" w:cs="Constantia"/>
          <w:sz w:val="22"/>
          <w:szCs w:val="22"/>
        </w:rPr>
        <w:t xml:space="preserve"> </w:t>
      </w:r>
      <w:proofErr w:type="spellStart"/>
      <w:proofErr w:type="gramStart"/>
      <w:r w:rsidRPr="00646F9A">
        <w:rPr>
          <w:rFonts w:ascii="Calibri" w:eastAsia="Calibri" w:hAnsi="Calibri" w:cs="Constantia"/>
          <w:sz w:val="22"/>
          <w:szCs w:val="22"/>
          <w:lang w:val="en-US"/>
        </w:rPr>
        <w:t>sporovima</w:t>
      </w:r>
      <w:proofErr w:type="spellEnd"/>
      <w:r w:rsidR="006D6D4D" w:rsidRPr="00646F9A">
        <w:rPr>
          <w:rFonts w:ascii="Calibri" w:eastAsia="Calibri" w:hAnsi="Calibri" w:cs="Constantia"/>
          <w:sz w:val="22"/>
          <w:szCs w:val="22"/>
        </w:rPr>
        <w:t xml:space="preserve"> </w:t>
      </w:r>
      <w:r w:rsidRPr="00646F9A">
        <w:rPr>
          <w:rFonts w:ascii="Calibri" w:eastAsia="Calibri" w:hAnsi="Calibri" w:cs="Constantia"/>
          <w:sz w:val="22"/>
          <w:szCs w:val="22"/>
        </w:rPr>
        <w:t>,</w:t>
      </w:r>
      <w:proofErr w:type="gramEnd"/>
      <w:r w:rsidRPr="00646F9A">
        <w:rPr>
          <w:rFonts w:ascii="Calibri" w:eastAsia="Calibri" w:hAnsi="Calibri" w:cs="Constantia"/>
          <w:sz w:val="22"/>
          <w:szCs w:val="22"/>
        </w:rPr>
        <w:t xml:space="preserve"> </w:t>
      </w:r>
      <w:proofErr w:type="spellStart"/>
      <w:r w:rsidR="00A11581" w:rsidRPr="00646F9A">
        <w:rPr>
          <w:rFonts w:ascii="Calibri" w:eastAsia="Calibri" w:hAnsi="Calibri" w:cs="Constantia"/>
          <w:sz w:val="22"/>
          <w:szCs w:val="22"/>
          <w:lang w:val="en-US"/>
        </w:rPr>
        <w:t>U</w:t>
      </w:r>
      <w:r w:rsidRPr="00646F9A">
        <w:rPr>
          <w:rFonts w:ascii="Calibri" w:eastAsia="Calibri" w:hAnsi="Calibri" w:cs="Constantia"/>
          <w:sz w:val="22"/>
          <w:szCs w:val="22"/>
          <w:lang w:val="en-US"/>
        </w:rPr>
        <w:t>prava</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i</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menad</w:t>
      </w:r>
      <w:proofErr w:type="spellEnd"/>
      <w:r w:rsidRPr="00646F9A">
        <w:rPr>
          <w:rFonts w:ascii="Calibri" w:eastAsia="Calibri" w:hAnsi="Calibri" w:cs="Constantia"/>
          <w:sz w:val="22"/>
          <w:szCs w:val="22"/>
        </w:rPr>
        <w:t>ž</w:t>
      </w:r>
      <w:proofErr w:type="spellStart"/>
      <w:r w:rsidRPr="00646F9A">
        <w:rPr>
          <w:rFonts w:ascii="Calibri" w:eastAsia="Calibri" w:hAnsi="Calibri" w:cs="Constantia"/>
          <w:sz w:val="22"/>
          <w:szCs w:val="22"/>
          <w:lang w:val="en-US"/>
        </w:rPr>
        <w:t>ment</w:t>
      </w:r>
      <w:proofErr w:type="spellEnd"/>
      <w:r w:rsidRPr="00646F9A">
        <w:rPr>
          <w:rFonts w:ascii="Calibri" w:eastAsia="Calibri" w:hAnsi="Calibri" w:cs="Constantia"/>
          <w:sz w:val="22"/>
          <w:szCs w:val="22"/>
        </w:rPr>
        <w:t xml:space="preserve"> </w:t>
      </w:r>
      <w:r w:rsidRPr="00646F9A">
        <w:rPr>
          <w:rFonts w:ascii="Calibri" w:eastAsia="Calibri" w:hAnsi="Calibri" w:cs="Constantia"/>
          <w:sz w:val="22"/>
          <w:szCs w:val="22"/>
          <w:lang w:val="en-US"/>
        </w:rPr>
        <w:t>Dru</w:t>
      </w:r>
      <w:r w:rsidRPr="00646F9A">
        <w:rPr>
          <w:rFonts w:ascii="Calibri" w:eastAsia="Calibri" w:hAnsi="Calibri" w:cs="Constantia"/>
          <w:sz w:val="22"/>
          <w:szCs w:val="22"/>
        </w:rPr>
        <w:t>š</w:t>
      </w:r>
      <w:proofErr w:type="spellStart"/>
      <w:r w:rsidRPr="00646F9A">
        <w:rPr>
          <w:rFonts w:ascii="Calibri" w:eastAsia="Calibri" w:hAnsi="Calibri" w:cs="Constantia"/>
          <w:sz w:val="22"/>
          <w:szCs w:val="22"/>
          <w:lang w:val="en-US"/>
        </w:rPr>
        <w:t>tva</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su</w:t>
      </w:r>
      <w:proofErr w:type="spellEnd"/>
      <w:r w:rsidRPr="00646F9A">
        <w:rPr>
          <w:rFonts w:ascii="Calibri" w:eastAsia="Calibri" w:hAnsi="Calibri" w:cs="Constantia"/>
          <w:sz w:val="22"/>
          <w:szCs w:val="22"/>
        </w:rPr>
        <w:t xml:space="preserve"> </w:t>
      </w:r>
      <w:r w:rsidRPr="00646F9A">
        <w:rPr>
          <w:rFonts w:ascii="Calibri" w:eastAsia="Calibri" w:hAnsi="Calibri" w:cs="Constantia"/>
          <w:sz w:val="22"/>
          <w:szCs w:val="22"/>
          <w:lang w:val="en-US"/>
        </w:rPr>
        <w:t>u</w:t>
      </w:r>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svom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radu</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prilago</w:t>
      </w:r>
      <w:proofErr w:type="spellEnd"/>
      <w:r w:rsidRPr="00646F9A">
        <w:rPr>
          <w:rFonts w:ascii="Calibri" w:eastAsia="Calibri" w:hAnsi="Calibri" w:cs="Constantia"/>
          <w:sz w:val="22"/>
          <w:szCs w:val="22"/>
        </w:rPr>
        <w:t>đ</w:t>
      </w:r>
      <w:proofErr w:type="spellStart"/>
      <w:r w:rsidRPr="00646F9A">
        <w:rPr>
          <w:rFonts w:ascii="Calibri" w:eastAsia="Calibri" w:hAnsi="Calibri" w:cs="Constantia"/>
          <w:sz w:val="22"/>
          <w:szCs w:val="22"/>
          <w:lang w:val="en-US"/>
        </w:rPr>
        <w:t>avali</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poslovnu</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strategiju</w:t>
      </w:r>
      <w:proofErr w:type="spellEnd"/>
      <w:r w:rsidRPr="00646F9A">
        <w:rPr>
          <w:rFonts w:ascii="Calibri" w:eastAsia="Calibri" w:hAnsi="Calibri" w:cs="Constantia"/>
          <w:sz w:val="22"/>
          <w:szCs w:val="22"/>
        </w:rPr>
        <w:t xml:space="preserve"> </w:t>
      </w:r>
      <w:r w:rsidRPr="00646F9A">
        <w:rPr>
          <w:rFonts w:ascii="Calibri" w:eastAsia="Calibri" w:hAnsi="Calibri" w:cs="Constantia"/>
          <w:sz w:val="22"/>
          <w:szCs w:val="22"/>
          <w:lang w:val="en-US"/>
        </w:rPr>
        <w:t>u</w:t>
      </w:r>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cilju</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predupre</w:t>
      </w:r>
      <w:proofErr w:type="spellEnd"/>
      <w:r w:rsidRPr="00646F9A">
        <w:rPr>
          <w:rFonts w:ascii="Calibri" w:eastAsia="Calibri" w:hAnsi="Calibri" w:cs="Constantia"/>
          <w:sz w:val="22"/>
          <w:szCs w:val="22"/>
        </w:rPr>
        <w:t>đ</w:t>
      </w:r>
      <w:proofErr w:type="spellStart"/>
      <w:r w:rsidRPr="00646F9A">
        <w:rPr>
          <w:rFonts w:ascii="Calibri" w:eastAsia="Calibri" w:hAnsi="Calibri" w:cs="Constantia"/>
          <w:sz w:val="22"/>
          <w:szCs w:val="22"/>
          <w:lang w:val="en-US"/>
        </w:rPr>
        <w:t>enja</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negativnih</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efekata</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na</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poslovanje</w:t>
      </w:r>
      <w:proofErr w:type="spellEnd"/>
      <w:r w:rsidRPr="00646F9A">
        <w:rPr>
          <w:rFonts w:ascii="Calibri" w:eastAsia="Calibri" w:hAnsi="Calibri" w:cs="Constantia"/>
          <w:sz w:val="22"/>
          <w:szCs w:val="22"/>
        </w:rPr>
        <w:t xml:space="preserve"> </w:t>
      </w:r>
      <w:r w:rsidRPr="00646F9A">
        <w:rPr>
          <w:rFonts w:ascii="Calibri" w:eastAsia="Calibri" w:hAnsi="Calibri" w:cs="Constantia"/>
          <w:sz w:val="22"/>
          <w:szCs w:val="22"/>
          <w:lang w:val="en-US"/>
        </w:rPr>
        <w:t>u</w:t>
      </w:r>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ote</w:t>
      </w:r>
      <w:proofErr w:type="spellEnd"/>
      <w:r w:rsidRPr="00646F9A">
        <w:rPr>
          <w:rFonts w:ascii="Calibri" w:eastAsia="Calibri" w:hAnsi="Calibri" w:cs="Constantia"/>
          <w:sz w:val="22"/>
          <w:szCs w:val="22"/>
        </w:rPr>
        <w:t>ž</w:t>
      </w:r>
      <w:proofErr w:type="spellStart"/>
      <w:r w:rsidRPr="00646F9A">
        <w:rPr>
          <w:rFonts w:ascii="Calibri" w:eastAsia="Calibri" w:hAnsi="Calibri" w:cs="Constantia"/>
          <w:sz w:val="22"/>
          <w:szCs w:val="22"/>
          <w:lang w:val="en-US"/>
        </w:rPr>
        <w:t>anim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okolnostima</w:t>
      </w:r>
      <w:proofErr w:type="spellEnd"/>
      <w:r w:rsidRPr="00646F9A">
        <w:rPr>
          <w:rFonts w:ascii="Calibri" w:eastAsia="Calibri" w:hAnsi="Calibri" w:cs="Constantia"/>
          <w:sz w:val="22"/>
          <w:szCs w:val="22"/>
        </w:rPr>
        <w:t>.</w:t>
      </w:r>
    </w:p>
    <w:p w:rsidR="00B927B3" w:rsidRDefault="006D6D4D" w:rsidP="001065DF">
      <w:pPr>
        <w:autoSpaceDE w:val="0"/>
        <w:autoSpaceDN w:val="0"/>
        <w:adjustRightInd w:val="0"/>
        <w:spacing w:after="120"/>
        <w:jc w:val="both"/>
        <w:rPr>
          <w:rFonts w:ascii="Calibri" w:eastAsia="Calibri" w:hAnsi="Calibri" w:cs="Constantia"/>
          <w:sz w:val="22"/>
          <w:szCs w:val="22"/>
        </w:rPr>
      </w:pPr>
      <w:proofErr w:type="spellStart"/>
      <w:r w:rsidRPr="00646F9A">
        <w:rPr>
          <w:rFonts w:ascii="Calibri" w:eastAsia="Calibri" w:hAnsi="Calibri" w:cs="Constantia"/>
          <w:sz w:val="22"/>
          <w:szCs w:val="22"/>
          <w:lang w:val="en-US"/>
        </w:rPr>
        <w:t>Uprkos</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svim</w:t>
      </w:r>
      <w:proofErr w:type="spellEnd"/>
      <w:r w:rsidRPr="00646F9A">
        <w:rPr>
          <w:rFonts w:ascii="Calibri" w:eastAsia="Calibri" w:hAnsi="Calibri" w:cs="Constantia"/>
          <w:sz w:val="22"/>
          <w:szCs w:val="22"/>
        </w:rPr>
        <w:t xml:space="preserve"> </w:t>
      </w:r>
      <w:proofErr w:type="spellStart"/>
      <w:r w:rsidRPr="00646F9A">
        <w:rPr>
          <w:rFonts w:ascii="Calibri" w:eastAsia="Calibri" w:hAnsi="Calibri" w:cs="Constantia"/>
          <w:sz w:val="22"/>
          <w:szCs w:val="22"/>
          <w:lang w:val="en-US"/>
        </w:rPr>
        <w:t>naporima</w:t>
      </w:r>
      <w:proofErr w:type="spellEnd"/>
      <w:r w:rsidRPr="00646F9A">
        <w:rPr>
          <w:rFonts w:ascii="Calibri" w:eastAsia="Calibri" w:hAnsi="Calibri" w:cs="Constantia"/>
          <w:sz w:val="22"/>
          <w:szCs w:val="22"/>
        </w:rPr>
        <w:t xml:space="preserve">, </w:t>
      </w:r>
      <w:r w:rsidR="00A11581" w:rsidRPr="00646F9A">
        <w:rPr>
          <w:rFonts w:ascii="Calibri" w:eastAsia="Calibri" w:hAnsi="Calibri" w:cs="Constantia"/>
          <w:sz w:val="22"/>
          <w:szCs w:val="22"/>
          <w:lang w:val="en-US"/>
        </w:rPr>
        <w:t>Dru</w:t>
      </w:r>
      <w:r w:rsidR="00A11581" w:rsidRPr="00646F9A">
        <w:rPr>
          <w:rFonts w:ascii="Calibri" w:eastAsia="Calibri" w:hAnsi="Calibri" w:cs="Constantia"/>
          <w:sz w:val="22"/>
          <w:szCs w:val="22"/>
        </w:rPr>
        <w:t>š</w:t>
      </w:r>
      <w:proofErr w:type="spellStart"/>
      <w:r w:rsidR="00A11581" w:rsidRPr="00646F9A">
        <w:rPr>
          <w:rFonts w:ascii="Calibri" w:eastAsia="Calibri" w:hAnsi="Calibri" w:cs="Constantia"/>
          <w:sz w:val="22"/>
          <w:szCs w:val="22"/>
          <w:lang w:val="en-US"/>
        </w:rPr>
        <w:t>tvo</w:t>
      </w:r>
      <w:proofErr w:type="spellEnd"/>
      <w:r w:rsidR="00A11581" w:rsidRPr="00646F9A">
        <w:rPr>
          <w:rFonts w:ascii="Calibri" w:eastAsia="Calibri" w:hAnsi="Calibri" w:cs="Constantia"/>
          <w:sz w:val="22"/>
          <w:szCs w:val="22"/>
        </w:rPr>
        <w:t xml:space="preserve"> </w:t>
      </w:r>
      <w:r w:rsidR="00A11581" w:rsidRPr="00646F9A">
        <w:rPr>
          <w:rFonts w:ascii="Calibri" w:eastAsia="Calibri" w:hAnsi="Calibri" w:cs="Constantia"/>
          <w:sz w:val="22"/>
          <w:szCs w:val="22"/>
          <w:lang w:val="en-US"/>
        </w:rPr>
        <w:t>je</w:t>
      </w:r>
      <w:r w:rsidR="00A11581" w:rsidRPr="00646F9A">
        <w:rPr>
          <w:rFonts w:ascii="Calibri" w:eastAsia="Calibri" w:hAnsi="Calibri" w:cs="Constantia"/>
          <w:sz w:val="22"/>
          <w:szCs w:val="22"/>
        </w:rPr>
        <w:t xml:space="preserve"> </w:t>
      </w:r>
      <w:proofErr w:type="spellStart"/>
      <w:r w:rsidR="001065DF" w:rsidRPr="00646F9A">
        <w:rPr>
          <w:rFonts w:ascii="Calibri" w:eastAsia="Calibri" w:hAnsi="Calibri" w:cs="Constantia"/>
          <w:sz w:val="22"/>
          <w:szCs w:val="22"/>
          <w:lang w:val="en-US"/>
        </w:rPr>
        <w:t>uspjel</w:t>
      </w:r>
      <w:r w:rsidR="00A11581" w:rsidRPr="00646F9A">
        <w:rPr>
          <w:rFonts w:ascii="Calibri" w:eastAsia="Calibri" w:hAnsi="Calibri" w:cs="Constantia"/>
          <w:sz w:val="22"/>
          <w:szCs w:val="22"/>
          <w:lang w:val="en-US"/>
        </w:rPr>
        <w:t>o</w:t>
      </w:r>
      <w:proofErr w:type="spellEnd"/>
      <w:r w:rsidR="001065DF" w:rsidRPr="00646F9A">
        <w:rPr>
          <w:rFonts w:ascii="Calibri" w:eastAsia="Calibri" w:hAnsi="Calibri" w:cs="Constantia"/>
          <w:sz w:val="22"/>
          <w:szCs w:val="22"/>
        </w:rPr>
        <w:t xml:space="preserve"> </w:t>
      </w:r>
      <w:proofErr w:type="spellStart"/>
      <w:r w:rsidR="001065DF" w:rsidRPr="00646F9A">
        <w:rPr>
          <w:rFonts w:ascii="Calibri" w:eastAsia="Calibri" w:hAnsi="Calibri" w:cs="Constantia"/>
          <w:sz w:val="22"/>
          <w:szCs w:val="22"/>
          <w:lang w:val="en-US"/>
        </w:rPr>
        <w:t>izmir</w:t>
      </w:r>
      <w:r w:rsidR="00A11581" w:rsidRPr="00646F9A">
        <w:rPr>
          <w:rFonts w:ascii="Calibri" w:eastAsia="Calibri" w:hAnsi="Calibri" w:cs="Constantia"/>
          <w:sz w:val="22"/>
          <w:szCs w:val="22"/>
          <w:lang w:val="en-US"/>
        </w:rPr>
        <w:t>i</w:t>
      </w:r>
      <w:r w:rsidRPr="00646F9A">
        <w:rPr>
          <w:rFonts w:ascii="Calibri" w:eastAsia="Calibri" w:hAnsi="Calibri" w:cs="Constantia"/>
          <w:sz w:val="22"/>
          <w:szCs w:val="22"/>
          <w:lang w:val="en-US"/>
        </w:rPr>
        <w:t>ti</w:t>
      </w:r>
      <w:proofErr w:type="spellEnd"/>
      <w:r w:rsidR="00A11581" w:rsidRPr="00646F9A">
        <w:rPr>
          <w:rFonts w:ascii="Calibri" w:eastAsia="Calibri" w:hAnsi="Calibri" w:cs="Constantia"/>
          <w:sz w:val="22"/>
          <w:szCs w:val="22"/>
        </w:rPr>
        <w:t xml:space="preserve"> </w:t>
      </w:r>
      <w:proofErr w:type="spellStart"/>
      <w:r w:rsidR="00A11581" w:rsidRPr="00646F9A">
        <w:rPr>
          <w:rFonts w:ascii="Calibri" w:eastAsia="Calibri" w:hAnsi="Calibri" w:cs="Constantia"/>
          <w:sz w:val="22"/>
          <w:szCs w:val="22"/>
          <w:lang w:val="en-US"/>
        </w:rPr>
        <w:t>sve</w:t>
      </w:r>
      <w:proofErr w:type="spellEnd"/>
      <w:r w:rsidR="001065DF" w:rsidRPr="00646F9A">
        <w:rPr>
          <w:rFonts w:ascii="Calibri" w:eastAsia="Calibri" w:hAnsi="Calibri" w:cs="Constantia"/>
          <w:sz w:val="22"/>
          <w:szCs w:val="22"/>
        </w:rPr>
        <w:t xml:space="preserve"> </w:t>
      </w:r>
      <w:proofErr w:type="spellStart"/>
      <w:r w:rsidR="001065DF" w:rsidRPr="00646F9A">
        <w:rPr>
          <w:rFonts w:ascii="Calibri" w:eastAsia="Calibri" w:hAnsi="Calibri" w:cs="Constantia"/>
          <w:sz w:val="22"/>
          <w:szCs w:val="22"/>
          <w:lang w:val="en-US"/>
        </w:rPr>
        <w:t>sv</w:t>
      </w:r>
      <w:r w:rsidR="00A11581" w:rsidRPr="00646F9A">
        <w:rPr>
          <w:rFonts w:ascii="Calibri" w:eastAsia="Calibri" w:hAnsi="Calibri" w:cs="Constantia"/>
          <w:sz w:val="22"/>
          <w:szCs w:val="22"/>
          <w:lang w:val="en-US"/>
        </w:rPr>
        <w:t>oj</w:t>
      </w:r>
      <w:r w:rsidR="001065DF" w:rsidRPr="00646F9A">
        <w:rPr>
          <w:rFonts w:ascii="Calibri" w:eastAsia="Calibri" w:hAnsi="Calibri" w:cs="Constantia"/>
          <w:sz w:val="22"/>
          <w:szCs w:val="22"/>
          <w:lang w:val="en-US"/>
        </w:rPr>
        <w:t>e</w:t>
      </w:r>
      <w:proofErr w:type="spellEnd"/>
      <w:r w:rsidR="001065DF" w:rsidRPr="00646F9A">
        <w:rPr>
          <w:rFonts w:ascii="Calibri" w:eastAsia="Calibri" w:hAnsi="Calibri" w:cs="Constantia"/>
          <w:sz w:val="22"/>
          <w:szCs w:val="22"/>
        </w:rPr>
        <w:t xml:space="preserve"> </w:t>
      </w:r>
      <w:proofErr w:type="spellStart"/>
      <w:r w:rsidR="001065DF" w:rsidRPr="00646F9A">
        <w:rPr>
          <w:rFonts w:ascii="Calibri" w:eastAsia="Calibri" w:hAnsi="Calibri" w:cs="Constantia"/>
          <w:sz w:val="22"/>
          <w:szCs w:val="22"/>
          <w:lang w:val="en-US"/>
        </w:rPr>
        <w:t>obaveze</w:t>
      </w:r>
      <w:proofErr w:type="spellEnd"/>
      <w:r w:rsidR="001065DF" w:rsidRPr="00646F9A">
        <w:rPr>
          <w:rFonts w:ascii="Calibri" w:eastAsia="Calibri" w:hAnsi="Calibri" w:cs="Constantia"/>
          <w:sz w:val="22"/>
          <w:szCs w:val="22"/>
        </w:rPr>
        <w:t xml:space="preserve"> </w:t>
      </w:r>
      <w:proofErr w:type="spellStart"/>
      <w:r w:rsidR="001065DF" w:rsidRPr="00646F9A">
        <w:rPr>
          <w:rFonts w:ascii="Calibri" w:eastAsia="Calibri" w:hAnsi="Calibri" w:cs="Constantia"/>
          <w:sz w:val="22"/>
          <w:szCs w:val="22"/>
          <w:lang w:val="en-US"/>
        </w:rPr>
        <w:t>iz</w:t>
      </w:r>
      <w:proofErr w:type="spellEnd"/>
      <w:r w:rsidR="001065DF" w:rsidRPr="00646F9A">
        <w:rPr>
          <w:rFonts w:ascii="Calibri" w:eastAsia="Calibri" w:hAnsi="Calibri" w:cs="Constantia"/>
          <w:sz w:val="22"/>
          <w:szCs w:val="22"/>
        </w:rPr>
        <w:t xml:space="preserve"> </w:t>
      </w:r>
      <w:proofErr w:type="spellStart"/>
      <w:r w:rsidR="001065DF" w:rsidRPr="00646F9A">
        <w:rPr>
          <w:rFonts w:ascii="Calibri" w:eastAsia="Calibri" w:hAnsi="Calibri" w:cs="Constantia"/>
          <w:sz w:val="22"/>
          <w:szCs w:val="22"/>
          <w:lang w:val="en-US"/>
        </w:rPr>
        <w:t>poslovanja</w:t>
      </w:r>
      <w:proofErr w:type="spellEnd"/>
      <w:r w:rsidR="00EC2AC0">
        <w:rPr>
          <w:rFonts w:ascii="Calibri" w:eastAsia="Calibri" w:hAnsi="Calibri" w:cs="Constantia"/>
          <w:sz w:val="22"/>
          <w:szCs w:val="22"/>
          <w:lang w:val="en-US"/>
        </w:rPr>
        <w:t>.</w:t>
      </w:r>
      <w:r w:rsidR="001065DF" w:rsidRPr="00646F9A">
        <w:rPr>
          <w:rFonts w:ascii="Calibri" w:eastAsia="Calibri" w:hAnsi="Calibri" w:cs="Constantia"/>
          <w:sz w:val="22"/>
          <w:szCs w:val="22"/>
        </w:rPr>
        <w:t xml:space="preserve"> </w:t>
      </w:r>
    </w:p>
    <w:p w:rsidR="001065DF" w:rsidRPr="00CC4EAE" w:rsidRDefault="001065DF" w:rsidP="001065DF">
      <w:pPr>
        <w:autoSpaceDE w:val="0"/>
        <w:autoSpaceDN w:val="0"/>
        <w:adjustRightInd w:val="0"/>
        <w:spacing w:after="120"/>
        <w:jc w:val="both"/>
        <w:rPr>
          <w:rFonts w:ascii="Calibri" w:eastAsia="Calibri" w:hAnsi="Calibri" w:cs="Constantia"/>
          <w:sz w:val="22"/>
          <w:szCs w:val="22"/>
          <w:lang w:val="es-CL"/>
        </w:rPr>
      </w:pPr>
      <w:proofErr w:type="spellStart"/>
      <w:r w:rsidRPr="00646F9A">
        <w:rPr>
          <w:rFonts w:ascii="Calibri" w:eastAsia="Calibri" w:hAnsi="Calibri" w:cs="Constantia"/>
          <w:sz w:val="22"/>
          <w:szCs w:val="22"/>
          <w:lang w:val="es-CL"/>
        </w:rPr>
        <w:t>Strategija</w:t>
      </w:r>
      <w:proofErr w:type="spellEnd"/>
      <w:r w:rsidRPr="00646F9A">
        <w:rPr>
          <w:rFonts w:ascii="Calibri" w:eastAsia="Calibri" w:hAnsi="Calibri" w:cs="Constantia"/>
          <w:sz w:val="22"/>
          <w:szCs w:val="22"/>
          <w:lang w:val="es-CL"/>
        </w:rPr>
        <w:t xml:space="preserve"> i </w:t>
      </w:r>
      <w:proofErr w:type="spellStart"/>
      <w:r w:rsidRPr="00646F9A">
        <w:rPr>
          <w:rFonts w:ascii="Calibri" w:eastAsia="Calibri" w:hAnsi="Calibri" w:cs="Constantia"/>
          <w:sz w:val="22"/>
          <w:szCs w:val="22"/>
          <w:lang w:val="es-CL"/>
        </w:rPr>
        <w:t>ciljevi</w:t>
      </w:r>
      <w:proofErr w:type="spellEnd"/>
      <w:r w:rsidRPr="00646F9A">
        <w:rPr>
          <w:rFonts w:ascii="Calibri" w:eastAsia="Calibri" w:hAnsi="Calibri" w:cs="Constantia"/>
          <w:sz w:val="22"/>
          <w:szCs w:val="22"/>
          <w:lang w:val="es-CL"/>
        </w:rPr>
        <w:t xml:space="preserve"> su </w:t>
      </w:r>
      <w:proofErr w:type="spellStart"/>
      <w:r w:rsidRPr="00646F9A">
        <w:rPr>
          <w:rFonts w:ascii="Calibri" w:eastAsia="Calibri" w:hAnsi="Calibri" w:cs="Constantia"/>
          <w:sz w:val="22"/>
          <w:szCs w:val="22"/>
          <w:lang w:val="es-CL"/>
        </w:rPr>
        <w:t>transparentni</w:t>
      </w:r>
      <w:proofErr w:type="spellEnd"/>
      <w:r w:rsidRPr="00646F9A">
        <w:rPr>
          <w:rFonts w:ascii="Calibri" w:eastAsia="Calibri" w:hAnsi="Calibri" w:cs="Constantia"/>
          <w:sz w:val="22"/>
          <w:szCs w:val="22"/>
          <w:lang w:val="es-CL"/>
        </w:rPr>
        <w:t xml:space="preserve"> </w:t>
      </w:r>
      <w:proofErr w:type="spellStart"/>
      <w:r w:rsidRPr="00646F9A">
        <w:rPr>
          <w:rFonts w:ascii="Calibri" w:eastAsia="Calibri" w:hAnsi="Calibri" w:cs="Constantia"/>
          <w:sz w:val="22"/>
          <w:szCs w:val="22"/>
          <w:lang w:val="es-CL"/>
        </w:rPr>
        <w:t>za</w:t>
      </w:r>
      <w:proofErr w:type="spellEnd"/>
      <w:r w:rsidRPr="00646F9A">
        <w:rPr>
          <w:rFonts w:ascii="Calibri" w:eastAsia="Calibri" w:hAnsi="Calibri" w:cs="Constantia"/>
          <w:sz w:val="22"/>
          <w:szCs w:val="22"/>
          <w:lang w:val="es-CL"/>
        </w:rPr>
        <w:t xml:space="preserve"> </w:t>
      </w:r>
      <w:proofErr w:type="spellStart"/>
      <w:r w:rsidRPr="00646F9A">
        <w:rPr>
          <w:rFonts w:ascii="Calibri" w:eastAsia="Calibri" w:hAnsi="Calibri" w:cs="Constantia"/>
          <w:sz w:val="22"/>
          <w:szCs w:val="22"/>
          <w:lang w:val="es-CL"/>
        </w:rPr>
        <w:t>sve</w:t>
      </w:r>
      <w:proofErr w:type="spellEnd"/>
      <w:r w:rsidRPr="00646F9A">
        <w:rPr>
          <w:rFonts w:ascii="Calibri" w:eastAsia="Calibri" w:hAnsi="Calibri" w:cs="Constantia"/>
          <w:sz w:val="22"/>
          <w:szCs w:val="22"/>
          <w:lang w:val="es-CL"/>
        </w:rPr>
        <w:t xml:space="preserve"> </w:t>
      </w:r>
      <w:proofErr w:type="spellStart"/>
      <w:r w:rsidRPr="00646F9A">
        <w:rPr>
          <w:rFonts w:ascii="Calibri" w:eastAsia="Calibri" w:hAnsi="Calibri" w:cs="Constantia"/>
          <w:sz w:val="22"/>
          <w:szCs w:val="22"/>
          <w:lang w:val="es-CL"/>
        </w:rPr>
        <w:t>interesne</w:t>
      </w:r>
      <w:proofErr w:type="spellEnd"/>
      <w:r w:rsidRPr="00646F9A">
        <w:rPr>
          <w:rFonts w:ascii="Calibri" w:eastAsia="Calibri" w:hAnsi="Calibri" w:cs="Constantia"/>
          <w:sz w:val="22"/>
          <w:szCs w:val="22"/>
          <w:lang w:val="es-CL"/>
        </w:rPr>
        <w:t xml:space="preserve"> </w:t>
      </w:r>
      <w:proofErr w:type="spellStart"/>
      <w:r w:rsidRPr="00646F9A">
        <w:rPr>
          <w:rFonts w:ascii="Calibri" w:eastAsia="Calibri" w:hAnsi="Calibri" w:cs="Constantia"/>
          <w:sz w:val="22"/>
          <w:szCs w:val="22"/>
          <w:lang w:val="es-CL"/>
        </w:rPr>
        <w:t>grupe</w:t>
      </w:r>
      <w:proofErr w:type="spellEnd"/>
      <w:r w:rsidRPr="00646F9A">
        <w:rPr>
          <w:rFonts w:ascii="Calibri" w:eastAsia="Calibri" w:hAnsi="Calibri" w:cs="Constantia"/>
          <w:sz w:val="22"/>
          <w:szCs w:val="22"/>
          <w:lang w:val="es-CL"/>
        </w:rPr>
        <w:t>.</w:t>
      </w:r>
      <w:r w:rsidRPr="00CC4EAE">
        <w:rPr>
          <w:rFonts w:ascii="Calibri" w:eastAsia="Calibri" w:hAnsi="Calibri" w:cs="Constantia"/>
          <w:sz w:val="22"/>
          <w:szCs w:val="22"/>
          <w:lang w:val="es-CL"/>
        </w:rPr>
        <w:t xml:space="preserve"> </w:t>
      </w:r>
    </w:p>
    <w:p w:rsidR="001065DF" w:rsidRPr="00CC4EAE" w:rsidRDefault="00A11581" w:rsidP="001065DF">
      <w:pPr>
        <w:autoSpaceDE w:val="0"/>
        <w:autoSpaceDN w:val="0"/>
        <w:adjustRightInd w:val="0"/>
        <w:spacing w:after="120"/>
        <w:jc w:val="both"/>
        <w:rPr>
          <w:rFonts w:ascii="Calibri" w:eastAsia="Calibri" w:hAnsi="Calibri" w:cs="Constantia"/>
          <w:sz w:val="22"/>
          <w:szCs w:val="22"/>
          <w:lang w:val="es-CL"/>
        </w:rPr>
      </w:pPr>
      <w:proofErr w:type="spellStart"/>
      <w:r w:rsidRPr="00CC4EAE">
        <w:rPr>
          <w:rFonts w:ascii="Calibri" w:eastAsia="Calibri" w:hAnsi="Calibri" w:cs="Constantia"/>
          <w:sz w:val="22"/>
          <w:szCs w:val="22"/>
          <w:lang w:val="es-CL"/>
        </w:rPr>
        <w:t>Društvo</w:t>
      </w:r>
      <w:proofErr w:type="spellEnd"/>
      <w:r w:rsidRPr="00CC4EAE">
        <w:rPr>
          <w:rFonts w:ascii="Calibri" w:eastAsia="Calibri" w:hAnsi="Calibri" w:cs="Constantia"/>
          <w:sz w:val="22"/>
          <w:szCs w:val="22"/>
          <w:lang w:val="es-CL"/>
        </w:rPr>
        <w:t xml:space="preserve"> </w:t>
      </w:r>
      <w:proofErr w:type="spellStart"/>
      <w:r w:rsidRPr="00CC4EAE">
        <w:rPr>
          <w:rFonts w:ascii="Calibri" w:eastAsia="Calibri" w:hAnsi="Calibri" w:cs="Constantia"/>
          <w:sz w:val="22"/>
          <w:szCs w:val="22"/>
          <w:lang w:val="es-CL"/>
        </w:rPr>
        <w:t>r</w:t>
      </w:r>
      <w:r w:rsidR="001065DF" w:rsidRPr="00CC4EAE">
        <w:rPr>
          <w:rFonts w:ascii="Calibri" w:eastAsia="Calibri" w:hAnsi="Calibri" w:cs="Constantia"/>
          <w:sz w:val="22"/>
          <w:szCs w:val="22"/>
          <w:lang w:val="es-CL"/>
        </w:rPr>
        <w:t>edovno</w:t>
      </w:r>
      <w:proofErr w:type="spellEnd"/>
      <w:r w:rsidR="001065DF" w:rsidRPr="00CC4EAE">
        <w:rPr>
          <w:rFonts w:ascii="Calibri" w:eastAsia="Calibri" w:hAnsi="Calibri" w:cs="Constantia"/>
          <w:sz w:val="22"/>
          <w:szCs w:val="22"/>
          <w:lang w:val="es-CL"/>
        </w:rPr>
        <w:t xml:space="preserve"> </w:t>
      </w:r>
      <w:proofErr w:type="spellStart"/>
      <w:r w:rsidR="001065DF" w:rsidRPr="00CC4EAE">
        <w:rPr>
          <w:rFonts w:ascii="Calibri" w:eastAsia="Calibri" w:hAnsi="Calibri" w:cs="Constantia"/>
          <w:sz w:val="22"/>
          <w:szCs w:val="22"/>
          <w:lang w:val="es-CL"/>
        </w:rPr>
        <w:t>objavljuje</w:t>
      </w:r>
      <w:proofErr w:type="spellEnd"/>
      <w:r w:rsidRPr="00CC4EAE">
        <w:rPr>
          <w:rFonts w:ascii="Calibri" w:eastAsia="Calibri" w:hAnsi="Calibri" w:cs="Constantia"/>
          <w:sz w:val="22"/>
          <w:szCs w:val="22"/>
          <w:lang w:val="es-CL"/>
        </w:rPr>
        <w:t xml:space="preserve"> </w:t>
      </w:r>
      <w:proofErr w:type="spellStart"/>
      <w:r w:rsidR="001065DF" w:rsidRPr="00CC4EAE">
        <w:rPr>
          <w:rFonts w:ascii="Calibri" w:eastAsia="Calibri" w:hAnsi="Calibri" w:cs="Constantia"/>
          <w:sz w:val="22"/>
          <w:szCs w:val="22"/>
          <w:lang w:val="es-CL"/>
        </w:rPr>
        <w:t>izv</w:t>
      </w:r>
      <w:r w:rsidR="002D5E9A">
        <w:rPr>
          <w:rFonts w:ascii="Calibri" w:eastAsia="Calibri" w:hAnsi="Calibri" w:cs="Constantia"/>
          <w:sz w:val="22"/>
          <w:szCs w:val="22"/>
          <w:lang w:val="es-CL"/>
        </w:rPr>
        <w:t>j</w:t>
      </w:r>
      <w:r w:rsidR="001065DF" w:rsidRPr="00CC4EAE">
        <w:rPr>
          <w:rFonts w:ascii="Calibri" w:eastAsia="Calibri" w:hAnsi="Calibri" w:cs="Constantia"/>
          <w:sz w:val="22"/>
          <w:szCs w:val="22"/>
          <w:lang w:val="es-CL"/>
        </w:rPr>
        <w:t>eštaje</w:t>
      </w:r>
      <w:proofErr w:type="spellEnd"/>
      <w:r w:rsidR="001065DF" w:rsidRPr="00CC4EAE">
        <w:rPr>
          <w:rFonts w:ascii="Calibri" w:eastAsia="Calibri" w:hAnsi="Calibri" w:cs="Constantia"/>
          <w:sz w:val="22"/>
          <w:szCs w:val="22"/>
          <w:lang w:val="es-CL"/>
        </w:rPr>
        <w:t xml:space="preserve"> o </w:t>
      </w:r>
      <w:proofErr w:type="spellStart"/>
      <w:r w:rsidR="001065DF" w:rsidRPr="00CC4EAE">
        <w:rPr>
          <w:rFonts w:ascii="Calibri" w:eastAsia="Calibri" w:hAnsi="Calibri" w:cs="Constantia"/>
          <w:sz w:val="22"/>
          <w:szCs w:val="22"/>
          <w:lang w:val="es-CL"/>
        </w:rPr>
        <w:t>poslovanju</w:t>
      </w:r>
      <w:proofErr w:type="spellEnd"/>
      <w:r w:rsidR="001065DF" w:rsidRPr="00CC4EAE">
        <w:rPr>
          <w:rFonts w:ascii="Calibri" w:eastAsia="Calibri" w:hAnsi="Calibri" w:cs="Constantia"/>
          <w:sz w:val="22"/>
          <w:szCs w:val="22"/>
          <w:lang w:val="es-CL"/>
        </w:rPr>
        <w:t xml:space="preserve">. </w:t>
      </w:r>
    </w:p>
    <w:p w:rsidR="001065DF" w:rsidRPr="001E3215" w:rsidRDefault="001065DF" w:rsidP="001065DF">
      <w:pPr>
        <w:tabs>
          <w:tab w:val="left" w:pos="450"/>
        </w:tabs>
        <w:spacing w:after="120"/>
        <w:jc w:val="both"/>
        <w:rPr>
          <w:rFonts w:ascii="Calibri" w:hAnsi="Calibri"/>
          <w:color w:val="4F81BD"/>
          <w:sz w:val="22"/>
          <w:szCs w:val="22"/>
          <w:lang w:val="sl-SI"/>
        </w:rPr>
      </w:pPr>
      <w:proofErr w:type="spellStart"/>
      <w:r w:rsidRPr="00CC4EAE">
        <w:rPr>
          <w:rFonts w:ascii="Calibri" w:eastAsia="Calibri" w:hAnsi="Calibri" w:cs="Constantia"/>
          <w:sz w:val="22"/>
          <w:szCs w:val="22"/>
          <w:lang w:val="es-CL"/>
        </w:rPr>
        <w:t>Sve</w:t>
      </w:r>
      <w:proofErr w:type="spellEnd"/>
      <w:r w:rsidRPr="00CC4EAE">
        <w:rPr>
          <w:rFonts w:ascii="Calibri" w:eastAsia="Calibri" w:hAnsi="Calibri" w:cs="Constantia"/>
          <w:sz w:val="22"/>
          <w:szCs w:val="22"/>
          <w:lang w:val="es-CL"/>
        </w:rPr>
        <w:t xml:space="preserve"> </w:t>
      </w:r>
      <w:proofErr w:type="spellStart"/>
      <w:r w:rsidRPr="00CC4EAE">
        <w:rPr>
          <w:rFonts w:ascii="Calibri" w:eastAsia="Calibri" w:hAnsi="Calibri" w:cs="Constantia"/>
          <w:sz w:val="22"/>
          <w:szCs w:val="22"/>
          <w:lang w:val="es-CL"/>
        </w:rPr>
        <w:t>informacije</w:t>
      </w:r>
      <w:proofErr w:type="spellEnd"/>
      <w:r w:rsidRPr="00CC4EAE">
        <w:rPr>
          <w:rFonts w:ascii="Calibri" w:eastAsia="Calibri" w:hAnsi="Calibri" w:cs="Constantia"/>
          <w:sz w:val="22"/>
          <w:szCs w:val="22"/>
          <w:lang w:val="es-CL"/>
        </w:rPr>
        <w:t xml:space="preserve"> su </w:t>
      </w:r>
      <w:proofErr w:type="spellStart"/>
      <w:r w:rsidRPr="00CC4EAE">
        <w:rPr>
          <w:rFonts w:ascii="Calibri" w:eastAsia="Calibri" w:hAnsi="Calibri" w:cs="Constantia"/>
          <w:sz w:val="22"/>
          <w:szCs w:val="22"/>
          <w:lang w:val="es-CL"/>
        </w:rPr>
        <w:t>transparentne</w:t>
      </w:r>
      <w:proofErr w:type="spellEnd"/>
      <w:r w:rsidRPr="00CC4EAE">
        <w:rPr>
          <w:rFonts w:ascii="Calibri" w:eastAsia="Calibri" w:hAnsi="Calibri" w:cs="Constantia"/>
          <w:sz w:val="22"/>
          <w:szCs w:val="22"/>
          <w:lang w:val="es-CL"/>
        </w:rPr>
        <w:t xml:space="preserve">, a </w:t>
      </w:r>
      <w:proofErr w:type="spellStart"/>
      <w:r w:rsidRPr="00CC4EAE">
        <w:rPr>
          <w:rFonts w:ascii="Calibri" w:eastAsia="Calibri" w:hAnsi="Calibri" w:cs="Constantia"/>
          <w:sz w:val="22"/>
          <w:szCs w:val="22"/>
          <w:lang w:val="es-CL"/>
        </w:rPr>
        <w:t>polugodišnji</w:t>
      </w:r>
      <w:proofErr w:type="spellEnd"/>
      <w:r w:rsidRPr="00CC4EAE">
        <w:rPr>
          <w:rFonts w:ascii="Calibri" w:eastAsia="Calibri" w:hAnsi="Calibri" w:cs="Constantia"/>
          <w:sz w:val="22"/>
          <w:szCs w:val="22"/>
          <w:lang w:val="es-CL"/>
        </w:rPr>
        <w:t xml:space="preserve"> i </w:t>
      </w:r>
      <w:proofErr w:type="spellStart"/>
      <w:r w:rsidRPr="00CC4EAE">
        <w:rPr>
          <w:rFonts w:ascii="Calibri" w:eastAsia="Calibri" w:hAnsi="Calibri" w:cs="Constantia"/>
          <w:sz w:val="22"/>
          <w:szCs w:val="22"/>
          <w:lang w:val="es-CL"/>
        </w:rPr>
        <w:t>godišnji</w:t>
      </w:r>
      <w:proofErr w:type="spellEnd"/>
      <w:r w:rsidRPr="00CC4EAE">
        <w:rPr>
          <w:rFonts w:ascii="Calibri" w:eastAsia="Calibri" w:hAnsi="Calibri" w:cs="Constantia"/>
          <w:sz w:val="22"/>
          <w:szCs w:val="22"/>
          <w:lang w:val="es-CL"/>
        </w:rPr>
        <w:t xml:space="preserve"> </w:t>
      </w:r>
      <w:proofErr w:type="spellStart"/>
      <w:r w:rsidRPr="00CC4EAE">
        <w:rPr>
          <w:rFonts w:ascii="Calibri" w:eastAsia="Calibri" w:hAnsi="Calibri" w:cs="Constantia"/>
          <w:sz w:val="22"/>
          <w:szCs w:val="22"/>
          <w:lang w:val="es-CL"/>
        </w:rPr>
        <w:t>finansijski</w:t>
      </w:r>
      <w:proofErr w:type="spellEnd"/>
      <w:r w:rsidRPr="00CC4EAE">
        <w:rPr>
          <w:rFonts w:ascii="Calibri" w:eastAsia="Calibri" w:hAnsi="Calibri" w:cs="Constantia"/>
          <w:sz w:val="22"/>
          <w:szCs w:val="22"/>
          <w:lang w:val="es-CL"/>
        </w:rPr>
        <w:t xml:space="preserve"> </w:t>
      </w:r>
      <w:proofErr w:type="spellStart"/>
      <w:r w:rsidRPr="00CC4EAE">
        <w:rPr>
          <w:rFonts w:ascii="Calibri" w:eastAsia="Calibri" w:hAnsi="Calibri" w:cs="Constantia"/>
          <w:sz w:val="22"/>
          <w:szCs w:val="22"/>
          <w:lang w:val="es-CL"/>
        </w:rPr>
        <w:t>izveštaji</w:t>
      </w:r>
      <w:proofErr w:type="spellEnd"/>
      <w:r w:rsidRPr="00CC4EAE">
        <w:rPr>
          <w:rFonts w:ascii="Calibri" w:eastAsia="Calibri" w:hAnsi="Calibri" w:cs="Constantia"/>
          <w:sz w:val="22"/>
          <w:szCs w:val="22"/>
          <w:lang w:val="es-CL"/>
        </w:rPr>
        <w:t xml:space="preserve">, </w:t>
      </w:r>
      <w:proofErr w:type="spellStart"/>
      <w:r w:rsidRPr="00CC4EAE">
        <w:rPr>
          <w:rFonts w:ascii="Calibri" w:eastAsia="Calibri" w:hAnsi="Calibri" w:cs="Constantia"/>
          <w:sz w:val="22"/>
          <w:szCs w:val="22"/>
          <w:lang w:val="es-CL"/>
        </w:rPr>
        <w:t>zajedno</w:t>
      </w:r>
      <w:proofErr w:type="spellEnd"/>
      <w:r w:rsidRPr="00CC4EAE">
        <w:rPr>
          <w:rFonts w:ascii="Calibri" w:eastAsia="Calibri" w:hAnsi="Calibri" w:cs="Constantia"/>
          <w:sz w:val="22"/>
          <w:szCs w:val="22"/>
          <w:lang w:val="es-CL"/>
        </w:rPr>
        <w:t xml:space="preserve"> </w:t>
      </w:r>
      <w:proofErr w:type="spellStart"/>
      <w:r w:rsidRPr="00CC4EAE">
        <w:rPr>
          <w:rFonts w:ascii="Calibri" w:eastAsia="Calibri" w:hAnsi="Calibri" w:cs="Constantia"/>
          <w:sz w:val="22"/>
          <w:szCs w:val="22"/>
          <w:lang w:val="es-CL"/>
        </w:rPr>
        <w:t>sa</w:t>
      </w:r>
      <w:proofErr w:type="spellEnd"/>
      <w:r w:rsidRPr="00CC4EAE">
        <w:rPr>
          <w:rFonts w:ascii="Calibri" w:eastAsia="Calibri" w:hAnsi="Calibri" w:cs="Constantia"/>
          <w:sz w:val="22"/>
          <w:szCs w:val="22"/>
          <w:lang w:val="es-CL"/>
        </w:rPr>
        <w:t xml:space="preserve"> </w:t>
      </w:r>
      <w:proofErr w:type="spellStart"/>
      <w:r w:rsidRPr="00CC4EAE">
        <w:rPr>
          <w:rFonts w:ascii="Calibri" w:eastAsia="Calibri" w:hAnsi="Calibri" w:cs="Constantia"/>
          <w:sz w:val="22"/>
          <w:szCs w:val="22"/>
          <w:lang w:val="es-CL"/>
        </w:rPr>
        <w:t>mišljenjem</w:t>
      </w:r>
      <w:proofErr w:type="spellEnd"/>
      <w:r w:rsidRPr="00CC4EAE">
        <w:rPr>
          <w:rFonts w:ascii="Calibri" w:eastAsia="Calibri" w:hAnsi="Calibri" w:cs="Constantia"/>
          <w:sz w:val="22"/>
          <w:szCs w:val="22"/>
          <w:lang w:val="es-CL"/>
        </w:rPr>
        <w:t xml:space="preserve"> </w:t>
      </w:r>
      <w:proofErr w:type="spellStart"/>
      <w:r w:rsidRPr="00CC4EAE">
        <w:rPr>
          <w:rFonts w:ascii="Calibri" w:eastAsia="Calibri" w:hAnsi="Calibri" w:cs="Constantia"/>
          <w:sz w:val="22"/>
          <w:szCs w:val="22"/>
          <w:lang w:val="es-CL"/>
        </w:rPr>
        <w:t>nezavisnog</w:t>
      </w:r>
      <w:proofErr w:type="spellEnd"/>
      <w:r w:rsidRPr="00CC4EAE">
        <w:rPr>
          <w:rFonts w:ascii="Calibri" w:eastAsia="Calibri" w:hAnsi="Calibri" w:cs="Constantia"/>
          <w:sz w:val="22"/>
          <w:szCs w:val="22"/>
          <w:lang w:val="es-CL"/>
        </w:rPr>
        <w:t xml:space="preserve"> </w:t>
      </w:r>
      <w:proofErr w:type="spellStart"/>
      <w:r w:rsidRPr="00CC4EAE">
        <w:rPr>
          <w:rFonts w:ascii="Calibri" w:eastAsia="Calibri" w:hAnsi="Calibri" w:cs="Constantia"/>
          <w:sz w:val="22"/>
          <w:szCs w:val="22"/>
          <w:lang w:val="es-CL"/>
        </w:rPr>
        <w:t>revizora</w:t>
      </w:r>
      <w:proofErr w:type="spellEnd"/>
      <w:r w:rsidRPr="00CC4EAE">
        <w:rPr>
          <w:rFonts w:ascii="Calibri" w:eastAsia="Calibri" w:hAnsi="Calibri" w:cs="Constantia"/>
          <w:sz w:val="22"/>
          <w:szCs w:val="22"/>
          <w:lang w:val="es-CL"/>
        </w:rPr>
        <w:t>,</w:t>
      </w:r>
      <w:r w:rsidR="002D5E9A">
        <w:rPr>
          <w:rFonts w:ascii="Calibri" w:eastAsia="Calibri" w:hAnsi="Calibri" w:cs="Constantia"/>
          <w:sz w:val="22"/>
          <w:szCs w:val="22"/>
          <w:lang w:val="es-CL"/>
        </w:rPr>
        <w:t xml:space="preserve"> te </w:t>
      </w:r>
      <w:proofErr w:type="spellStart"/>
      <w:r w:rsidR="002D5E9A">
        <w:rPr>
          <w:rFonts w:ascii="Calibri" w:eastAsia="Calibri" w:hAnsi="Calibri" w:cs="Constantia"/>
          <w:sz w:val="22"/>
          <w:szCs w:val="22"/>
          <w:lang w:val="es-CL"/>
        </w:rPr>
        <w:t>izvještaje</w:t>
      </w:r>
      <w:bookmarkStart w:id="0" w:name="_GoBack"/>
      <w:bookmarkEnd w:id="0"/>
      <w:proofErr w:type="spellEnd"/>
      <w:r w:rsidR="002D5E9A">
        <w:rPr>
          <w:rFonts w:ascii="Calibri" w:eastAsia="Calibri" w:hAnsi="Calibri" w:cs="Constantia"/>
          <w:sz w:val="22"/>
          <w:szCs w:val="22"/>
          <w:lang w:val="es-CL"/>
        </w:rPr>
        <w:t xml:space="preserve"> o </w:t>
      </w:r>
      <w:proofErr w:type="spellStart"/>
      <w:r w:rsidR="002D5E9A">
        <w:rPr>
          <w:rFonts w:ascii="Calibri" w:eastAsia="Calibri" w:hAnsi="Calibri" w:cs="Constantia"/>
          <w:sz w:val="22"/>
          <w:szCs w:val="22"/>
          <w:lang w:val="es-CL"/>
        </w:rPr>
        <w:t>značajnim</w:t>
      </w:r>
      <w:proofErr w:type="spellEnd"/>
      <w:r w:rsidR="002D5E9A">
        <w:rPr>
          <w:rFonts w:ascii="Calibri" w:eastAsia="Calibri" w:hAnsi="Calibri" w:cs="Constantia"/>
          <w:sz w:val="22"/>
          <w:szCs w:val="22"/>
          <w:lang w:val="es-CL"/>
        </w:rPr>
        <w:t xml:space="preserve"> </w:t>
      </w:r>
      <w:proofErr w:type="spellStart"/>
      <w:r w:rsidR="002D5E9A">
        <w:rPr>
          <w:rFonts w:ascii="Calibri" w:eastAsia="Calibri" w:hAnsi="Calibri" w:cs="Constantia"/>
          <w:sz w:val="22"/>
          <w:szCs w:val="22"/>
          <w:lang w:val="es-CL"/>
        </w:rPr>
        <w:t>događajima</w:t>
      </w:r>
      <w:proofErr w:type="spellEnd"/>
      <w:r w:rsidR="002D5E9A">
        <w:rPr>
          <w:rFonts w:ascii="Calibri" w:eastAsia="Calibri" w:hAnsi="Calibri" w:cs="Constantia"/>
          <w:sz w:val="22"/>
          <w:szCs w:val="22"/>
          <w:lang w:val="es-CL"/>
        </w:rPr>
        <w:t xml:space="preserve"> i </w:t>
      </w:r>
      <w:proofErr w:type="spellStart"/>
      <w:r w:rsidR="002D5E9A">
        <w:rPr>
          <w:rFonts w:ascii="Calibri" w:eastAsia="Calibri" w:hAnsi="Calibri" w:cs="Constantia"/>
          <w:sz w:val="22"/>
          <w:szCs w:val="22"/>
          <w:lang w:val="es-CL"/>
        </w:rPr>
        <w:t>radnjama</w:t>
      </w:r>
      <w:proofErr w:type="spellEnd"/>
      <w:r w:rsidR="002D5E9A">
        <w:rPr>
          <w:rFonts w:ascii="Calibri" w:eastAsia="Calibri" w:hAnsi="Calibri" w:cs="Constantia"/>
          <w:sz w:val="22"/>
          <w:szCs w:val="22"/>
          <w:lang w:val="es-CL"/>
        </w:rPr>
        <w:t xml:space="preserve"> </w:t>
      </w:r>
      <w:r w:rsidR="006D6D4D" w:rsidRPr="00CC4EAE">
        <w:rPr>
          <w:rFonts w:ascii="Calibri" w:eastAsia="Calibri" w:hAnsi="Calibri" w:cs="Constantia"/>
          <w:sz w:val="22"/>
          <w:szCs w:val="22"/>
          <w:lang w:val="es-CL"/>
        </w:rPr>
        <w:t xml:space="preserve"> </w:t>
      </w:r>
      <w:r w:rsidRPr="001E3215">
        <w:rPr>
          <w:rFonts w:ascii="Calibri" w:hAnsi="Calibri" w:cs="Constantia"/>
          <w:sz w:val="22"/>
          <w:szCs w:val="22"/>
        </w:rPr>
        <w:t xml:space="preserve">objavljujemo na internet stranici Banjalučke berze, kao i na internet stranici </w:t>
      </w:r>
      <w:r>
        <w:rPr>
          <w:rFonts w:ascii="Calibri" w:hAnsi="Calibri" w:cs="Constantia"/>
          <w:sz w:val="22"/>
          <w:szCs w:val="22"/>
        </w:rPr>
        <w:t>D</w:t>
      </w:r>
      <w:r w:rsidRPr="001E3215">
        <w:rPr>
          <w:rFonts w:ascii="Calibri" w:hAnsi="Calibri" w:cs="Constantia"/>
          <w:sz w:val="22"/>
          <w:szCs w:val="22"/>
        </w:rPr>
        <w:t>ruštva</w:t>
      </w:r>
      <w:r>
        <w:rPr>
          <w:rFonts w:ascii="Calibri" w:hAnsi="Calibri" w:cs="Constantia"/>
          <w:sz w:val="22"/>
          <w:szCs w:val="22"/>
        </w:rPr>
        <w:t>, na adresi:</w:t>
      </w:r>
      <w:r w:rsidR="006D6D4D">
        <w:rPr>
          <w:rFonts w:ascii="Calibri" w:hAnsi="Calibri" w:cs="Constantia"/>
          <w:sz w:val="22"/>
          <w:szCs w:val="22"/>
        </w:rPr>
        <w:t xml:space="preserve"> </w:t>
      </w:r>
      <w:hyperlink r:id="rId8" w:history="1">
        <w:r w:rsidRPr="001E3215">
          <w:rPr>
            <w:rStyle w:val="Hyperlink"/>
            <w:rFonts w:ascii="Calibri" w:hAnsi="Calibri"/>
            <w:sz w:val="22"/>
            <w:szCs w:val="22"/>
          </w:rPr>
          <w:t>www.</w:t>
        </w:r>
        <w:r w:rsidRPr="001E3215">
          <w:rPr>
            <w:rStyle w:val="Hyperlink"/>
            <w:rFonts w:ascii="Calibri" w:hAnsi="Calibri"/>
            <w:bCs/>
            <w:sz w:val="22"/>
            <w:szCs w:val="22"/>
          </w:rPr>
          <w:t>cmega</w:t>
        </w:r>
        <w:r w:rsidRPr="001E3215">
          <w:rPr>
            <w:rStyle w:val="Hyperlink"/>
            <w:rFonts w:ascii="Calibri" w:hAnsi="Calibri"/>
            <w:sz w:val="22"/>
            <w:szCs w:val="22"/>
          </w:rPr>
          <w:t>.</w:t>
        </w:r>
        <w:r w:rsidRPr="001E3215">
          <w:rPr>
            <w:rStyle w:val="Hyperlink"/>
            <w:rFonts w:ascii="Calibri" w:hAnsi="Calibri"/>
            <w:bCs/>
            <w:sz w:val="22"/>
            <w:szCs w:val="22"/>
          </w:rPr>
          <w:t>ba.</w:t>
        </w:r>
      </w:hyperlink>
    </w:p>
    <w:p w:rsidR="001065DF" w:rsidRPr="00377785" w:rsidRDefault="001065DF" w:rsidP="001065DF">
      <w:pPr>
        <w:ind w:left="6521"/>
        <w:jc w:val="center"/>
        <w:rPr>
          <w:rFonts w:ascii="Calibri" w:hAnsi="Calibri"/>
          <w:b/>
          <w:sz w:val="24"/>
          <w:szCs w:val="22"/>
          <w:lang w:val="sr-Latn-CS"/>
        </w:rPr>
      </w:pPr>
      <w:r w:rsidRPr="00377785">
        <w:rPr>
          <w:rFonts w:ascii="Calibri" w:hAnsi="Calibri"/>
          <w:b/>
          <w:sz w:val="24"/>
          <w:szCs w:val="22"/>
          <w:lang w:val="sr-Latn-CS"/>
        </w:rPr>
        <w:t>Upravni odbor</w:t>
      </w:r>
    </w:p>
    <w:p w:rsidR="001065DF" w:rsidRPr="00377785" w:rsidRDefault="001065DF" w:rsidP="001065DF">
      <w:pPr>
        <w:ind w:left="6521"/>
        <w:jc w:val="center"/>
        <w:rPr>
          <w:rFonts w:ascii="Calibri" w:hAnsi="Calibri"/>
          <w:b/>
          <w:sz w:val="24"/>
          <w:szCs w:val="22"/>
          <w:lang w:val="sr-Latn-CS"/>
        </w:rPr>
      </w:pPr>
      <w:r w:rsidRPr="00377785">
        <w:rPr>
          <w:rFonts w:ascii="Calibri" w:hAnsi="Calibri"/>
          <w:b/>
          <w:sz w:val="24"/>
          <w:szCs w:val="22"/>
          <w:lang w:val="sr-Latn-CS"/>
        </w:rPr>
        <w:t>AD „Čajavec-MEGA“</w:t>
      </w:r>
    </w:p>
    <w:p w:rsidR="008C0EAA" w:rsidRDefault="001065DF" w:rsidP="001065DF">
      <w:pPr>
        <w:ind w:left="6521"/>
        <w:jc w:val="center"/>
        <w:rPr>
          <w:rFonts w:ascii="Calibri" w:hAnsi="Calibri"/>
          <w:b/>
          <w:spacing w:val="60"/>
          <w:sz w:val="24"/>
          <w:szCs w:val="22"/>
          <w:lang w:val="sr-Latn-CS"/>
        </w:rPr>
      </w:pPr>
      <w:r w:rsidRPr="00377785">
        <w:rPr>
          <w:rFonts w:ascii="Calibri" w:hAnsi="Calibri"/>
          <w:b/>
          <w:spacing w:val="60"/>
          <w:sz w:val="24"/>
          <w:szCs w:val="22"/>
          <w:lang w:val="sr-Latn-CS"/>
        </w:rPr>
        <w:t xml:space="preserve"> Banjaluka</w:t>
      </w:r>
    </w:p>
    <w:sectPr w:rsidR="008C0EAA" w:rsidSect="00AE0816">
      <w:footerReference w:type="default" r:id="rId9"/>
      <w:pgSz w:w="12240" w:h="15840"/>
      <w:pgMar w:top="1134" w:right="1418" w:bottom="1134" w:left="1418"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75B" w:rsidRDefault="008A175B" w:rsidP="0071759A">
      <w:r>
        <w:separator/>
      </w:r>
    </w:p>
  </w:endnote>
  <w:endnote w:type="continuationSeparator" w:id="0">
    <w:p w:rsidR="008A175B" w:rsidRDefault="008A175B" w:rsidP="0071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onstant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0302"/>
      <w:docPartObj>
        <w:docPartGallery w:val="Page Numbers (Bottom of Page)"/>
        <w:docPartUnique/>
      </w:docPartObj>
    </w:sdtPr>
    <w:sdtEndPr>
      <w:rPr>
        <w:rFonts w:asciiTheme="minorHAnsi" w:hAnsiTheme="minorHAnsi"/>
        <w:i/>
        <w:sz w:val="20"/>
        <w:szCs w:val="20"/>
      </w:rPr>
    </w:sdtEndPr>
    <w:sdtContent>
      <w:sdt>
        <w:sdtPr>
          <w:id w:val="565050477"/>
          <w:docPartObj>
            <w:docPartGallery w:val="Page Numbers (Top of Page)"/>
            <w:docPartUnique/>
          </w:docPartObj>
        </w:sdtPr>
        <w:sdtEndPr>
          <w:rPr>
            <w:rFonts w:asciiTheme="minorHAnsi" w:hAnsiTheme="minorHAnsi"/>
            <w:i/>
            <w:sz w:val="20"/>
            <w:szCs w:val="20"/>
          </w:rPr>
        </w:sdtEndPr>
        <w:sdtContent>
          <w:p w:rsidR="00A057B8" w:rsidRPr="00566F39" w:rsidRDefault="00A057B8" w:rsidP="00566F39">
            <w:pPr>
              <w:pStyle w:val="Footer"/>
              <w:jc w:val="center"/>
              <w:rPr>
                <w:rFonts w:asciiTheme="minorHAnsi" w:hAnsiTheme="minorHAnsi"/>
                <w:i/>
                <w:sz w:val="20"/>
                <w:szCs w:val="20"/>
              </w:rPr>
            </w:pPr>
            <w:r w:rsidRPr="00566F39">
              <w:rPr>
                <w:rFonts w:asciiTheme="minorHAnsi" w:hAnsiTheme="minorHAnsi"/>
                <w:b/>
                <w:i/>
                <w:sz w:val="20"/>
                <w:szCs w:val="20"/>
              </w:rPr>
              <w:fldChar w:fldCharType="begin"/>
            </w:r>
            <w:r w:rsidRPr="00566F39">
              <w:rPr>
                <w:rFonts w:asciiTheme="minorHAnsi" w:hAnsiTheme="minorHAnsi"/>
                <w:b/>
                <w:i/>
                <w:sz w:val="20"/>
                <w:szCs w:val="20"/>
              </w:rPr>
              <w:instrText xml:space="preserve"> PAGE </w:instrText>
            </w:r>
            <w:r w:rsidRPr="00566F39">
              <w:rPr>
                <w:rFonts w:asciiTheme="minorHAnsi" w:hAnsiTheme="minorHAnsi"/>
                <w:b/>
                <w:i/>
                <w:sz w:val="20"/>
                <w:szCs w:val="20"/>
              </w:rPr>
              <w:fldChar w:fldCharType="separate"/>
            </w:r>
            <w:r>
              <w:rPr>
                <w:rFonts w:asciiTheme="minorHAnsi" w:hAnsiTheme="minorHAnsi"/>
                <w:b/>
                <w:i/>
                <w:noProof/>
                <w:sz w:val="20"/>
                <w:szCs w:val="20"/>
              </w:rPr>
              <w:t>8</w:t>
            </w:r>
            <w:r w:rsidRPr="00566F39">
              <w:rPr>
                <w:rFonts w:asciiTheme="minorHAnsi" w:hAnsiTheme="minorHAnsi"/>
                <w:b/>
                <w:i/>
                <w:sz w:val="20"/>
                <w:szCs w:val="20"/>
              </w:rPr>
              <w:fldChar w:fldCharType="end"/>
            </w:r>
            <w:r w:rsidRPr="00566F39">
              <w:rPr>
                <w:rFonts w:asciiTheme="minorHAnsi" w:hAnsiTheme="minorHAnsi"/>
                <w:b/>
                <w:i/>
                <w:sz w:val="20"/>
                <w:szCs w:val="20"/>
              </w:rPr>
              <w:t>/</w:t>
            </w:r>
            <w:r>
              <w:rPr>
                <w:rFonts w:asciiTheme="minorHAnsi" w:hAnsiTheme="minorHAnsi"/>
                <w:b/>
                <w:i/>
                <w:sz w:val="20"/>
                <w:szCs w:val="20"/>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75B" w:rsidRDefault="008A175B" w:rsidP="0071759A">
      <w:r>
        <w:separator/>
      </w:r>
    </w:p>
  </w:footnote>
  <w:footnote w:type="continuationSeparator" w:id="0">
    <w:p w:rsidR="008A175B" w:rsidRDefault="008A175B" w:rsidP="00717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56D8"/>
    <w:multiLevelType w:val="multilevel"/>
    <w:tmpl w:val="5CDE10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FB47C2"/>
    <w:multiLevelType w:val="hybridMultilevel"/>
    <w:tmpl w:val="65C4A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DD3653"/>
    <w:multiLevelType w:val="hybridMultilevel"/>
    <w:tmpl w:val="D1DC865C"/>
    <w:lvl w:ilvl="0" w:tplc="D3B8CE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F03C3"/>
    <w:multiLevelType w:val="hybridMultilevel"/>
    <w:tmpl w:val="141E3A0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15:restartNumberingAfterBreak="0">
    <w:nsid w:val="24626FA8"/>
    <w:multiLevelType w:val="hybridMultilevel"/>
    <w:tmpl w:val="7BACD522"/>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15:restartNumberingAfterBreak="0">
    <w:nsid w:val="339214AC"/>
    <w:multiLevelType w:val="hybridMultilevel"/>
    <w:tmpl w:val="89809CF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B55735E"/>
    <w:multiLevelType w:val="hybridMultilevel"/>
    <w:tmpl w:val="AE3234F2"/>
    <w:lvl w:ilvl="0" w:tplc="93DCD72C">
      <w:start w:val="1"/>
      <w:numFmt w:val="bullet"/>
      <w:lvlText w:val=""/>
      <w:lvlJc w:val="left"/>
      <w:pPr>
        <w:ind w:left="776" w:hanging="360"/>
      </w:pPr>
      <w:rPr>
        <w:rFonts w:ascii="Symbol" w:hAnsi="Symbol" w:hint="default"/>
        <w:sz w:val="24"/>
      </w:rPr>
    </w:lvl>
    <w:lvl w:ilvl="1" w:tplc="C8EECF08">
      <w:numFmt w:val="bullet"/>
      <w:lvlText w:val="-"/>
      <w:lvlJc w:val="left"/>
      <w:pPr>
        <w:ind w:left="1496" w:hanging="360"/>
      </w:pPr>
      <w:rPr>
        <w:rFonts w:ascii="Calibri" w:eastAsia="Times New Roman" w:hAnsi="Calibri" w:cs="Arial"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B753374"/>
    <w:multiLevelType w:val="multilevel"/>
    <w:tmpl w:val="A7CCE06A"/>
    <w:lvl w:ilvl="0">
      <w:start w:val="1"/>
      <w:numFmt w:val="bullet"/>
      <w:lvlText w:val=""/>
      <w:lvlJc w:val="left"/>
      <w:pPr>
        <w:ind w:left="2592" w:hanging="432"/>
      </w:pPr>
      <w:rPr>
        <w:rFonts w:ascii="Symbol" w:hAnsi="Symbol" w:hint="default"/>
      </w:rPr>
    </w:lvl>
    <w:lvl w:ilvl="1">
      <w:start w:val="1"/>
      <w:numFmt w:val="decimal"/>
      <w:pStyle w:val="Heading2"/>
      <w:lvlText w:val="%1.%2"/>
      <w:lvlJc w:val="left"/>
      <w:pPr>
        <w:ind w:left="2736" w:hanging="576"/>
      </w:pPr>
    </w:lvl>
    <w:lvl w:ilvl="2">
      <w:start w:val="1"/>
      <w:numFmt w:val="decimal"/>
      <w:pStyle w:val="Heading3"/>
      <w:lvlText w:val="%1.%2.%3"/>
      <w:lvlJc w:val="left"/>
      <w:pPr>
        <w:ind w:left="2880" w:hanging="720"/>
      </w:pPr>
    </w:lvl>
    <w:lvl w:ilvl="3">
      <w:start w:val="1"/>
      <w:numFmt w:val="decimal"/>
      <w:pStyle w:val="Heading4"/>
      <w:lvlText w:val="%1.%2.%3.%4"/>
      <w:lvlJc w:val="left"/>
      <w:pPr>
        <w:ind w:left="3024" w:hanging="864"/>
      </w:pPr>
    </w:lvl>
    <w:lvl w:ilvl="4">
      <w:start w:val="1"/>
      <w:numFmt w:val="decimal"/>
      <w:pStyle w:val="Heading5"/>
      <w:lvlText w:val="%1.%2.%3.%4.%5"/>
      <w:lvlJc w:val="left"/>
      <w:pPr>
        <w:ind w:left="3168" w:hanging="1008"/>
      </w:pPr>
    </w:lvl>
    <w:lvl w:ilvl="5">
      <w:start w:val="1"/>
      <w:numFmt w:val="decimal"/>
      <w:pStyle w:val="Heading6"/>
      <w:lvlText w:val="%1.%2.%3.%4.%5.%6"/>
      <w:lvlJc w:val="left"/>
      <w:pPr>
        <w:ind w:left="3312" w:hanging="1152"/>
      </w:pPr>
    </w:lvl>
    <w:lvl w:ilvl="6">
      <w:start w:val="1"/>
      <w:numFmt w:val="decimal"/>
      <w:pStyle w:val="Heading7"/>
      <w:lvlText w:val="%1.%2.%3.%4.%5.%6.%7"/>
      <w:lvlJc w:val="left"/>
      <w:pPr>
        <w:ind w:left="3456" w:hanging="1296"/>
      </w:pPr>
    </w:lvl>
    <w:lvl w:ilvl="7">
      <w:start w:val="1"/>
      <w:numFmt w:val="decimal"/>
      <w:pStyle w:val="Heading8"/>
      <w:lvlText w:val="%1.%2.%3.%4.%5.%6.%7.%8"/>
      <w:lvlJc w:val="left"/>
      <w:pPr>
        <w:ind w:left="3600" w:hanging="1440"/>
      </w:pPr>
    </w:lvl>
    <w:lvl w:ilvl="8">
      <w:start w:val="1"/>
      <w:numFmt w:val="decimal"/>
      <w:pStyle w:val="Heading9"/>
      <w:lvlText w:val="%1.%2.%3.%4.%5.%6.%7.%8.%9"/>
      <w:lvlJc w:val="left"/>
      <w:pPr>
        <w:ind w:left="3744" w:hanging="1584"/>
      </w:pPr>
    </w:lvl>
  </w:abstractNum>
  <w:abstractNum w:abstractNumId="8" w15:restartNumberingAfterBreak="0">
    <w:nsid w:val="3C2529A8"/>
    <w:multiLevelType w:val="multilevel"/>
    <w:tmpl w:val="F64426A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i/>
        <w:sz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60686A"/>
    <w:multiLevelType w:val="hybridMultilevel"/>
    <w:tmpl w:val="BB58B7D2"/>
    <w:lvl w:ilvl="0" w:tplc="27DA2ABC">
      <w:start w:val="5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D85CD1"/>
    <w:multiLevelType w:val="hybridMultilevel"/>
    <w:tmpl w:val="025CC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663B9D"/>
    <w:multiLevelType w:val="hybridMultilevel"/>
    <w:tmpl w:val="FA1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65709"/>
    <w:multiLevelType w:val="hybridMultilevel"/>
    <w:tmpl w:val="9440F90C"/>
    <w:lvl w:ilvl="0" w:tplc="D60C14C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997B65"/>
    <w:multiLevelType w:val="hybridMultilevel"/>
    <w:tmpl w:val="1C507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FC087D"/>
    <w:multiLevelType w:val="hybridMultilevel"/>
    <w:tmpl w:val="003E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C4A81"/>
    <w:multiLevelType w:val="hybridMultilevel"/>
    <w:tmpl w:val="756887E8"/>
    <w:lvl w:ilvl="0" w:tplc="7A047F1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8A041E"/>
    <w:multiLevelType w:val="multilevel"/>
    <w:tmpl w:val="0D92FA5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i/>
        <w:sz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D1262B1"/>
    <w:multiLevelType w:val="hybridMultilevel"/>
    <w:tmpl w:val="E60266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43EC3"/>
    <w:multiLevelType w:val="multilevel"/>
    <w:tmpl w:val="88A6BC9A"/>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6"/>
  </w:num>
  <w:num w:numId="3">
    <w:abstractNumId w:val="18"/>
  </w:num>
  <w:num w:numId="4">
    <w:abstractNumId w:val="0"/>
  </w:num>
  <w:num w:numId="5">
    <w:abstractNumId w:val="8"/>
  </w:num>
  <w:num w:numId="6">
    <w:abstractNumId w:val="11"/>
  </w:num>
  <w:num w:numId="7">
    <w:abstractNumId w:val="16"/>
  </w:num>
  <w:num w:numId="8">
    <w:abstractNumId w:val="12"/>
  </w:num>
  <w:num w:numId="9">
    <w:abstractNumId w:val="15"/>
  </w:num>
  <w:num w:numId="10">
    <w:abstractNumId w:val="17"/>
  </w:num>
  <w:num w:numId="11">
    <w:abstractNumId w:val="13"/>
  </w:num>
  <w:num w:numId="12">
    <w:abstractNumId w:val="5"/>
  </w:num>
  <w:num w:numId="13">
    <w:abstractNumId w:val="10"/>
  </w:num>
  <w:num w:numId="14">
    <w:abstractNumId w:val="2"/>
  </w:num>
  <w:num w:numId="15">
    <w:abstractNumId w:val="4"/>
  </w:num>
  <w:num w:numId="16">
    <w:abstractNumId w:val="3"/>
  </w:num>
  <w:num w:numId="17">
    <w:abstractNumId w:val="1"/>
  </w:num>
  <w:num w:numId="18">
    <w:abstractNumId w:val="9"/>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0B"/>
    <w:rsid w:val="00003FEB"/>
    <w:rsid w:val="00004DFA"/>
    <w:rsid w:val="00005C11"/>
    <w:rsid w:val="00006432"/>
    <w:rsid w:val="00007ADD"/>
    <w:rsid w:val="000101C2"/>
    <w:rsid w:val="00010C04"/>
    <w:rsid w:val="00013548"/>
    <w:rsid w:val="00013828"/>
    <w:rsid w:val="000141A0"/>
    <w:rsid w:val="0001510F"/>
    <w:rsid w:val="00015734"/>
    <w:rsid w:val="00015EC1"/>
    <w:rsid w:val="0001673C"/>
    <w:rsid w:val="000173D9"/>
    <w:rsid w:val="00020D32"/>
    <w:rsid w:val="0002382B"/>
    <w:rsid w:val="000246AF"/>
    <w:rsid w:val="0002534B"/>
    <w:rsid w:val="000258EF"/>
    <w:rsid w:val="00030972"/>
    <w:rsid w:val="000318D9"/>
    <w:rsid w:val="000349F0"/>
    <w:rsid w:val="00036133"/>
    <w:rsid w:val="00036FDF"/>
    <w:rsid w:val="00037A2D"/>
    <w:rsid w:val="00042621"/>
    <w:rsid w:val="00043020"/>
    <w:rsid w:val="00044EA1"/>
    <w:rsid w:val="000455A5"/>
    <w:rsid w:val="00046461"/>
    <w:rsid w:val="00046CA0"/>
    <w:rsid w:val="000502F5"/>
    <w:rsid w:val="00052126"/>
    <w:rsid w:val="00052931"/>
    <w:rsid w:val="0005367C"/>
    <w:rsid w:val="000539F4"/>
    <w:rsid w:val="00055336"/>
    <w:rsid w:val="00055A9D"/>
    <w:rsid w:val="00055D13"/>
    <w:rsid w:val="000579F3"/>
    <w:rsid w:val="00061781"/>
    <w:rsid w:val="000649BE"/>
    <w:rsid w:val="000726B6"/>
    <w:rsid w:val="0007296A"/>
    <w:rsid w:val="00073913"/>
    <w:rsid w:val="000774A0"/>
    <w:rsid w:val="00077636"/>
    <w:rsid w:val="00080076"/>
    <w:rsid w:val="00080596"/>
    <w:rsid w:val="00080B1E"/>
    <w:rsid w:val="00081119"/>
    <w:rsid w:val="00084F98"/>
    <w:rsid w:val="00085D4E"/>
    <w:rsid w:val="00092879"/>
    <w:rsid w:val="000938E6"/>
    <w:rsid w:val="000976C0"/>
    <w:rsid w:val="00097E35"/>
    <w:rsid w:val="000A30C1"/>
    <w:rsid w:val="000A640E"/>
    <w:rsid w:val="000A70FE"/>
    <w:rsid w:val="000A7306"/>
    <w:rsid w:val="000B2519"/>
    <w:rsid w:val="000B2AEB"/>
    <w:rsid w:val="000B4832"/>
    <w:rsid w:val="000B64B5"/>
    <w:rsid w:val="000C023E"/>
    <w:rsid w:val="000C2AD1"/>
    <w:rsid w:val="000C5191"/>
    <w:rsid w:val="000C586A"/>
    <w:rsid w:val="000C5AE2"/>
    <w:rsid w:val="000D00D8"/>
    <w:rsid w:val="000D03A3"/>
    <w:rsid w:val="000D0C9E"/>
    <w:rsid w:val="000D1F94"/>
    <w:rsid w:val="000D31CD"/>
    <w:rsid w:val="000D48D9"/>
    <w:rsid w:val="000E0CF1"/>
    <w:rsid w:val="000E2545"/>
    <w:rsid w:val="000E6E7C"/>
    <w:rsid w:val="000F2CAC"/>
    <w:rsid w:val="000F4C24"/>
    <w:rsid w:val="000F619C"/>
    <w:rsid w:val="000F6387"/>
    <w:rsid w:val="000F7D23"/>
    <w:rsid w:val="00103AB8"/>
    <w:rsid w:val="00104150"/>
    <w:rsid w:val="001042B1"/>
    <w:rsid w:val="0010631B"/>
    <w:rsid w:val="001065DF"/>
    <w:rsid w:val="00107B83"/>
    <w:rsid w:val="00107CB4"/>
    <w:rsid w:val="00120A8F"/>
    <w:rsid w:val="0012420A"/>
    <w:rsid w:val="00124B35"/>
    <w:rsid w:val="0013344E"/>
    <w:rsid w:val="001336E6"/>
    <w:rsid w:val="0014302E"/>
    <w:rsid w:val="001431A4"/>
    <w:rsid w:val="00144CDE"/>
    <w:rsid w:val="00145859"/>
    <w:rsid w:val="001459CA"/>
    <w:rsid w:val="00146114"/>
    <w:rsid w:val="001465BA"/>
    <w:rsid w:val="00150716"/>
    <w:rsid w:val="001511F8"/>
    <w:rsid w:val="00155292"/>
    <w:rsid w:val="001600F3"/>
    <w:rsid w:val="001605CB"/>
    <w:rsid w:val="00161DEC"/>
    <w:rsid w:val="001640BB"/>
    <w:rsid w:val="00166270"/>
    <w:rsid w:val="00166447"/>
    <w:rsid w:val="0016671A"/>
    <w:rsid w:val="00170E2F"/>
    <w:rsid w:val="00170E78"/>
    <w:rsid w:val="001718B1"/>
    <w:rsid w:val="00172707"/>
    <w:rsid w:val="00173F8B"/>
    <w:rsid w:val="001758EA"/>
    <w:rsid w:val="001821F9"/>
    <w:rsid w:val="00182C3D"/>
    <w:rsid w:val="001832CF"/>
    <w:rsid w:val="001853FA"/>
    <w:rsid w:val="00186521"/>
    <w:rsid w:val="00186932"/>
    <w:rsid w:val="00186FC9"/>
    <w:rsid w:val="0019095D"/>
    <w:rsid w:val="00190B98"/>
    <w:rsid w:val="0019328C"/>
    <w:rsid w:val="00194251"/>
    <w:rsid w:val="00194DEE"/>
    <w:rsid w:val="001955AD"/>
    <w:rsid w:val="00196552"/>
    <w:rsid w:val="001A0040"/>
    <w:rsid w:val="001A0486"/>
    <w:rsid w:val="001A436D"/>
    <w:rsid w:val="001A6120"/>
    <w:rsid w:val="001A6E28"/>
    <w:rsid w:val="001A77A9"/>
    <w:rsid w:val="001B2D07"/>
    <w:rsid w:val="001B3178"/>
    <w:rsid w:val="001B418A"/>
    <w:rsid w:val="001B751E"/>
    <w:rsid w:val="001C1383"/>
    <w:rsid w:val="001C1DA9"/>
    <w:rsid w:val="001C3F1E"/>
    <w:rsid w:val="001C470C"/>
    <w:rsid w:val="001C4AE4"/>
    <w:rsid w:val="001C611D"/>
    <w:rsid w:val="001C6AC3"/>
    <w:rsid w:val="001C6EF0"/>
    <w:rsid w:val="001D02C1"/>
    <w:rsid w:val="001D15B4"/>
    <w:rsid w:val="001D1959"/>
    <w:rsid w:val="001D1EA3"/>
    <w:rsid w:val="001D2096"/>
    <w:rsid w:val="001D2209"/>
    <w:rsid w:val="001D4795"/>
    <w:rsid w:val="001D4812"/>
    <w:rsid w:val="001D766E"/>
    <w:rsid w:val="001E3215"/>
    <w:rsid w:val="001F3CA4"/>
    <w:rsid w:val="001F441C"/>
    <w:rsid w:val="001F450B"/>
    <w:rsid w:val="001F4FEC"/>
    <w:rsid w:val="001F7DE5"/>
    <w:rsid w:val="0020397B"/>
    <w:rsid w:val="00204635"/>
    <w:rsid w:val="002112BC"/>
    <w:rsid w:val="002135BB"/>
    <w:rsid w:val="0021379D"/>
    <w:rsid w:val="002140A3"/>
    <w:rsid w:val="002156E1"/>
    <w:rsid w:val="00216201"/>
    <w:rsid w:val="00220451"/>
    <w:rsid w:val="0022289B"/>
    <w:rsid w:val="00222B13"/>
    <w:rsid w:val="00225064"/>
    <w:rsid w:val="00225312"/>
    <w:rsid w:val="002259A6"/>
    <w:rsid w:val="00226652"/>
    <w:rsid w:val="00227F17"/>
    <w:rsid w:val="00230952"/>
    <w:rsid w:val="002333E8"/>
    <w:rsid w:val="00234792"/>
    <w:rsid w:val="00235BCC"/>
    <w:rsid w:val="00236B9C"/>
    <w:rsid w:val="00236CBD"/>
    <w:rsid w:val="002405DD"/>
    <w:rsid w:val="0024193A"/>
    <w:rsid w:val="00244B42"/>
    <w:rsid w:val="002459E3"/>
    <w:rsid w:val="00246D61"/>
    <w:rsid w:val="00246EC4"/>
    <w:rsid w:val="00247C9C"/>
    <w:rsid w:val="00250BD8"/>
    <w:rsid w:val="002516CA"/>
    <w:rsid w:val="00251BBC"/>
    <w:rsid w:val="00252279"/>
    <w:rsid w:val="00252E82"/>
    <w:rsid w:val="00253683"/>
    <w:rsid w:val="00254922"/>
    <w:rsid w:val="00256BDB"/>
    <w:rsid w:val="0026088E"/>
    <w:rsid w:val="0026169C"/>
    <w:rsid w:val="00265A5D"/>
    <w:rsid w:val="0026755D"/>
    <w:rsid w:val="002703DF"/>
    <w:rsid w:val="00270958"/>
    <w:rsid w:val="00271732"/>
    <w:rsid w:val="00271CC9"/>
    <w:rsid w:val="00272205"/>
    <w:rsid w:val="00274D62"/>
    <w:rsid w:val="00280992"/>
    <w:rsid w:val="0028470C"/>
    <w:rsid w:val="00285A53"/>
    <w:rsid w:val="00286A92"/>
    <w:rsid w:val="00286C76"/>
    <w:rsid w:val="00287E36"/>
    <w:rsid w:val="00294660"/>
    <w:rsid w:val="0029772B"/>
    <w:rsid w:val="002A1430"/>
    <w:rsid w:val="002A7509"/>
    <w:rsid w:val="002B064B"/>
    <w:rsid w:val="002B6417"/>
    <w:rsid w:val="002B7681"/>
    <w:rsid w:val="002C1FC6"/>
    <w:rsid w:val="002C3203"/>
    <w:rsid w:val="002C3C1C"/>
    <w:rsid w:val="002C4B6A"/>
    <w:rsid w:val="002D065B"/>
    <w:rsid w:val="002D5AD6"/>
    <w:rsid w:val="002D5E9A"/>
    <w:rsid w:val="002D7DE0"/>
    <w:rsid w:val="002E02D5"/>
    <w:rsid w:val="002E0E4C"/>
    <w:rsid w:val="002E4431"/>
    <w:rsid w:val="002E4F2C"/>
    <w:rsid w:val="002E52D0"/>
    <w:rsid w:val="002E60A5"/>
    <w:rsid w:val="002E7E1A"/>
    <w:rsid w:val="002F1731"/>
    <w:rsid w:val="002F317F"/>
    <w:rsid w:val="002F4E0B"/>
    <w:rsid w:val="003038FE"/>
    <w:rsid w:val="00304E3E"/>
    <w:rsid w:val="00305D7A"/>
    <w:rsid w:val="00310CA1"/>
    <w:rsid w:val="0031274E"/>
    <w:rsid w:val="0031445E"/>
    <w:rsid w:val="00314970"/>
    <w:rsid w:val="003157DB"/>
    <w:rsid w:val="00322F1A"/>
    <w:rsid w:val="003231C9"/>
    <w:rsid w:val="00323879"/>
    <w:rsid w:val="00323BED"/>
    <w:rsid w:val="0032726E"/>
    <w:rsid w:val="0032796E"/>
    <w:rsid w:val="0033022D"/>
    <w:rsid w:val="00330513"/>
    <w:rsid w:val="003315C5"/>
    <w:rsid w:val="003327FF"/>
    <w:rsid w:val="003338CF"/>
    <w:rsid w:val="00336A62"/>
    <w:rsid w:val="00337C9E"/>
    <w:rsid w:val="003424B8"/>
    <w:rsid w:val="00346354"/>
    <w:rsid w:val="00347A3E"/>
    <w:rsid w:val="00350183"/>
    <w:rsid w:val="003523CE"/>
    <w:rsid w:val="00354BC9"/>
    <w:rsid w:val="00355445"/>
    <w:rsid w:val="0035604D"/>
    <w:rsid w:val="0036065B"/>
    <w:rsid w:val="003608E6"/>
    <w:rsid w:val="00363F96"/>
    <w:rsid w:val="00366BDC"/>
    <w:rsid w:val="003670CD"/>
    <w:rsid w:val="00367997"/>
    <w:rsid w:val="003711DC"/>
    <w:rsid w:val="00371E19"/>
    <w:rsid w:val="00373AE1"/>
    <w:rsid w:val="00374AA1"/>
    <w:rsid w:val="0037635F"/>
    <w:rsid w:val="00376967"/>
    <w:rsid w:val="00376C26"/>
    <w:rsid w:val="00376FC6"/>
    <w:rsid w:val="00377785"/>
    <w:rsid w:val="003805AA"/>
    <w:rsid w:val="0038171B"/>
    <w:rsid w:val="00381B94"/>
    <w:rsid w:val="00384309"/>
    <w:rsid w:val="00385A1F"/>
    <w:rsid w:val="0038759F"/>
    <w:rsid w:val="00391DA7"/>
    <w:rsid w:val="003928A8"/>
    <w:rsid w:val="0039795D"/>
    <w:rsid w:val="003A791E"/>
    <w:rsid w:val="003B209E"/>
    <w:rsid w:val="003B438C"/>
    <w:rsid w:val="003B6641"/>
    <w:rsid w:val="003C0055"/>
    <w:rsid w:val="003C179A"/>
    <w:rsid w:val="003C1E2A"/>
    <w:rsid w:val="003C39CA"/>
    <w:rsid w:val="003C4067"/>
    <w:rsid w:val="003C633D"/>
    <w:rsid w:val="003C6E30"/>
    <w:rsid w:val="003C7CEE"/>
    <w:rsid w:val="003D0D38"/>
    <w:rsid w:val="003D158E"/>
    <w:rsid w:val="003D167D"/>
    <w:rsid w:val="003D2297"/>
    <w:rsid w:val="003D4282"/>
    <w:rsid w:val="003D46C2"/>
    <w:rsid w:val="003D58D5"/>
    <w:rsid w:val="003D71DF"/>
    <w:rsid w:val="003E03BF"/>
    <w:rsid w:val="003E1959"/>
    <w:rsid w:val="003E2D4C"/>
    <w:rsid w:val="003E2EE0"/>
    <w:rsid w:val="003E5D73"/>
    <w:rsid w:val="003E69AE"/>
    <w:rsid w:val="003F0D1F"/>
    <w:rsid w:val="003F2EA5"/>
    <w:rsid w:val="003F3B88"/>
    <w:rsid w:val="003F3E81"/>
    <w:rsid w:val="003F5441"/>
    <w:rsid w:val="003F55C3"/>
    <w:rsid w:val="003F5E33"/>
    <w:rsid w:val="00400467"/>
    <w:rsid w:val="00402220"/>
    <w:rsid w:val="00402ABD"/>
    <w:rsid w:val="00402CCE"/>
    <w:rsid w:val="0040416E"/>
    <w:rsid w:val="00405078"/>
    <w:rsid w:val="00405C2F"/>
    <w:rsid w:val="00406F72"/>
    <w:rsid w:val="0040757C"/>
    <w:rsid w:val="0041004A"/>
    <w:rsid w:val="00411186"/>
    <w:rsid w:val="0041445B"/>
    <w:rsid w:val="0041758C"/>
    <w:rsid w:val="00421C72"/>
    <w:rsid w:val="00422F81"/>
    <w:rsid w:val="004236B9"/>
    <w:rsid w:val="00423821"/>
    <w:rsid w:val="00423953"/>
    <w:rsid w:val="00423E89"/>
    <w:rsid w:val="004269E1"/>
    <w:rsid w:val="00431F30"/>
    <w:rsid w:val="00432874"/>
    <w:rsid w:val="00436195"/>
    <w:rsid w:val="00436573"/>
    <w:rsid w:val="004405CF"/>
    <w:rsid w:val="004427E7"/>
    <w:rsid w:val="00443AE7"/>
    <w:rsid w:val="004450BD"/>
    <w:rsid w:val="00445689"/>
    <w:rsid w:val="0045111A"/>
    <w:rsid w:val="0045226D"/>
    <w:rsid w:val="00455932"/>
    <w:rsid w:val="00456CAD"/>
    <w:rsid w:val="004604EA"/>
    <w:rsid w:val="00460CF6"/>
    <w:rsid w:val="00461C71"/>
    <w:rsid w:val="00461F41"/>
    <w:rsid w:val="00462214"/>
    <w:rsid w:val="004626C2"/>
    <w:rsid w:val="004626E5"/>
    <w:rsid w:val="00462AE1"/>
    <w:rsid w:val="00466774"/>
    <w:rsid w:val="00467CC9"/>
    <w:rsid w:val="004726D2"/>
    <w:rsid w:val="0047565C"/>
    <w:rsid w:val="00477C4D"/>
    <w:rsid w:val="0048060B"/>
    <w:rsid w:val="004807ED"/>
    <w:rsid w:val="00481102"/>
    <w:rsid w:val="00481756"/>
    <w:rsid w:val="00483726"/>
    <w:rsid w:val="00483B84"/>
    <w:rsid w:val="0048467D"/>
    <w:rsid w:val="00484ACF"/>
    <w:rsid w:val="004862EC"/>
    <w:rsid w:val="00486DE0"/>
    <w:rsid w:val="00490DFD"/>
    <w:rsid w:val="0049155C"/>
    <w:rsid w:val="004931D4"/>
    <w:rsid w:val="00493B8C"/>
    <w:rsid w:val="00494DB3"/>
    <w:rsid w:val="00495D54"/>
    <w:rsid w:val="00496A37"/>
    <w:rsid w:val="00496F5F"/>
    <w:rsid w:val="00497903"/>
    <w:rsid w:val="004A0C49"/>
    <w:rsid w:val="004A22EF"/>
    <w:rsid w:val="004A2F5F"/>
    <w:rsid w:val="004A408E"/>
    <w:rsid w:val="004A569A"/>
    <w:rsid w:val="004A6D70"/>
    <w:rsid w:val="004B2C85"/>
    <w:rsid w:val="004B7D2C"/>
    <w:rsid w:val="004C0C82"/>
    <w:rsid w:val="004C1302"/>
    <w:rsid w:val="004C1777"/>
    <w:rsid w:val="004C1F46"/>
    <w:rsid w:val="004C3934"/>
    <w:rsid w:val="004C6C00"/>
    <w:rsid w:val="004D3727"/>
    <w:rsid w:val="004D5099"/>
    <w:rsid w:val="004D50E8"/>
    <w:rsid w:val="004D59F6"/>
    <w:rsid w:val="004D64DB"/>
    <w:rsid w:val="004D78CD"/>
    <w:rsid w:val="004E2084"/>
    <w:rsid w:val="004E69DB"/>
    <w:rsid w:val="004F08CB"/>
    <w:rsid w:val="004F5CBB"/>
    <w:rsid w:val="005003A1"/>
    <w:rsid w:val="00501456"/>
    <w:rsid w:val="005027CC"/>
    <w:rsid w:val="005027D1"/>
    <w:rsid w:val="005031AE"/>
    <w:rsid w:val="00506E54"/>
    <w:rsid w:val="005100FD"/>
    <w:rsid w:val="00512309"/>
    <w:rsid w:val="005128F1"/>
    <w:rsid w:val="00512C6B"/>
    <w:rsid w:val="00514EA7"/>
    <w:rsid w:val="00515D7E"/>
    <w:rsid w:val="005164E2"/>
    <w:rsid w:val="00517E2E"/>
    <w:rsid w:val="005217DB"/>
    <w:rsid w:val="00521E0F"/>
    <w:rsid w:val="005228F2"/>
    <w:rsid w:val="00522991"/>
    <w:rsid w:val="00525298"/>
    <w:rsid w:val="005312F3"/>
    <w:rsid w:val="00531A9F"/>
    <w:rsid w:val="00531F73"/>
    <w:rsid w:val="00532494"/>
    <w:rsid w:val="005342DD"/>
    <w:rsid w:val="0053456B"/>
    <w:rsid w:val="00534AB1"/>
    <w:rsid w:val="005409CF"/>
    <w:rsid w:val="00543604"/>
    <w:rsid w:val="0054383E"/>
    <w:rsid w:val="00543AE4"/>
    <w:rsid w:val="00545161"/>
    <w:rsid w:val="005459FD"/>
    <w:rsid w:val="00547A9D"/>
    <w:rsid w:val="00547BFF"/>
    <w:rsid w:val="0055072A"/>
    <w:rsid w:val="00550800"/>
    <w:rsid w:val="005528B4"/>
    <w:rsid w:val="0055331D"/>
    <w:rsid w:val="0055445E"/>
    <w:rsid w:val="0055491F"/>
    <w:rsid w:val="00557212"/>
    <w:rsid w:val="00562BD1"/>
    <w:rsid w:val="0056303D"/>
    <w:rsid w:val="00564C41"/>
    <w:rsid w:val="00566F39"/>
    <w:rsid w:val="00567846"/>
    <w:rsid w:val="005711FE"/>
    <w:rsid w:val="00572655"/>
    <w:rsid w:val="00573704"/>
    <w:rsid w:val="00576192"/>
    <w:rsid w:val="0058454C"/>
    <w:rsid w:val="00584966"/>
    <w:rsid w:val="00586C54"/>
    <w:rsid w:val="005877AE"/>
    <w:rsid w:val="00591BAD"/>
    <w:rsid w:val="00593075"/>
    <w:rsid w:val="00596177"/>
    <w:rsid w:val="00597A22"/>
    <w:rsid w:val="005A110F"/>
    <w:rsid w:val="005A1ACC"/>
    <w:rsid w:val="005A1CA1"/>
    <w:rsid w:val="005A789F"/>
    <w:rsid w:val="005B5BDD"/>
    <w:rsid w:val="005B66AB"/>
    <w:rsid w:val="005C3796"/>
    <w:rsid w:val="005C4DFC"/>
    <w:rsid w:val="005C5195"/>
    <w:rsid w:val="005C5D39"/>
    <w:rsid w:val="005C6960"/>
    <w:rsid w:val="005C7B4A"/>
    <w:rsid w:val="005C7F89"/>
    <w:rsid w:val="005D11D9"/>
    <w:rsid w:val="005D2FEA"/>
    <w:rsid w:val="005E4F4F"/>
    <w:rsid w:val="005F058A"/>
    <w:rsid w:val="005F1BDA"/>
    <w:rsid w:val="005F28BC"/>
    <w:rsid w:val="005F3618"/>
    <w:rsid w:val="005F55B5"/>
    <w:rsid w:val="005F66B5"/>
    <w:rsid w:val="005F68AA"/>
    <w:rsid w:val="005F7188"/>
    <w:rsid w:val="00600A08"/>
    <w:rsid w:val="00602264"/>
    <w:rsid w:val="00603D11"/>
    <w:rsid w:val="00603E82"/>
    <w:rsid w:val="00606710"/>
    <w:rsid w:val="0061165B"/>
    <w:rsid w:val="00612AF0"/>
    <w:rsid w:val="00612ECC"/>
    <w:rsid w:val="006142EB"/>
    <w:rsid w:val="00622E42"/>
    <w:rsid w:val="0062429F"/>
    <w:rsid w:val="006272B0"/>
    <w:rsid w:val="00631262"/>
    <w:rsid w:val="006354BC"/>
    <w:rsid w:val="0063670C"/>
    <w:rsid w:val="00640C3B"/>
    <w:rsid w:val="00645401"/>
    <w:rsid w:val="00646F9A"/>
    <w:rsid w:val="00651715"/>
    <w:rsid w:val="006529C8"/>
    <w:rsid w:val="0065312B"/>
    <w:rsid w:val="00656533"/>
    <w:rsid w:val="00662320"/>
    <w:rsid w:val="00671A4B"/>
    <w:rsid w:val="00673761"/>
    <w:rsid w:val="00674A81"/>
    <w:rsid w:val="00675377"/>
    <w:rsid w:val="00675999"/>
    <w:rsid w:val="00676500"/>
    <w:rsid w:val="0067699C"/>
    <w:rsid w:val="006832C0"/>
    <w:rsid w:val="00687B67"/>
    <w:rsid w:val="00690203"/>
    <w:rsid w:val="00690630"/>
    <w:rsid w:val="006918D6"/>
    <w:rsid w:val="00691C82"/>
    <w:rsid w:val="006932FC"/>
    <w:rsid w:val="0069660A"/>
    <w:rsid w:val="00697311"/>
    <w:rsid w:val="006A37A5"/>
    <w:rsid w:val="006A5424"/>
    <w:rsid w:val="006A6A98"/>
    <w:rsid w:val="006A7219"/>
    <w:rsid w:val="006A7FCD"/>
    <w:rsid w:val="006B7609"/>
    <w:rsid w:val="006C2590"/>
    <w:rsid w:val="006C2D01"/>
    <w:rsid w:val="006C3167"/>
    <w:rsid w:val="006C3DFA"/>
    <w:rsid w:val="006C5D1C"/>
    <w:rsid w:val="006C5E73"/>
    <w:rsid w:val="006C6BB6"/>
    <w:rsid w:val="006C7B33"/>
    <w:rsid w:val="006D00C1"/>
    <w:rsid w:val="006D1F91"/>
    <w:rsid w:val="006D26B2"/>
    <w:rsid w:val="006D5434"/>
    <w:rsid w:val="006D6A3F"/>
    <w:rsid w:val="006D6D4D"/>
    <w:rsid w:val="006E086B"/>
    <w:rsid w:val="006E25C7"/>
    <w:rsid w:val="006E4344"/>
    <w:rsid w:val="006E5FAC"/>
    <w:rsid w:val="006E67E1"/>
    <w:rsid w:val="006F0479"/>
    <w:rsid w:val="006F15C0"/>
    <w:rsid w:val="006F20A6"/>
    <w:rsid w:val="006F2859"/>
    <w:rsid w:val="006F6886"/>
    <w:rsid w:val="006F6955"/>
    <w:rsid w:val="006F6FDE"/>
    <w:rsid w:val="006F7AD1"/>
    <w:rsid w:val="006F7FD0"/>
    <w:rsid w:val="00701E35"/>
    <w:rsid w:val="0070364D"/>
    <w:rsid w:val="00703D4E"/>
    <w:rsid w:val="00705463"/>
    <w:rsid w:val="007058FF"/>
    <w:rsid w:val="00710C9C"/>
    <w:rsid w:val="00711250"/>
    <w:rsid w:val="00712017"/>
    <w:rsid w:val="00715252"/>
    <w:rsid w:val="0071759A"/>
    <w:rsid w:val="00721236"/>
    <w:rsid w:val="007235F6"/>
    <w:rsid w:val="00723DC5"/>
    <w:rsid w:val="00731410"/>
    <w:rsid w:val="00731EEC"/>
    <w:rsid w:val="00734FD9"/>
    <w:rsid w:val="007415D0"/>
    <w:rsid w:val="00744D21"/>
    <w:rsid w:val="007473D0"/>
    <w:rsid w:val="0074741A"/>
    <w:rsid w:val="0075083D"/>
    <w:rsid w:val="00751FCC"/>
    <w:rsid w:val="007538B9"/>
    <w:rsid w:val="0075456C"/>
    <w:rsid w:val="00756EA6"/>
    <w:rsid w:val="00760900"/>
    <w:rsid w:val="00760ECC"/>
    <w:rsid w:val="00766DD0"/>
    <w:rsid w:val="00766EA7"/>
    <w:rsid w:val="00771BE6"/>
    <w:rsid w:val="00772796"/>
    <w:rsid w:val="00772BCB"/>
    <w:rsid w:val="007737D3"/>
    <w:rsid w:val="007774FE"/>
    <w:rsid w:val="00783295"/>
    <w:rsid w:val="007834F2"/>
    <w:rsid w:val="00784253"/>
    <w:rsid w:val="0078515C"/>
    <w:rsid w:val="00791545"/>
    <w:rsid w:val="00791D47"/>
    <w:rsid w:val="007927B9"/>
    <w:rsid w:val="0079353E"/>
    <w:rsid w:val="0079493F"/>
    <w:rsid w:val="00795821"/>
    <w:rsid w:val="007A1D89"/>
    <w:rsid w:val="007A55D9"/>
    <w:rsid w:val="007A675E"/>
    <w:rsid w:val="007A6775"/>
    <w:rsid w:val="007B0D4F"/>
    <w:rsid w:val="007B1AFB"/>
    <w:rsid w:val="007B35F4"/>
    <w:rsid w:val="007B366B"/>
    <w:rsid w:val="007B45B6"/>
    <w:rsid w:val="007C3E40"/>
    <w:rsid w:val="007C5C92"/>
    <w:rsid w:val="007D0E99"/>
    <w:rsid w:val="007D14C4"/>
    <w:rsid w:val="007D6872"/>
    <w:rsid w:val="007D71A4"/>
    <w:rsid w:val="007E0626"/>
    <w:rsid w:val="007E0FC0"/>
    <w:rsid w:val="007E4A46"/>
    <w:rsid w:val="007E526C"/>
    <w:rsid w:val="007E5B58"/>
    <w:rsid w:val="007E5C9E"/>
    <w:rsid w:val="007E6688"/>
    <w:rsid w:val="007F0217"/>
    <w:rsid w:val="007F1B74"/>
    <w:rsid w:val="007F3EEB"/>
    <w:rsid w:val="007F5037"/>
    <w:rsid w:val="007F5832"/>
    <w:rsid w:val="007F69E9"/>
    <w:rsid w:val="007F6E5D"/>
    <w:rsid w:val="00806499"/>
    <w:rsid w:val="00806A84"/>
    <w:rsid w:val="00810D22"/>
    <w:rsid w:val="00810D87"/>
    <w:rsid w:val="00812BB7"/>
    <w:rsid w:val="0081765D"/>
    <w:rsid w:val="008179C7"/>
    <w:rsid w:val="0082045E"/>
    <w:rsid w:val="00821467"/>
    <w:rsid w:val="00825E70"/>
    <w:rsid w:val="00826E45"/>
    <w:rsid w:val="00830B81"/>
    <w:rsid w:val="00831289"/>
    <w:rsid w:val="00831836"/>
    <w:rsid w:val="00832CE4"/>
    <w:rsid w:val="008337F3"/>
    <w:rsid w:val="00834795"/>
    <w:rsid w:val="00834EA3"/>
    <w:rsid w:val="00836626"/>
    <w:rsid w:val="00844432"/>
    <w:rsid w:val="00844FBF"/>
    <w:rsid w:val="00846127"/>
    <w:rsid w:val="00847BED"/>
    <w:rsid w:val="00850469"/>
    <w:rsid w:val="008517FC"/>
    <w:rsid w:val="00851ABE"/>
    <w:rsid w:val="00852547"/>
    <w:rsid w:val="00855007"/>
    <w:rsid w:val="00861E1E"/>
    <w:rsid w:val="008633C2"/>
    <w:rsid w:val="00863D8B"/>
    <w:rsid w:val="00864987"/>
    <w:rsid w:val="0086606F"/>
    <w:rsid w:val="008750D8"/>
    <w:rsid w:val="00875B82"/>
    <w:rsid w:val="00877AFE"/>
    <w:rsid w:val="00882717"/>
    <w:rsid w:val="00883031"/>
    <w:rsid w:val="00883891"/>
    <w:rsid w:val="00886470"/>
    <w:rsid w:val="00893BA9"/>
    <w:rsid w:val="008A0373"/>
    <w:rsid w:val="008A0F8F"/>
    <w:rsid w:val="008A175B"/>
    <w:rsid w:val="008A79E0"/>
    <w:rsid w:val="008B2C79"/>
    <w:rsid w:val="008B304C"/>
    <w:rsid w:val="008B400F"/>
    <w:rsid w:val="008B402D"/>
    <w:rsid w:val="008B4138"/>
    <w:rsid w:val="008B4DEC"/>
    <w:rsid w:val="008B72A6"/>
    <w:rsid w:val="008C0EAA"/>
    <w:rsid w:val="008C2F4F"/>
    <w:rsid w:val="008C4C32"/>
    <w:rsid w:val="008C59E4"/>
    <w:rsid w:val="008C7894"/>
    <w:rsid w:val="008D271F"/>
    <w:rsid w:val="008D281A"/>
    <w:rsid w:val="008D3F73"/>
    <w:rsid w:val="008D45DD"/>
    <w:rsid w:val="008E1E3D"/>
    <w:rsid w:val="008E3FD4"/>
    <w:rsid w:val="008E4254"/>
    <w:rsid w:val="008E483E"/>
    <w:rsid w:val="008E4B72"/>
    <w:rsid w:val="008E500C"/>
    <w:rsid w:val="008E53AC"/>
    <w:rsid w:val="008E7924"/>
    <w:rsid w:val="008F05DD"/>
    <w:rsid w:val="008F0FA4"/>
    <w:rsid w:val="008F59EC"/>
    <w:rsid w:val="008F6B13"/>
    <w:rsid w:val="00900300"/>
    <w:rsid w:val="00901686"/>
    <w:rsid w:val="00901943"/>
    <w:rsid w:val="0090279D"/>
    <w:rsid w:val="00904633"/>
    <w:rsid w:val="00906759"/>
    <w:rsid w:val="0091063E"/>
    <w:rsid w:val="00911B19"/>
    <w:rsid w:val="0091218F"/>
    <w:rsid w:val="009143F5"/>
    <w:rsid w:val="009160B3"/>
    <w:rsid w:val="00916C1A"/>
    <w:rsid w:val="00921A4F"/>
    <w:rsid w:val="00921DD3"/>
    <w:rsid w:val="00922056"/>
    <w:rsid w:val="00923ADE"/>
    <w:rsid w:val="00925A53"/>
    <w:rsid w:val="00926C14"/>
    <w:rsid w:val="009303C0"/>
    <w:rsid w:val="009305C4"/>
    <w:rsid w:val="00931269"/>
    <w:rsid w:val="00931B0F"/>
    <w:rsid w:val="00932C3F"/>
    <w:rsid w:val="00933E3B"/>
    <w:rsid w:val="00933E5C"/>
    <w:rsid w:val="0093608B"/>
    <w:rsid w:val="00937DCD"/>
    <w:rsid w:val="00944D8F"/>
    <w:rsid w:val="00946D28"/>
    <w:rsid w:val="009503C5"/>
    <w:rsid w:val="009506D7"/>
    <w:rsid w:val="00950A65"/>
    <w:rsid w:val="00951EC3"/>
    <w:rsid w:val="00957218"/>
    <w:rsid w:val="00960142"/>
    <w:rsid w:val="00962CBF"/>
    <w:rsid w:val="00964AC2"/>
    <w:rsid w:val="009655ED"/>
    <w:rsid w:val="00967470"/>
    <w:rsid w:val="009716F6"/>
    <w:rsid w:val="00974519"/>
    <w:rsid w:val="009746C6"/>
    <w:rsid w:val="00987DA6"/>
    <w:rsid w:val="009938C8"/>
    <w:rsid w:val="009946E7"/>
    <w:rsid w:val="00996A18"/>
    <w:rsid w:val="009A49F6"/>
    <w:rsid w:val="009A4B43"/>
    <w:rsid w:val="009B027D"/>
    <w:rsid w:val="009B1E7F"/>
    <w:rsid w:val="009B4E64"/>
    <w:rsid w:val="009B539E"/>
    <w:rsid w:val="009B6515"/>
    <w:rsid w:val="009C0CE2"/>
    <w:rsid w:val="009C1304"/>
    <w:rsid w:val="009C2EB2"/>
    <w:rsid w:val="009C4A35"/>
    <w:rsid w:val="009C6435"/>
    <w:rsid w:val="009D0A0C"/>
    <w:rsid w:val="009D0E15"/>
    <w:rsid w:val="009D3034"/>
    <w:rsid w:val="009D41C3"/>
    <w:rsid w:val="009D5228"/>
    <w:rsid w:val="009D6209"/>
    <w:rsid w:val="009D7C81"/>
    <w:rsid w:val="009E1844"/>
    <w:rsid w:val="009E6A54"/>
    <w:rsid w:val="009F60B6"/>
    <w:rsid w:val="00A009E7"/>
    <w:rsid w:val="00A00C54"/>
    <w:rsid w:val="00A01470"/>
    <w:rsid w:val="00A041D7"/>
    <w:rsid w:val="00A05677"/>
    <w:rsid w:val="00A057B8"/>
    <w:rsid w:val="00A06E6B"/>
    <w:rsid w:val="00A11581"/>
    <w:rsid w:val="00A14328"/>
    <w:rsid w:val="00A15E75"/>
    <w:rsid w:val="00A16056"/>
    <w:rsid w:val="00A21187"/>
    <w:rsid w:val="00A23113"/>
    <w:rsid w:val="00A23B84"/>
    <w:rsid w:val="00A24887"/>
    <w:rsid w:val="00A27016"/>
    <w:rsid w:val="00A314EA"/>
    <w:rsid w:val="00A32372"/>
    <w:rsid w:val="00A33C0E"/>
    <w:rsid w:val="00A35B16"/>
    <w:rsid w:val="00A368A1"/>
    <w:rsid w:val="00A378A3"/>
    <w:rsid w:val="00A37BA9"/>
    <w:rsid w:val="00A410D5"/>
    <w:rsid w:val="00A42B54"/>
    <w:rsid w:val="00A42F28"/>
    <w:rsid w:val="00A45400"/>
    <w:rsid w:val="00A457E2"/>
    <w:rsid w:val="00A45AA3"/>
    <w:rsid w:val="00A4785D"/>
    <w:rsid w:val="00A54D6C"/>
    <w:rsid w:val="00A55661"/>
    <w:rsid w:val="00A558DC"/>
    <w:rsid w:val="00A57742"/>
    <w:rsid w:val="00A619AC"/>
    <w:rsid w:val="00A62E59"/>
    <w:rsid w:val="00A637FF"/>
    <w:rsid w:val="00A67A1C"/>
    <w:rsid w:val="00A70B7A"/>
    <w:rsid w:val="00A71C0C"/>
    <w:rsid w:val="00A72260"/>
    <w:rsid w:val="00A75B06"/>
    <w:rsid w:val="00A82A86"/>
    <w:rsid w:val="00A87B9B"/>
    <w:rsid w:val="00A911B1"/>
    <w:rsid w:val="00A911EC"/>
    <w:rsid w:val="00A96771"/>
    <w:rsid w:val="00AA2B30"/>
    <w:rsid w:val="00AA45F5"/>
    <w:rsid w:val="00AA4663"/>
    <w:rsid w:val="00AA59A6"/>
    <w:rsid w:val="00AA6568"/>
    <w:rsid w:val="00AB0D2C"/>
    <w:rsid w:val="00AB5373"/>
    <w:rsid w:val="00AB62CB"/>
    <w:rsid w:val="00AC2EA4"/>
    <w:rsid w:val="00AC43E5"/>
    <w:rsid w:val="00AC4691"/>
    <w:rsid w:val="00AC5DC9"/>
    <w:rsid w:val="00AD14EF"/>
    <w:rsid w:val="00AD27FE"/>
    <w:rsid w:val="00AD307B"/>
    <w:rsid w:val="00AD488B"/>
    <w:rsid w:val="00AD49DB"/>
    <w:rsid w:val="00AD5B0F"/>
    <w:rsid w:val="00AD6163"/>
    <w:rsid w:val="00AD7504"/>
    <w:rsid w:val="00AE0816"/>
    <w:rsid w:val="00AE1256"/>
    <w:rsid w:val="00AE13E2"/>
    <w:rsid w:val="00AE322E"/>
    <w:rsid w:val="00AE4CD2"/>
    <w:rsid w:val="00AE50C9"/>
    <w:rsid w:val="00AE5676"/>
    <w:rsid w:val="00AE5E2F"/>
    <w:rsid w:val="00AE7C22"/>
    <w:rsid w:val="00AF0FA4"/>
    <w:rsid w:val="00AF1976"/>
    <w:rsid w:val="00AF2470"/>
    <w:rsid w:val="00AF340A"/>
    <w:rsid w:val="00AF4628"/>
    <w:rsid w:val="00AF6324"/>
    <w:rsid w:val="00B00183"/>
    <w:rsid w:val="00B0159D"/>
    <w:rsid w:val="00B01F01"/>
    <w:rsid w:val="00B01F18"/>
    <w:rsid w:val="00B03D85"/>
    <w:rsid w:val="00B0763B"/>
    <w:rsid w:val="00B1248D"/>
    <w:rsid w:val="00B13E8F"/>
    <w:rsid w:val="00B13FB5"/>
    <w:rsid w:val="00B14440"/>
    <w:rsid w:val="00B15153"/>
    <w:rsid w:val="00B1562C"/>
    <w:rsid w:val="00B16F8C"/>
    <w:rsid w:val="00B2106E"/>
    <w:rsid w:val="00B212BA"/>
    <w:rsid w:val="00B2131B"/>
    <w:rsid w:val="00B218EE"/>
    <w:rsid w:val="00B224F2"/>
    <w:rsid w:val="00B26D73"/>
    <w:rsid w:val="00B40543"/>
    <w:rsid w:val="00B405A5"/>
    <w:rsid w:val="00B43CF9"/>
    <w:rsid w:val="00B47DA5"/>
    <w:rsid w:val="00B51752"/>
    <w:rsid w:val="00B518A5"/>
    <w:rsid w:val="00B521CF"/>
    <w:rsid w:val="00B53C89"/>
    <w:rsid w:val="00B53E6A"/>
    <w:rsid w:val="00B5748C"/>
    <w:rsid w:val="00B602B0"/>
    <w:rsid w:val="00B61692"/>
    <w:rsid w:val="00B633D1"/>
    <w:rsid w:val="00B64690"/>
    <w:rsid w:val="00B655A5"/>
    <w:rsid w:val="00B65938"/>
    <w:rsid w:val="00B72254"/>
    <w:rsid w:val="00B7391C"/>
    <w:rsid w:val="00B7467E"/>
    <w:rsid w:val="00B747DE"/>
    <w:rsid w:val="00B760F6"/>
    <w:rsid w:val="00B83713"/>
    <w:rsid w:val="00B85C12"/>
    <w:rsid w:val="00B8638A"/>
    <w:rsid w:val="00B87654"/>
    <w:rsid w:val="00B905C9"/>
    <w:rsid w:val="00B927B3"/>
    <w:rsid w:val="00B929F3"/>
    <w:rsid w:val="00B95124"/>
    <w:rsid w:val="00B959F4"/>
    <w:rsid w:val="00B95C71"/>
    <w:rsid w:val="00B96011"/>
    <w:rsid w:val="00B97B88"/>
    <w:rsid w:val="00BA1F6F"/>
    <w:rsid w:val="00BA4C2D"/>
    <w:rsid w:val="00BB2CE6"/>
    <w:rsid w:val="00BB5DE6"/>
    <w:rsid w:val="00BB6780"/>
    <w:rsid w:val="00BC1A1F"/>
    <w:rsid w:val="00BC1B3C"/>
    <w:rsid w:val="00BC1E72"/>
    <w:rsid w:val="00BC4137"/>
    <w:rsid w:val="00BC45E5"/>
    <w:rsid w:val="00BC6060"/>
    <w:rsid w:val="00BD3CB0"/>
    <w:rsid w:val="00BD3FF4"/>
    <w:rsid w:val="00BD560C"/>
    <w:rsid w:val="00BD6975"/>
    <w:rsid w:val="00BD7285"/>
    <w:rsid w:val="00BE4ADF"/>
    <w:rsid w:val="00BE5CAB"/>
    <w:rsid w:val="00BF1AFA"/>
    <w:rsid w:val="00BF294A"/>
    <w:rsid w:val="00BF6C1F"/>
    <w:rsid w:val="00BF7690"/>
    <w:rsid w:val="00C04C7F"/>
    <w:rsid w:val="00C11D7D"/>
    <w:rsid w:val="00C1468F"/>
    <w:rsid w:val="00C14A44"/>
    <w:rsid w:val="00C21332"/>
    <w:rsid w:val="00C21AD5"/>
    <w:rsid w:val="00C22446"/>
    <w:rsid w:val="00C2357F"/>
    <w:rsid w:val="00C24853"/>
    <w:rsid w:val="00C25097"/>
    <w:rsid w:val="00C269AF"/>
    <w:rsid w:val="00C30201"/>
    <w:rsid w:val="00C32606"/>
    <w:rsid w:val="00C327FC"/>
    <w:rsid w:val="00C3763A"/>
    <w:rsid w:val="00C4112E"/>
    <w:rsid w:val="00C41F7D"/>
    <w:rsid w:val="00C45C02"/>
    <w:rsid w:val="00C4626B"/>
    <w:rsid w:val="00C52825"/>
    <w:rsid w:val="00C55853"/>
    <w:rsid w:val="00C61C08"/>
    <w:rsid w:val="00C640C7"/>
    <w:rsid w:val="00C6412E"/>
    <w:rsid w:val="00C6697F"/>
    <w:rsid w:val="00C671E8"/>
    <w:rsid w:val="00C67E97"/>
    <w:rsid w:val="00C731D0"/>
    <w:rsid w:val="00C7436A"/>
    <w:rsid w:val="00C74BA3"/>
    <w:rsid w:val="00C74C6B"/>
    <w:rsid w:val="00C7746B"/>
    <w:rsid w:val="00C811CE"/>
    <w:rsid w:val="00C81271"/>
    <w:rsid w:val="00C855AC"/>
    <w:rsid w:val="00C8623B"/>
    <w:rsid w:val="00C921FD"/>
    <w:rsid w:val="00C92ACE"/>
    <w:rsid w:val="00C944A3"/>
    <w:rsid w:val="00CA1555"/>
    <w:rsid w:val="00CA3120"/>
    <w:rsid w:val="00CA415D"/>
    <w:rsid w:val="00CA4F3A"/>
    <w:rsid w:val="00CA528A"/>
    <w:rsid w:val="00CA56EE"/>
    <w:rsid w:val="00CA6A16"/>
    <w:rsid w:val="00CB1864"/>
    <w:rsid w:val="00CB3177"/>
    <w:rsid w:val="00CB44E0"/>
    <w:rsid w:val="00CB46AA"/>
    <w:rsid w:val="00CB4DD8"/>
    <w:rsid w:val="00CB4EAD"/>
    <w:rsid w:val="00CC25D8"/>
    <w:rsid w:val="00CC3B97"/>
    <w:rsid w:val="00CC4EAE"/>
    <w:rsid w:val="00CC5A65"/>
    <w:rsid w:val="00CD39CB"/>
    <w:rsid w:val="00CD42B1"/>
    <w:rsid w:val="00CD4429"/>
    <w:rsid w:val="00CD521A"/>
    <w:rsid w:val="00CE13C1"/>
    <w:rsid w:val="00CE1980"/>
    <w:rsid w:val="00CE4E99"/>
    <w:rsid w:val="00CF2196"/>
    <w:rsid w:val="00D0449B"/>
    <w:rsid w:val="00D045D2"/>
    <w:rsid w:val="00D06B36"/>
    <w:rsid w:val="00D1121D"/>
    <w:rsid w:val="00D11E56"/>
    <w:rsid w:val="00D14D07"/>
    <w:rsid w:val="00D15F8E"/>
    <w:rsid w:val="00D17F53"/>
    <w:rsid w:val="00D20B64"/>
    <w:rsid w:val="00D21961"/>
    <w:rsid w:val="00D220A5"/>
    <w:rsid w:val="00D23CDF"/>
    <w:rsid w:val="00D25BF9"/>
    <w:rsid w:val="00D277A6"/>
    <w:rsid w:val="00D27BA4"/>
    <w:rsid w:val="00D27C42"/>
    <w:rsid w:val="00D30D90"/>
    <w:rsid w:val="00D33A3C"/>
    <w:rsid w:val="00D34032"/>
    <w:rsid w:val="00D406D2"/>
    <w:rsid w:val="00D41055"/>
    <w:rsid w:val="00D43016"/>
    <w:rsid w:val="00D462AA"/>
    <w:rsid w:val="00D464BE"/>
    <w:rsid w:val="00D46C30"/>
    <w:rsid w:val="00D47F78"/>
    <w:rsid w:val="00D5264D"/>
    <w:rsid w:val="00D565EF"/>
    <w:rsid w:val="00D60394"/>
    <w:rsid w:val="00D653B0"/>
    <w:rsid w:val="00D70349"/>
    <w:rsid w:val="00D711F6"/>
    <w:rsid w:val="00D726F1"/>
    <w:rsid w:val="00D7275C"/>
    <w:rsid w:val="00D73E43"/>
    <w:rsid w:val="00D748C1"/>
    <w:rsid w:val="00D75E75"/>
    <w:rsid w:val="00D80075"/>
    <w:rsid w:val="00D81E1A"/>
    <w:rsid w:val="00D82EC2"/>
    <w:rsid w:val="00D853A6"/>
    <w:rsid w:val="00D8541A"/>
    <w:rsid w:val="00D862A7"/>
    <w:rsid w:val="00D8681F"/>
    <w:rsid w:val="00D904A0"/>
    <w:rsid w:val="00D9179D"/>
    <w:rsid w:val="00D95591"/>
    <w:rsid w:val="00D960F2"/>
    <w:rsid w:val="00D979BB"/>
    <w:rsid w:val="00DA1F42"/>
    <w:rsid w:val="00DA4849"/>
    <w:rsid w:val="00DA4F83"/>
    <w:rsid w:val="00DA7D07"/>
    <w:rsid w:val="00DA7DD1"/>
    <w:rsid w:val="00DB13BC"/>
    <w:rsid w:val="00DB19AC"/>
    <w:rsid w:val="00DB2A3A"/>
    <w:rsid w:val="00DB3318"/>
    <w:rsid w:val="00DB576D"/>
    <w:rsid w:val="00DB67CB"/>
    <w:rsid w:val="00DC01E7"/>
    <w:rsid w:val="00DC0826"/>
    <w:rsid w:val="00DC1168"/>
    <w:rsid w:val="00DC15A0"/>
    <w:rsid w:val="00DC31D3"/>
    <w:rsid w:val="00DC4E0C"/>
    <w:rsid w:val="00DC5261"/>
    <w:rsid w:val="00DC56DD"/>
    <w:rsid w:val="00DD01A6"/>
    <w:rsid w:val="00DD0ADC"/>
    <w:rsid w:val="00DD1185"/>
    <w:rsid w:val="00DD1687"/>
    <w:rsid w:val="00DD2B79"/>
    <w:rsid w:val="00DD4656"/>
    <w:rsid w:val="00DD7102"/>
    <w:rsid w:val="00DE3E0E"/>
    <w:rsid w:val="00DE452D"/>
    <w:rsid w:val="00DE633D"/>
    <w:rsid w:val="00DF07F3"/>
    <w:rsid w:val="00DF08D5"/>
    <w:rsid w:val="00DF0E4D"/>
    <w:rsid w:val="00E00615"/>
    <w:rsid w:val="00E009D4"/>
    <w:rsid w:val="00E02B19"/>
    <w:rsid w:val="00E03414"/>
    <w:rsid w:val="00E048A5"/>
    <w:rsid w:val="00E053C4"/>
    <w:rsid w:val="00E11E33"/>
    <w:rsid w:val="00E124D3"/>
    <w:rsid w:val="00E13B28"/>
    <w:rsid w:val="00E14018"/>
    <w:rsid w:val="00E14852"/>
    <w:rsid w:val="00E2064E"/>
    <w:rsid w:val="00E2275B"/>
    <w:rsid w:val="00E23146"/>
    <w:rsid w:val="00E24E56"/>
    <w:rsid w:val="00E252AE"/>
    <w:rsid w:val="00E31D60"/>
    <w:rsid w:val="00E3247E"/>
    <w:rsid w:val="00E33655"/>
    <w:rsid w:val="00E42AD1"/>
    <w:rsid w:val="00E43B40"/>
    <w:rsid w:val="00E454F4"/>
    <w:rsid w:val="00E46D4D"/>
    <w:rsid w:val="00E5125B"/>
    <w:rsid w:val="00E52253"/>
    <w:rsid w:val="00E54737"/>
    <w:rsid w:val="00E54FFC"/>
    <w:rsid w:val="00E56EA3"/>
    <w:rsid w:val="00E57326"/>
    <w:rsid w:val="00E6249A"/>
    <w:rsid w:val="00E657AB"/>
    <w:rsid w:val="00E67E5B"/>
    <w:rsid w:val="00E70025"/>
    <w:rsid w:val="00E704C5"/>
    <w:rsid w:val="00E723A0"/>
    <w:rsid w:val="00E72ECB"/>
    <w:rsid w:val="00E75211"/>
    <w:rsid w:val="00E75502"/>
    <w:rsid w:val="00E80DFC"/>
    <w:rsid w:val="00E81567"/>
    <w:rsid w:val="00E83AC1"/>
    <w:rsid w:val="00E83CC8"/>
    <w:rsid w:val="00E85557"/>
    <w:rsid w:val="00E867B2"/>
    <w:rsid w:val="00E867F3"/>
    <w:rsid w:val="00E86C83"/>
    <w:rsid w:val="00E87839"/>
    <w:rsid w:val="00E9004E"/>
    <w:rsid w:val="00E90D52"/>
    <w:rsid w:val="00E92D25"/>
    <w:rsid w:val="00E93295"/>
    <w:rsid w:val="00E95066"/>
    <w:rsid w:val="00E957A4"/>
    <w:rsid w:val="00E965E4"/>
    <w:rsid w:val="00EA01FD"/>
    <w:rsid w:val="00EA1BC2"/>
    <w:rsid w:val="00EA27B3"/>
    <w:rsid w:val="00EA3D20"/>
    <w:rsid w:val="00EA43B4"/>
    <w:rsid w:val="00EA49CC"/>
    <w:rsid w:val="00EA5077"/>
    <w:rsid w:val="00EA5087"/>
    <w:rsid w:val="00EA5B80"/>
    <w:rsid w:val="00EA7B7F"/>
    <w:rsid w:val="00EB0544"/>
    <w:rsid w:val="00EB09BD"/>
    <w:rsid w:val="00EB254E"/>
    <w:rsid w:val="00EB3348"/>
    <w:rsid w:val="00EB7FF0"/>
    <w:rsid w:val="00EC1063"/>
    <w:rsid w:val="00EC2AC0"/>
    <w:rsid w:val="00EC6A7D"/>
    <w:rsid w:val="00ED3462"/>
    <w:rsid w:val="00ED596F"/>
    <w:rsid w:val="00EE0AC9"/>
    <w:rsid w:val="00EE146B"/>
    <w:rsid w:val="00EE4C61"/>
    <w:rsid w:val="00EF030D"/>
    <w:rsid w:val="00EF1E0F"/>
    <w:rsid w:val="00EF28C1"/>
    <w:rsid w:val="00EF3CED"/>
    <w:rsid w:val="00EF4BC6"/>
    <w:rsid w:val="00F01AB8"/>
    <w:rsid w:val="00F028E5"/>
    <w:rsid w:val="00F03483"/>
    <w:rsid w:val="00F0358F"/>
    <w:rsid w:val="00F039DF"/>
    <w:rsid w:val="00F0484C"/>
    <w:rsid w:val="00F04C0B"/>
    <w:rsid w:val="00F05D34"/>
    <w:rsid w:val="00F06B43"/>
    <w:rsid w:val="00F10A6F"/>
    <w:rsid w:val="00F12DF1"/>
    <w:rsid w:val="00F12EB9"/>
    <w:rsid w:val="00F161A4"/>
    <w:rsid w:val="00F216D5"/>
    <w:rsid w:val="00F25F60"/>
    <w:rsid w:val="00F2614E"/>
    <w:rsid w:val="00F30C14"/>
    <w:rsid w:val="00F313B7"/>
    <w:rsid w:val="00F40235"/>
    <w:rsid w:val="00F41411"/>
    <w:rsid w:val="00F41E59"/>
    <w:rsid w:val="00F43072"/>
    <w:rsid w:val="00F516F7"/>
    <w:rsid w:val="00F520F2"/>
    <w:rsid w:val="00F53810"/>
    <w:rsid w:val="00F54AC2"/>
    <w:rsid w:val="00F54E94"/>
    <w:rsid w:val="00F622C5"/>
    <w:rsid w:val="00F62651"/>
    <w:rsid w:val="00F6611A"/>
    <w:rsid w:val="00F724C2"/>
    <w:rsid w:val="00F729F4"/>
    <w:rsid w:val="00F73AD8"/>
    <w:rsid w:val="00F76864"/>
    <w:rsid w:val="00F777EA"/>
    <w:rsid w:val="00F8355E"/>
    <w:rsid w:val="00F84DF6"/>
    <w:rsid w:val="00F85DB7"/>
    <w:rsid w:val="00F8627D"/>
    <w:rsid w:val="00F91936"/>
    <w:rsid w:val="00F91D0B"/>
    <w:rsid w:val="00F92A75"/>
    <w:rsid w:val="00F94E4A"/>
    <w:rsid w:val="00F94E8B"/>
    <w:rsid w:val="00F96CF0"/>
    <w:rsid w:val="00F97543"/>
    <w:rsid w:val="00FA1E36"/>
    <w:rsid w:val="00FA2F05"/>
    <w:rsid w:val="00FA36EE"/>
    <w:rsid w:val="00FA4F47"/>
    <w:rsid w:val="00FA6328"/>
    <w:rsid w:val="00FA6E37"/>
    <w:rsid w:val="00FB3A0A"/>
    <w:rsid w:val="00FB5573"/>
    <w:rsid w:val="00FC128B"/>
    <w:rsid w:val="00FC24FF"/>
    <w:rsid w:val="00FC482F"/>
    <w:rsid w:val="00FC6B78"/>
    <w:rsid w:val="00FC7BDF"/>
    <w:rsid w:val="00FD1ADE"/>
    <w:rsid w:val="00FD6F34"/>
    <w:rsid w:val="00FE2D17"/>
    <w:rsid w:val="00FE44E3"/>
    <w:rsid w:val="00FE4FE8"/>
    <w:rsid w:val="00FE65DE"/>
    <w:rsid w:val="00FE6F43"/>
    <w:rsid w:val="00FE7C0F"/>
    <w:rsid w:val="00FE7EE0"/>
    <w:rsid w:val="00FF0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3C9C"/>
  <w15:docId w15:val="{E16E44B4-D532-4EF2-A9B6-5D7EF720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BA" w:eastAsia="sr-Latn-B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50B"/>
    <w:rPr>
      <w:rFonts w:ascii="Times New Roman" w:eastAsia="Times New Roman" w:hAnsi="Times New Roman" w:cs="Arial"/>
      <w:sz w:val="28"/>
      <w:szCs w:val="24"/>
      <w:lang w:val="hr-HR" w:eastAsia="en-US"/>
    </w:rPr>
  </w:style>
  <w:style w:type="paragraph" w:styleId="Heading1">
    <w:name w:val="heading 1"/>
    <w:basedOn w:val="Normal"/>
    <w:next w:val="Normal"/>
    <w:link w:val="Heading1Char"/>
    <w:qFormat/>
    <w:rsid w:val="001F450B"/>
    <w:pPr>
      <w:keepNext/>
      <w:jc w:val="both"/>
      <w:outlineLvl w:val="0"/>
    </w:pPr>
    <w:rPr>
      <w:b/>
      <w:bCs/>
      <w:u w:val="single"/>
    </w:rPr>
  </w:style>
  <w:style w:type="paragraph" w:styleId="Heading2">
    <w:name w:val="heading 2"/>
    <w:basedOn w:val="Normal"/>
    <w:next w:val="Normal"/>
    <w:link w:val="Heading2Char"/>
    <w:unhideWhenUsed/>
    <w:qFormat/>
    <w:rsid w:val="001F450B"/>
    <w:pPr>
      <w:keepNext/>
      <w:numPr>
        <w:ilvl w:val="1"/>
        <w:numId w:val="1"/>
      </w:numPr>
      <w:jc w:val="both"/>
      <w:outlineLvl w:val="1"/>
    </w:pPr>
    <w:rPr>
      <w:b/>
      <w:sz w:val="24"/>
    </w:rPr>
  </w:style>
  <w:style w:type="paragraph" w:styleId="Heading3">
    <w:name w:val="heading 3"/>
    <w:basedOn w:val="Normal"/>
    <w:next w:val="Normal"/>
    <w:link w:val="Heading3Char"/>
    <w:unhideWhenUsed/>
    <w:qFormat/>
    <w:rsid w:val="001F450B"/>
    <w:pPr>
      <w:keepNext/>
      <w:numPr>
        <w:ilvl w:val="2"/>
        <w:numId w:val="1"/>
      </w:numPr>
      <w:jc w:val="center"/>
      <w:outlineLvl w:val="2"/>
    </w:pPr>
    <w:rPr>
      <w:sz w:val="52"/>
    </w:rPr>
  </w:style>
  <w:style w:type="paragraph" w:styleId="Heading4">
    <w:name w:val="heading 4"/>
    <w:basedOn w:val="Normal"/>
    <w:next w:val="Normal"/>
    <w:link w:val="Heading4Char"/>
    <w:unhideWhenUsed/>
    <w:qFormat/>
    <w:rsid w:val="001F450B"/>
    <w:pPr>
      <w:keepNext/>
      <w:numPr>
        <w:ilvl w:val="3"/>
        <w:numId w:val="1"/>
      </w:numPr>
      <w:jc w:val="center"/>
      <w:outlineLvl w:val="3"/>
    </w:pPr>
    <w:rPr>
      <w:sz w:val="32"/>
    </w:rPr>
  </w:style>
  <w:style w:type="paragraph" w:styleId="Heading5">
    <w:name w:val="heading 5"/>
    <w:basedOn w:val="Normal"/>
    <w:next w:val="Normal"/>
    <w:link w:val="Heading5Char"/>
    <w:unhideWhenUsed/>
    <w:qFormat/>
    <w:rsid w:val="001F450B"/>
    <w:pPr>
      <w:keepNext/>
      <w:numPr>
        <w:ilvl w:val="4"/>
        <w:numId w:val="1"/>
      </w:numPr>
      <w:jc w:val="center"/>
      <w:outlineLvl w:val="4"/>
    </w:pPr>
    <w:rPr>
      <w:rFonts w:cs="Times New Roman"/>
      <w:u w:val="single"/>
    </w:rPr>
  </w:style>
  <w:style w:type="paragraph" w:styleId="Heading6">
    <w:name w:val="heading 6"/>
    <w:basedOn w:val="Normal"/>
    <w:next w:val="Normal"/>
    <w:link w:val="Heading6Char"/>
    <w:unhideWhenUsed/>
    <w:qFormat/>
    <w:rsid w:val="001F450B"/>
    <w:pPr>
      <w:keepNext/>
      <w:numPr>
        <w:ilvl w:val="5"/>
        <w:numId w:val="1"/>
      </w:numPr>
      <w:outlineLvl w:val="5"/>
    </w:pPr>
    <w:rPr>
      <w:b/>
      <w:bCs/>
      <w:u w:val="single"/>
    </w:rPr>
  </w:style>
  <w:style w:type="paragraph" w:styleId="Heading7">
    <w:name w:val="heading 7"/>
    <w:basedOn w:val="Normal"/>
    <w:next w:val="Normal"/>
    <w:link w:val="Heading7Char"/>
    <w:unhideWhenUsed/>
    <w:qFormat/>
    <w:rsid w:val="001F450B"/>
    <w:pPr>
      <w:numPr>
        <w:ilvl w:val="6"/>
        <w:numId w:val="1"/>
      </w:numPr>
      <w:spacing w:before="240" w:after="60"/>
      <w:outlineLvl w:val="6"/>
    </w:pPr>
    <w:rPr>
      <w:rFonts w:ascii="Calibri" w:hAnsi="Calibri" w:cs="Times New Roman"/>
      <w:sz w:val="24"/>
    </w:rPr>
  </w:style>
  <w:style w:type="paragraph" w:styleId="Heading8">
    <w:name w:val="heading 8"/>
    <w:basedOn w:val="Normal"/>
    <w:next w:val="Normal"/>
    <w:link w:val="Heading8Char"/>
    <w:unhideWhenUsed/>
    <w:qFormat/>
    <w:rsid w:val="001F450B"/>
    <w:pPr>
      <w:numPr>
        <w:ilvl w:val="7"/>
        <w:numId w:val="1"/>
      </w:numPr>
      <w:spacing w:before="240" w:after="60"/>
      <w:outlineLvl w:val="7"/>
    </w:pPr>
    <w:rPr>
      <w:rFonts w:ascii="Calibri" w:hAnsi="Calibri" w:cs="Times New Roman"/>
      <w:i/>
      <w:iCs/>
      <w:sz w:val="24"/>
    </w:rPr>
  </w:style>
  <w:style w:type="paragraph" w:styleId="Heading9">
    <w:name w:val="heading 9"/>
    <w:basedOn w:val="Normal"/>
    <w:next w:val="Normal"/>
    <w:link w:val="Heading9Char"/>
    <w:unhideWhenUsed/>
    <w:qFormat/>
    <w:rsid w:val="001F450B"/>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50B"/>
    <w:rPr>
      <w:rFonts w:ascii="Times New Roman" w:eastAsia="Times New Roman" w:hAnsi="Times New Roman" w:cs="Arial"/>
      <w:b/>
      <w:bCs/>
      <w:sz w:val="28"/>
      <w:szCs w:val="24"/>
      <w:u w:val="single"/>
      <w:lang w:val="hr-HR"/>
    </w:rPr>
  </w:style>
  <w:style w:type="character" w:customStyle="1" w:styleId="Heading2Char">
    <w:name w:val="Heading 2 Char"/>
    <w:basedOn w:val="DefaultParagraphFont"/>
    <w:link w:val="Heading2"/>
    <w:rsid w:val="001F450B"/>
    <w:rPr>
      <w:rFonts w:ascii="Times New Roman" w:eastAsia="Times New Roman" w:hAnsi="Times New Roman" w:cs="Arial"/>
      <w:b/>
      <w:sz w:val="24"/>
      <w:szCs w:val="24"/>
      <w:lang w:val="hr-HR" w:eastAsia="en-US"/>
    </w:rPr>
  </w:style>
  <w:style w:type="character" w:customStyle="1" w:styleId="Heading3Char">
    <w:name w:val="Heading 3 Char"/>
    <w:basedOn w:val="DefaultParagraphFont"/>
    <w:link w:val="Heading3"/>
    <w:rsid w:val="001F450B"/>
    <w:rPr>
      <w:rFonts w:ascii="Times New Roman" w:eastAsia="Times New Roman" w:hAnsi="Times New Roman" w:cs="Arial"/>
      <w:sz w:val="52"/>
      <w:szCs w:val="24"/>
      <w:lang w:val="hr-HR" w:eastAsia="en-US"/>
    </w:rPr>
  </w:style>
  <w:style w:type="character" w:customStyle="1" w:styleId="Heading4Char">
    <w:name w:val="Heading 4 Char"/>
    <w:basedOn w:val="DefaultParagraphFont"/>
    <w:link w:val="Heading4"/>
    <w:rsid w:val="001F450B"/>
    <w:rPr>
      <w:rFonts w:ascii="Times New Roman" w:eastAsia="Times New Roman" w:hAnsi="Times New Roman" w:cs="Arial"/>
      <w:sz w:val="32"/>
      <w:szCs w:val="24"/>
      <w:lang w:val="hr-HR" w:eastAsia="en-US"/>
    </w:rPr>
  </w:style>
  <w:style w:type="character" w:customStyle="1" w:styleId="Heading5Char">
    <w:name w:val="Heading 5 Char"/>
    <w:basedOn w:val="DefaultParagraphFont"/>
    <w:link w:val="Heading5"/>
    <w:rsid w:val="001F450B"/>
    <w:rPr>
      <w:rFonts w:ascii="Times New Roman" w:eastAsia="Times New Roman" w:hAnsi="Times New Roman"/>
      <w:sz w:val="28"/>
      <w:szCs w:val="24"/>
      <w:u w:val="single"/>
      <w:lang w:val="hr-HR" w:eastAsia="en-US"/>
    </w:rPr>
  </w:style>
  <w:style w:type="character" w:customStyle="1" w:styleId="Heading6Char">
    <w:name w:val="Heading 6 Char"/>
    <w:basedOn w:val="DefaultParagraphFont"/>
    <w:link w:val="Heading6"/>
    <w:rsid w:val="001F450B"/>
    <w:rPr>
      <w:rFonts w:ascii="Times New Roman" w:eastAsia="Times New Roman" w:hAnsi="Times New Roman" w:cs="Arial"/>
      <w:b/>
      <w:bCs/>
      <w:sz w:val="28"/>
      <w:szCs w:val="24"/>
      <w:u w:val="single"/>
      <w:lang w:val="hr-HR" w:eastAsia="en-US"/>
    </w:rPr>
  </w:style>
  <w:style w:type="character" w:customStyle="1" w:styleId="Heading7Char">
    <w:name w:val="Heading 7 Char"/>
    <w:basedOn w:val="DefaultParagraphFont"/>
    <w:link w:val="Heading7"/>
    <w:rsid w:val="001F450B"/>
    <w:rPr>
      <w:rFonts w:eastAsia="Times New Roman"/>
      <w:sz w:val="24"/>
      <w:szCs w:val="24"/>
      <w:lang w:val="hr-HR" w:eastAsia="en-US"/>
    </w:rPr>
  </w:style>
  <w:style w:type="character" w:customStyle="1" w:styleId="Heading8Char">
    <w:name w:val="Heading 8 Char"/>
    <w:basedOn w:val="DefaultParagraphFont"/>
    <w:link w:val="Heading8"/>
    <w:rsid w:val="001F450B"/>
    <w:rPr>
      <w:rFonts w:eastAsia="Times New Roman"/>
      <w:i/>
      <w:iCs/>
      <w:sz w:val="24"/>
      <w:szCs w:val="24"/>
      <w:lang w:val="hr-HR" w:eastAsia="en-US"/>
    </w:rPr>
  </w:style>
  <w:style w:type="character" w:customStyle="1" w:styleId="Heading9Char">
    <w:name w:val="Heading 9 Char"/>
    <w:basedOn w:val="DefaultParagraphFont"/>
    <w:link w:val="Heading9"/>
    <w:rsid w:val="001F450B"/>
    <w:rPr>
      <w:rFonts w:ascii="Cambria" w:eastAsia="Times New Roman" w:hAnsi="Cambria"/>
      <w:sz w:val="22"/>
      <w:szCs w:val="22"/>
      <w:lang w:val="hr-HR" w:eastAsia="en-US"/>
    </w:rPr>
  </w:style>
  <w:style w:type="paragraph" w:styleId="Header">
    <w:name w:val="header"/>
    <w:basedOn w:val="Normal"/>
    <w:link w:val="HeaderChar"/>
    <w:uiPriority w:val="99"/>
    <w:unhideWhenUsed/>
    <w:rsid w:val="001F450B"/>
    <w:pPr>
      <w:tabs>
        <w:tab w:val="center" w:pos="4703"/>
        <w:tab w:val="right" w:pos="9406"/>
      </w:tabs>
    </w:pPr>
  </w:style>
  <w:style w:type="character" w:customStyle="1" w:styleId="HeaderChar">
    <w:name w:val="Header Char"/>
    <w:basedOn w:val="DefaultParagraphFont"/>
    <w:link w:val="Header"/>
    <w:uiPriority w:val="99"/>
    <w:rsid w:val="001F450B"/>
    <w:rPr>
      <w:rFonts w:ascii="Times New Roman" w:eastAsia="Times New Roman" w:hAnsi="Times New Roman" w:cs="Arial"/>
      <w:sz w:val="28"/>
      <w:szCs w:val="24"/>
      <w:lang w:val="hr-HR"/>
    </w:rPr>
  </w:style>
  <w:style w:type="character" w:customStyle="1" w:styleId="FooterChar">
    <w:name w:val="Footer Char"/>
    <w:basedOn w:val="DefaultParagraphFont"/>
    <w:link w:val="Footer"/>
    <w:uiPriority w:val="99"/>
    <w:rsid w:val="001F450B"/>
    <w:rPr>
      <w:rFonts w:ascii="Times New Roman" w:eastAsia="Times New Roman" w:hAnsi="Times New Roman" w:cs="Arial"/>
      <w:sz w:val="28"/>
      <w:szCs w:val="24"/>
      <w:lang w:val="hr-HR"/>
    </w:rPr>
  </w:style>
  <w:style w:type="paragraph" w:styleId="Footer">
    <w:name w:val="footer"/>
    <w:basedOn w:val="Normal"/>
    <w:link w:val="FooterChar"/>
    <w:uiPriority w:val="99"/>
    <w:unhideWhenUsed/>
    <w:rsid w:val="001F450B"/>
    <w:pPr>
      <w:tabs>
        <w:tab w:val="center" w:pos="4703"/>
        <w:tab w:val="right" w:pos="9406"/>
      </w:tabs>
    </w:pPr>
  </w:style>
  <w:style w:type="paragraph" w:styleId="Title">
    <w:name w:val="Title"/>
    <w:basedOn w:val="Normal"/>
    <w:link w:val="TitleChar"/>
    <w:qFormat/>
    <w:rsid w:val="001F450B"/>
    <w:pPr>
      <w:jc w:val="center"/>
    </w:pPr>
    <w:rPr>
      <w:b/>
      <w:bCs/>
    </w:rPr>
  </w:style>
  <w:style w:type="character" w:customStyle="1" w:styleId="TitleChar">
    <w:name w:val="Title Char"/>
    <w:basedOn w:val="DefaultParagraphFont"/>
    <w:link w:val="Title"/>
    <w:rsid w:val="001F450B"/>
    <w:rPr>
      <w:rFonts w:ascii="Times New Roman" w:eastAsia="Times New Roman" w:hAnsi="Times New Roman" w:cs="Arial"/>
      <w:b/>
      <w:bCs/>
      <w:sz w:val="28"/>
      <w:szCs w:val="24"/>
      <w:lang w:val="hr-HR"/>
    </w:rPr>
  </w:style>
  <w:style w:type="paragraph" w:styleId="BodyText">
    <w:name w:val="Body Text"/>
    <w:basedOn w:val="Normal"/>
    <w:link w:val="BodyTextChar"/>
    <w:unhideWhenUsed/>
    <w:rsid w:val="001F450B"/>
    <w:pPr>
      <w:jc w:val="both"/>
    </w:pPr>
    <w:rPr>
      <w:rFonts w:cs="Times New Roman"/>
    </w:rPr>
  </w:style>
  <w:style w:type="character" w:customStyle="1" w:styleId="BodyTextChar">
    <w:name w:val="Body Text Char"/>
    <w:basedOn w:val="DefaultParagraphFont"/>
    <w:link w:val="BodyText"/>
    <w:rsid w:val="001F450B"/>
    <w:rPr>
      <w:rFonts w:ascii="Times New Roman" w:eastAsia="Times New Roman" w:hAnsi="Times New Roman" w:cs="Times New Roman"/>
      <w:sz w:val="28"/>
      <w:szCs w:val="24"/>
      <w:lang w:val="hr-HR"/>
    </w:rPr>
  </w:style>
  <w:style w:type="character" w:customStyle="1" w:styleId="BodyTextIndentChar">
    <w:name w:val="Body Text Indent Char"/>
    <w:basedOn w:val="DefaultParagraphFont"/>
    <w:link w:val="BodyTextIndent"/>
    <w:semiHidden/>
    <w:rsid w:val="001F450B"/>
    <w:rPr>
      <w:rFonts w:ascii="Times New Roman" w:eastAsia="Times New Roman" w:hAnsi="Times New Roman" w:cs="Arial"/>
      <w:sz w:val="28"/>
      <w:szCs w:val="24"/>
      <w:lang w:val="hr-HR"/>
    </w:rPr>
  </w:style>
  <w:style w:type="paragraph" w:styleId="BodyTextIndent">
    <w:name w:val="Body Text Indent"/>
    <w:basedOn w:val="Normal"/>
    <w:link w:val="BodyTextIndentChar"/>
    <w:semiHidden/>
    <w:unhideWhenUsed/>
    <w:rsid w:val="001F450B"/>
    <w:pPr>
      <w:ind w:left="2100" w:hanging="1260"/>
    </w:pPr>
  </w:style>
  <w:style w:type="character" w:customStyle="1" w:styleId="SubtitleChar">
    <w:name w:val="Subtitle Char"/>
    <w:aliases w:val="Podnaslov Char"/>
    <w:basedOn w:val="DefaultParagraphFont"/>
    <w:link w:val="Subtitle"/>
    <w:uiPriority w:val="11"/>
    <w:locked/>
    <w:rsid w:val="001F450B"/>
    <w:rPr>
      <w:rFonts w:ascii="Times New Roman" w:eastAsia="Times New Roman" w:hAnsi="Times New Roman" w:cs="Times New Roman"/>
      <w:b/>
      <w:bCs/>
      <w:sz w:val="28"/>
      <w:szCs w:val="24"/>
      <w:lang w:val="hr-HR"/>
    </w:rPr>
  </w:style>
  <w:style w:type="paragraph" w:styleId="Subtitle">
    <w:name w:val="Subtitle"/>
    <w:aliases w:val="Podnaslov"/>
    <w:basedOn w:val="Normal"/>
    <w:link w:val="SubtitleChar"/>
    <w:qFormat/>
    <w:rsid w:val="001F450B"/>
    <w:pPr>
      <w:jc w:val="both"/>
    </w:pPr>
    <w:rPr>
      <w:rFonts w:cs="Times New Roman"/>
      <w:b/>
      <w:bCs/>
    </w:rPr>
  </w:style>
  <w:style w:type="character" w:customStyle="1" w:styleId="SubtitleChar1">
    <w:name w:val="Subtitle Char1"/>
    <w:aliases w:val="Podnaslov Char1"/>
    <w:basedOn w:val="DefaultParagraphFont"/>
    <w:uiPriority w:val="11"/>
    <w:rsid w:val="001F450B"/>
    <w:rPr>
      <w:rFonts w:ascii="Cambria" w:eastAsia="Times New Roman" w:hAnsi="Cambria" w:cs="Times New Roman"/>
      <w:i/>
      <w:iCs/>
      <w:color w:val="4F81BD"/>
      <w:spacing w:val="15"/>
      <w:sz w:val="24"/>
      <w:szCs w:val="24"/>
      <w:lang w:val="hr-HR"/>
    </w:rPr>
  </w:style>
  <w:style w:type="paragraph" w:styleId="BalloonText">
    <w:name w:val="Balloon Text"/>
    <w:basedOn w:val="Normal"/>
    <w:link w:val="BalloonTextChar1"/>
    <w:semiHidden/>
    <w:unhideWhenUsed/>
    <w:rsid w:val="001F450B"/>
    <w:rPr>
      <w:rFonts w:ascii="Tahoma" w:hAnsi="Tahoma" w:cs="Tahoma"/>
      <w:sz w:val="16"/>
      <w:szCs w:val="16"/>
    </w:rPr>
  </w:style>
  <w:style w:type="character" w:customStyle="1" w:styleId="BalloonTextChar1">
    <w:name w:val="Balloon Text Char1"/>
    <w:basedOn w:val="DefaultParagraphFont"/>
    <w:link w:val="BalloonText"/>
    <w:semiHidden/>
    <w:locked/>
    <w:rsid w:val="001F450B"/>
    <w:rPr>
      <w:rFonts w:ascii="Tahoma" w:eastAsia="Times New Roman" w:hAnsi="Tahoma" w:cs="Tahoma"/>
      <w:sz w:val="16"/>
      <w:szCs w:val="16"/>
      <w:lang w:val="hr-HR"/>
    </w:rPr>
  </w:style>
  <w:style w:type="character" w:customStyle="1" w:styleId="BalloonTextChar">
    <w:name w:val="Balloon Text Char"/>
    <w:basedOn w:val="DefaultParagraphFont"/>
    <w:semiHidden/>
    <w:rsid w:val="001F450B"/>
    <w:rPr>
      <w:rFonts w:ascii="Tahoma" w:eastAsia="Times New Roman" w:hAnsi="Tahoma" w:cs="Tahoma"/>
      <w:sz w:val="16"/>
      <w:szCs w:val="16"/>
      <w:lang w:val="hr-HR"/>
    </w:rPr>
  </w:style>
  <w:style w:type="paragraph" w:styleId="ListParagraph">
    <w:name w:val="List Paragraph"/>
    <w:basedOn w:val="Normal"/>
    <w:uiPriority w:val="34"/>
    <w:qFormat/>
    <w:rsid w:val="001F450B"/>
    <w:pPr>
      <w:ind w:left="720"/>
      <w:contextualSpacing/>
    </w:pPr>
  </w:style>
  <w:style w:type="paragraph" w:customStyle="1" w:styleId="kockica">
    <w:name w:val="kockica"/>
    <w:basedOn w:val="Normal"/>
    <w:rsid w:val="001F450B"/>
    <w:rPr>
      <w:rFonts w:cs="Times New Roman"/>
      <w:szCs w:val="20"/>
    </w:rPr>
  </w:style>
  <w:style w:type="paragraph" w:customStyle="1" w:styleId="Izvestajnaslov">
    <w:name w:val="Izvestaj_naslov"/>
    <w:basedOn w:val="Normal"/>
    <w:rsid w:val="001F450B"/>
    <w:pPr>
      <w:jc w:val="center"/>
    </w:pPr>
    <w:rPr>
      <w:rFonts w:ascii="Arial" w:hAnsi="Arial"/>
      <w:b/>
      <w:bCs/>
      <w:sz w:val="36"/>
      <w:szCs w:val="36"/>
      <w:lang w:val="sl-SI"/>
    </w:rPr>
  </w:style>
  <w:style w:type="character" w:styleId="Strong">
    <w:name w:val="Strong"/>
    <w:basedOn w:val="DefaultParagraphFont"/>
    <w:uiPriority w:val="22"/>
    <w:qFormat/>
    <w:rsid w:val="00B01F01"/>
    <w:rPr>
      <w:b/>
      <w:bCs/>
    </w:rPr>
  </w:style>
  <w:style w:type="character" w:styleId="Hyperlink">
    <w:name w:val="Hyperlink"/>
    <w:basedOn w:val="DefaultParagraphFont"/>
    <w:uiPriority w:val="99"/>
    <w:unhideWhenUsed/>
    <w:rsid w:val="006F2859"/>
    <w:rPr>
      <w:color w:val="0000FF"/>
      <w:u w:val="single"/>
    </w:rPr>
  </w:style>
  <w:style w:type="character" w:styleId="HTMLCite">
    <w:name w:val="HTML Cite"/>
    <w:basedOn w:val="DefaultParagraphFont"/>
    <w:uiPriority w:val="99"/>
    <w:semiHidden/>
    <w:unhideWhenUsed/>
    <w:rsid w:val="006F2859"/>
    <w:rPr>
      <w:i w:val="0"/>
      <w:iCs w:val="0"/>
      <w:color w:val="009933"/>
    </w:rPr>
  </w:style>
  <w:style w:type="paragraph" w:styleId="NormalWeb">
    <w:name w:val="Normal (Web)"/>
    <w:basedOn w:val="Normal"/>
    <w:rsid w:val="0013344E"/>
    <w:pPr>
      <w:spacing w:before="100" w:beforeAutospacing="1" w:after="100" w:afterAutospacing="1"/>
    </w:pPr>
    <w:rPr>
      <w:rFonts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01">
      <w:bodyDiv w:val="1"/>
      <w:marLeft w:val="0"/>
      <w:marRight w:val="0"/>
      <w:marTop w:val="0"/>
      <w:marBottom w:val="0"/>
      <w:divBdr>
        <w:top w:val="none" w:sz="0" w:space="0" w:color="auto"/>
        <w:left w:val="none" w:sz="0" w:space="0" w:color="auto"/>
        <w:bottom w:val="none" w:sz="0" w:space="0" w:color="auto"/>
        <w:right w:val="none" w:sz="0" w:space="0" w:color="auto"/>
      </w:divBdr>
      <w:divsChild>
        <w:div w:id="831988034">
          <w:marLeft w:val="547"/>
          <w:marRight w:val="0"/>
          <w:marTop w:val="125"/>
          <w:marBottom w:val="0"/>
          <w:divBdr>
            <w:top w:val="none" w:sz="0" w:space="0" w:color="auto"/>
            <w:left w:val="none" w:sz="0" w:space="0" w:color="auto"/>
            <w:bottom w:val="none" w:sz="0" w:space="0" w:color="auto"/>
            <w:right w:val="none" w:sz="0" w:space="0" w:color="auto"/>
          </w:divBdr>
        </w:div>
        <w:div w:id="1232807849">
          <w:marLeft w:val="547"/>
          <w:marRight w:val="0"/>
          <w:marTop w:val="125"/>
          <w:marBottom w:val="0"/>
          <w:divBdr>
            <w:top w:val="none" w:sz="0" w:space="0" w:color="auto"/>
            <w:left w:val="none" w:sz="0" w:space="0" w:color="auto"/>
            <w:bottom w:val="none" w:sz="0" w:space="0" w:color="auto"/>
            <w:right w:val="none" w:sz="0" w:space="0" w:color="auto"/>
          </w:divBdr>
        </w:div>
        <w:div w:id="1789736585">
          <w:marLeft w:val="547"/>
          <w:marRight w:val="0"/>
          <w:marTop w:val="125"/>
          <w:marBottom w:val="0"/>
          <w:divBdr>
            <w:top w:val="none" w:sz="0" w:space="0" w:color="auto"/>
            <w:left w:val="none" w:sz="0" w:space="0" w:color="auto"/>
            <w:bottom w:val="none" w:sz="0" w:space="0" w:color="auto"/>
            <w:right w:val="none" w:sz="0" w:space="0" w:color="auto"/>
          </w:divBdr>
        </w:div>
      </w:divsChild>
    </w:div>
    <w:div w:id="217134302">
      <w:bodyDiv w:val="1"/>
      <w:marLeft w:val="0"/>
      <w:marRight w:val="0"/>
      <w:marTop w:val="0"/>
      <w:marBottom w:val="0"/>
      <w:divBdr>
        <w:top w:val="none" w:sz="0" w:space="0" w:color="auto"/>
        <w:left w:val="none" w:sz="0" w:space="0" w:color="auto"/>
        <w:bottom w:val="none" w:sz="0" w:space="0" w:color="auto"/>
        <w:right w:val="none" w:sz="0" w:space="0" w:color="auto"/>
      </w:divBdr>
    </w:div>
    <w:div w:id="538397323">
      <w:bodyDiv w:val="1"/>
      <w:marLeft w:val="0"/>
      <w:marRight w:val="0"/>
      <w:marTop w:val="0"/>
      <w:marBottom w:val="0"/>
      <w:divBdr>
        <w:top w:val="none" w:sz="0" w:space="0" w:color="auto"/>
        <w:left w:val="none" w:sz="0" w:space="0" w:color="auto"/>
        <w:bottom w:val="none" w:sz="0" w:space="0" w:color="auto"/>
        <w:right w:val="none" w:sz="0" w:space="0" w:color="auto"/>
      </w:divBdr>
    </w:div>
    <w:div w:id="686909916">
      <w:bodyDiv w:val="1"/>
      <w:marLeft w:val="0"/>
      <w:marRight w:val="0"/>
      <w:marTop w:val="0"/>
      <w:marBottom w:val="0"/>
      <w:divBdr>
        <w:top w:val="none" w:sz="0" w:space="0" w:color="auto"/>
        <w:left w:val="none" w:sz="0" w:space="0" w:color="auto"/>
        <w:bottom w:val="none" w:sz="0" w:space="0" w:color="auto"/>
        <w:right w:val="none" w:sz="0" w:space="0" w:color="auto"/>
      </w:divBdr>
    </w:div>
    <w:div w:id="864252026">
      <w:bodyDiv w:val="1"/>
      <w:marLeft w:val="0"/>
      <w:marRight w:val="0"/>
      <w:marTop w:val="0"/>
      <w:marBottom w:val="0"/>
      <w:divBdr>
        <w:top w:val="none" w:sz="0" w:space="0" w:color="auto"/>
        <w:left w:val="none" w:sz="0" w:space="0" w:color="auto"/>
        <w:bottom w:val="none" w:sz="0" w:space="0" w:color="auto"/>
        <w:right w:val="none" w:sz="0" w:space="0" w:color="auto"/>
      </w:divBdr>
    </w:div>
    <w:div w:id="1008211284">
      <w:bodyDiv w:val="1"/>
      <w:marLeft w:val="0"/>
      <w:marRight w:val="0"/>
      <w:marTop w:val="0"/>
      <w:marBottom w:val="0"/>
      <w:divBdr>
        <w:top w:val="none" w:sz="0" w:space="0" w:color="auto"/>
        <w:left w:val="none" w:sz="0" w:space="0" w:color="auto"/>
        <w:bottom w:val="none" w:sz="0" w:space="0" w:color="auto"/>
        <w:right w:val="none" w:sz="0" w:space="0" w:color="auto"/>
      </w:divBdr>
    </w:div>
    <w:div w:id="1885672090">
      <w:bodyDiv w:val="1"/>
      <w:marLeft w:val="0"/>
      <w:marRight w:val="0"/>
      <w:marTop w:val="0"/>
      <w:marBottom w:val="0"/>
      <w:divBdr>
        <w:top w:val="none" w:sz="0" w:space="0" w:color="C0C0C0"/>
        <w:left w:val="none" w:sz="0" w:space="0" w:color="C0C0C0"/>
        <w:bottom w:val="none" w:sz="0" w:space="0" w:color="C0C0C0"/>
        <w:right w:val="none" w:sz="0" w:space="0" w:color="C0C0C0"/>
      </w:divBdr>
      <w:divsChild>
        <w:div w:id="310602362">
          <w:marLeft w:val="0"/>
          <w:marRight w:val="0"/>
          <w:marTop w:val="0"/>
          <w:marBottom w:val="0"/>
          <w:divBdr>
            <w:top w:val="none" w:sz="0" w:space="0" w:color="auto"/>
            <w:left w:val="none" w:sz="0" w:space="0" w:color="auto"/>
            <w:bottom w:val="none" w:sz="0" w:space="0" w:color="auto"/>
            <w:right w:val="none" w:sz="0" w:space="0" w:color="auto"/>
          </w:divBdr>
          <w:divsChild>
            <w:div w:id="1100568990">
              <w:marLeft w:val="0"/>
              <w:marRight w:val="0"/>
              <w:marTop w:val="0"/>
              <w:marBottom w:val="0"/>
              <w:divBdr>
                <w:top w:val="none" w:sz="0" w:space="0" w:color="C0C0C0"/>
                <w:left w:val="single" w:sz="6" w:space="0" w:color="C0C0C0"/>
                <w:bottom w:val="none" w:sz="0" w:space="0" w:color="C0C0C0"/>
                <w:right w:val="single" w:sz="6" w:space="0" w:color="C0C0C0"/>
              </w:divBdr>
              <w:divsChild>
                <w:div w:id="285891055">
                  <w:marLeft w:val="0"/>
                  <w:marRight w:val="0"/>
                  <w:marTop w:val="0"/>
                  <w:marBottom w:val="0"/>
                  <w:divBdr>
                    <w:top w:val="none" w:sz="0" w:space="0" w:color="auto"/>
                    <w:left w:val="none" w:sz="0" w:space="0" w:color="auto"/>
                    <w:bottom w:val="none" w:sz="0" w:space="0" w:color="auto"/>
                    <w:right w:val="none" w:sz="0" w:space="0" w:color="auto"/>
                  </w:divBdr>
                  <w:divsChild>
                    <w:div w:id="1698041000">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 w:id="1898005628">
      <w:bodyDiv w:val="1"/>
      <w:marLeft w:val="0"/>
      <w:marRight w:val="0"/>
      <w:marTop w:val="0"/>
      <w:marBottom w:val="0"/>
      <w:divBdr>
        <w:top w:val="none" w:sz="0" w:space="0" w:color="auto"/>
        <w:left w:val="none" w:sz="0" w:space="0" w:color="auto"/>
        <w:bottom w:val="none" w:sz="0" w:space="0" w:color="auto"/>
        <w:right w:val="none" w:sz="0" w:space="0" w:color="auto"/>
      </w:divBdr>
    </w:div>
    <w:div w:id="1912033908">
      <w:bodyDiv w:val="1"/>
      <w:marLeft w:val="0"/>
      <w:marRight w:val="0"/>
      <w:marTop w:val="0"/>
      <w:marBottom w:val="0"/>
      <w:divBdr>
        <w:top w:val="none" w:sz="0" w:space="0" w:color="auto"/>
        <w:left w:val="none" w:sz="0" w:space="0" w:color="auto"/>
        <w:bottom w:val="none" w:sz="0" w:space="0" w:color="auto"/>
        <w:right w:val="none" w:sz="0" w:space="0" w:color="auto"/>
      </w:divBdr>
    </w:div>
    <w:div w:id="19217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laric\AppData\Local\Temp\notes511EA6\www.cmega.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4A6E-CC37-4FA9-9A0D-36BB4FE3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Links>
    <vt:vector size="6" baseType="variant">
      <vt:variant>
        <vt:i4>1835013</vt:i4>
      </vt:variant>
      <vt:variant>
        <vt:i4>0</vt:i4>
      </vt:variant>
      <vt:variant>
        <vt:i4>0</vt:i4>
      </vt:variant>
      <vt:variant>
        <vt:i4>5</vt:i4>
      </vt:variant>
      <vt:variant>
        <vt:lpwstr>www.cmega.ba.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Kolarič</dc:creator>
  <cp:lastModifiedBy>Jasminka Gajić</cp:lastModifiedBy>
  <cp:revision>33</cp:revision>
  <cp:lastPrinted>2024-03-14T12:23:00Z</cp:lastPrinted>
  <dcterms:created xsi:type="dcterms:W3CDTF">2024-03-14T13:39:00Z</dcterms:created>
  <dcterms:modified xsi:type="dcterms:W3CDTF">2024-03-25T13:14:00Z</dcterms:modified>
</cp:coreProperties>
</file>