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4AE260" w14:textId="77777777" w:rsidR="00D72C78" w:rsidRDefault="00D72C78" w:rsidP="00990273">
      <w:pPr>
        <w:jc w:val="right"/>
      </w:pPr>
    </w:p>
    <w:p w14:paraId="4E50C493" w14:textId="12C086D8" w:rsidR="00767438" w:rsidRPr="00B26892" w:rsidRDefault="00767438" w:rsidP="000356F5">
      <w:pPr>
        <w:spacing w:after="0"/>
        <w:rPr>
          <w:rFonts w:ascii="Montserrat" w:hAnsi="Montserrat"/>
        </w:rPr>
      </w:pPr>
      <w:r>
        <w:rPr>
          <w:rStyle w:val="CCNormal"/>
        </w:rPr>
        <w:t xml:space="preserve">Znak </w:t>
      </w:r>
      <w:r w:rsidR="00380165">
        <w:rPr>
          <w:rFonts w:ascii="Montserrat" w:hAnsi="Montserrat"/>
        </w:rPr>
        <w:fldChar w:fldCharType="begin"/>
      </w:r>
      <w:r w:rsidR="00F145A0" w:rsidRPr="00F145A0">
        <w:rPr>
          <w:rFonts w:ascii="Montserrat" w:hAnsi="Montserrat"/>
        </w:rPr>
        <w:instrText>DOCPROPERTY PWReference</w:instrText>
      </w:r>
      <w:r w:rsidR="00380165">
        <w:rPr>
          <w:rFonts w:ascii="Montserrat" w:hAnsi="Montserrat"/>
        </w:rPr>
        <w:fldChar w:fldCharType="separate"/>
      </w:r>
      <w:r w:rsidR="009F5266">
        <w:rPr>
          <w:rFonts w:ascii="Montserrat" w:hAnsi="Montserrat"/>
        </w:rPr>
        <w:t>COMM(24)02645[1]</w:t>
      </w:r>
      <w:r w:rsidR="00380165">
        <w:rPr>
          <w:rFonts w:ascii="Montserrat" w:hAnsi="Montserrat"/>
        </w:rPr>
        <w:fldChar w:fldCharType="end"/>
      </w:r>
      <w:r>
        <w:rPr>
          <w:rStyle w:val="CCNormal"/>
        </w:rPr>
        <w:t>[2]</w:t>
      </w:r>
      <w:r>
        <w:rPr>
          <w:rStyle w:val="CCNormal"/>
        </w:rPr>
        <w:tab/>
      </w:r>
      <w:r>
        <w:rPr>
          <w:rStyle w:val="CCNormal"/>
        </w:rPr>
        <w:tab/>
      </w:r>
      <w:r>
        <w:rPr>
          <w:rStyle w:val="CCNormal"/>
        </w:rPr>
        <w:tab/>
      </w:r>
      <w:r>
        <w:rPr>
          <w:rStyle w:val="CCNormal"/>
        </w:rPr>
        <w:tab/>
      </w:r>
      <w:r>
        <w:rPr>
          <w:rStyle w:val="CCNormal"/>
        </w:rPr>
        <w:tab/>
      </w:r>
      <w:r>
        <w:rPr>
          <w:rStyle w:val="CCNormal"/>
        </w:rPr>
        <w:tab/>
      </w:r>
      <w:r w:rsidR="00E815E3">
        <w:rPr>
          <w:rStyle w:val="CCNormal"/>
        </w:rPr>
        <w:t>3</w:t>
      </w:r>
      <w:r>
        <w:rPr>
          <w:rStyle w:val="CCNormal"/>
        </w:rPr>
        <w:t>0.09.2024 r.</w:t>
      </w:r>
    </w:p>
    <w:p w14:paraId="0B921ACA" w14:textId="77777777" w:rsidR="000356F5" w:rsidRDefault="000356F5" w:rsidP="00B22284">
      <w:pPr>
        <w:rPr>
          <w:rStyle w:val="CCType"/>
        </w:rPr>
      </w:pPr>
    </w:p>
    <w:p w14:paraId="7F1A739F" w14:textId="3DB44784" w:rsidR="00182716" w:rsidRPr="00B26892" w:rsidRDefault="00111CD9" w:rsidP="00B22284">
      <w:pPr>
        <w:rPr>
          <w:rStyle w:val="CCType"/>
          <w:sz w:val="32"/>
          <w:szCs w:val="20"/>
        </w:rPr>
      </w:pPr>
      <w:r>
        <w:rPr>
          <w:rStyle w:val="CCType"/>
          <w:sz w:val="32"/>
          <w:szCs w:val="20"/>
        </w:rPr>
        <w:t>Felieton Cedrika Benoist oraz Stephana Arensa</w:t>
      </w:r>
    </w:p>
    <w:p w14:paraId="41048EB2" w14:textId="77777777" w:rsidR="007B563C" w:rsidRDefault="007B563C" w:rsidP="00B37694">
      <w:pPr>
        <w:pStyle w:val="ccbody0"/>
        <w:spacing w:after="120"/>
        <w:jc w:val="both"/>
        <w:rPr>
          <w:rStyle w:val="CCTitle"/>
          <w:rFonts w:eastAsiaTheme="minorHAnsi" w:cstheme="minorBidi"/>
          <w:szCs w:val="22"/>
        </w:rPr>
      </w:pPr>
      <w:r>
        <w:rPr>
          <w:rStyle w:val="CCTitle"/>
          <w:szCs w:val="22"/>
        </w:rPr>
        <w:t>Kolejny rok strat hodowców zbóż: Czas zająć się prawdziwymi przyczynami, a nie tylko leczyć objawowo!</w:t>
      </w:r>
    </w:p>
    <w:p w14:paraId="74A130A4" w14:textId="68E8AB67" w:rsidR="00B37694" w:rsidRDefault="00B37694" w:rsidP="00B37694">
      <w:pPr>
        <w:pStyle w:val="ccbody0"/>
        <w:spacing w:after="120"/>
        <w:jc w:val="both"/>
        <w:rPr>
          <w:color w:val="3B3838" w:themeColor="background2" w:themeShade="40"/>
          <w:szCs w:val="20"/>
        </w:rPr>
      </w:pPr>
      <w:r>
        <w:rPr>
          <w:color w:val="3B3838" w:themeColor="background2" w:themeShade="40"/>
          <w:szCs w:val="20"/>
        </w:rPr>
        <w:t>Obecny rok jest kolejnym, w którym europejscy rolnicy notują słabe zbiory. Już poprzednie dwa lata należały do najgorszych w bieżącej dekadzie. Produkcja zboża osiąga rekordowo niskie poziomy. Niestety, rok 2024 zapowiada się jeszcze gorzej. Według prognoz produkcja ma być o ok. 9% niższa w porównaniu ze średnią 10-letnią. Prawda jest taka, że od roku 2000 mamy do czynienia ze stagnacją, jeśli chodzi o plony zbóż i roślin oleistych. Jeśli notowane były wzrosty produkcji roślin oleistych, wynikało to ze zwiększenia areału, a nie ze zwyżki plonów. Gdy pogorszenie koniunktury zaczyna się powtarzać, jest to sygnał, że występują pewne strukturalne problemy, na których ignorowanie nie można już sobie pozwolić.</w:t>
      </w:r>
    </w:p>
    <w:p w14:paraId="4D75D69E" w14:textId="494385B6" w:rsidR="00B37694" w:rsidRPr="00B37694" w:rsidRDefault="00B37694" w:rsidP="00B37694">
      <w:pPr>
        <w:pStyle w:val="ccbody0"/>
        <w:spacing w:after="120"/>
        <w:jc w:val="both"/>
        <w:rPr>
          <w:szCs w:val="20"/>
        </w:rPr>
      </w:pPr>
      <w:r>
        <w:t>Za stagnację plonów czy nawet spadek produkcji odpowiedzialnych jest wiele wzajemnie ze sobą powiązanych czynników, z których najważniejszym jest zmiana klimatu.  W ostatnich latach nasiliło się występowanie ekstremalnych zjawisk pogodowych, co doprowadziło do wydatnych strat, powodowanych</w:t>
      </w:r>
      <w:r w:rsidR="009F5266">
        <w:t xml:space="preserve"> m.in.</w:t>
      </w:r>
      <w:r>
        <w:t xml:space="preserve"> przez susze (takie jak susza, która wystąpiła w Hiszpanii w r. 2023, niszcząc ponad 40% produkcji), nadmierne opady czy powodzie, jak choćby ta wywołana przez cyklon Boris.</w:t>
      </w:r>
    </w:p>
    <w:p w14:paraId="50F44AF3" w14:textId="60520B06" w:rsidR="00F54307" w:rsidRDefault="00B37694" w:rsidP="00B37694">
      <w:pPr>
        <w:pStyle w:val="ccbody0"/>
        <w:spacing w:after="120"/>
        <w:jc w:val="both"/>
        <w:rPr>
          <w:szCs w:val="20"/>
        </w:rPr>
      </w:pPr>
      <w:r>
        <w:t>Zmiana typu pogody przekłada się także na rozprzestrzenianie szkodników oraz chorób. Widzimy, jak rozwijają się nowe szkodniki, dostosowane do wyższych temperatur, oraz że zwiększa się obszar i częstotliwość występowania szkodników dobrze nam znanych. Z kolei nadmiar wody w niektórych regionach doprowadził do pojawienia się ognisk chorób na nieznaną dotąd skalę.  Tymczasem zasób narzędzi, jakimi dysponują rolnicy, by zwalczać szkodniki i choroby nieustannie się zmniejsza. Jeszcze w 2001 r. rolnicy z obszaru UE mieli do dyspozycji ok. 900 substancji czynnych. Dziś substancji dopuszczonych do użytku jest mniej niż 470</w:t>
      </w:r>
      <w:r w:rsidR="006141E2">
        <w:rPr>
          <w:rStyle w:val="FootnoteReference"/>
          <w:szCs w:val="20"/>
        </w:rPr>
        <w:footnoteReference w:id="1"/>
      </w:r>
      <w:r>
        <w:t xml:space="preserve">! </w:t>
      </w:r>
    </w:p>
    <w:p w14:paraId="3CA6A782" w14:textId="618FBAB3" w:rsidR="00691283" w:rsidRDefault="00B37694" w:rsidP="00CE258C">
      <w:pPr>
        <w:pStyle w:val="ccbody0"/>
        <w:spacing w:after="120"/>
        <w:jc w:val="both"/>
        <w:rPr>
          <w:szCs w:val="20"/>
        </w:rPr>
      </w:pPr>
      <w:r>
        <w:t>Prawdą jest również, że alternatywy dla tych substancji, takie jak metody biokontroli, są dopuszczane do użytku w niedopuszczalnie wolnym tempie. Średnio każdego roku z użytkowania się wycofuje się ok. 16 tradycyjnych substancji czynnych podczas gdy wdraża się stosowanie zaledwie 6 środków alternatywnych, z których większość nie nadaje się do stosowania w uprawach polowych oraz nie ma porównywalnej skuteczności</w:t>
      </w:r>
      <w:r w:rsidR="006141E2">
        <w:rPr>
          <w:rStyle w:val="FootnoteReference"/>
          <w:szCs w:val="20"/>
        </w:rPr>
        <w:footnoteReference w:id="2"/>
      </w:r>
      <w:r>
        <w:t xml:space="preserve">. Jednym z </w:t>
      </w:r>
      <w:r>
        <w:lastRenderedPageBreak/>
        <w:t>często przywoływanych sposobów na walkę z suszami jest rozwijanie nowych odmian upraw, które byłyby bardziej odporne na ekstremalne warunki pogodowe. Ale i w tym zakresie postęp jest zbyt powolny.  Bez nowych narzędzi, takich jak nowe techniki hodowli (NBT, z ang. new breeding techniques), które wciąż nie są dopuszczone do użytku na terenie UE, w najbardziej dotkniętych państwa członkowskich trudno będzie uzyskać znaczący postęp pozwalający na kontynuowanie produkcji.  W tym kontekście tym bardziej szkoda, że raport przygotowany przez Mario Draghiego, jedynie pobieżnie odnosi się do tego aspektu</w:t>
      </w:r>
      <w:r w:rsidR="00BA6C79">
        <w:t>, który jest kluczowy dla</w:t>
      </w:r>
      <w:r>
        <w:t xml:space="preserve"> zachowania naszej konkurencyjności. </w:t>
      </w:r>
    </w:p>
    <w:p w14:paraId="0935A280" w14:textId="1A0D3ED6" w:rsidR="00D877B2" w:rsidRPr="00790E4D" w:rsidRDefault="00B26892" w:rsidP="003C10A8">
      <w:pPr>
        <w:pStyle w:val="ccbody0"/>
        <w:spacing w:after="120" w:afterAutospacing="0"/>
        <w:jc w:val="both"/>
        <w:rPr>
          <w:rStyle w:val="CCTitle"/>
          <w:b w:val="0"/>
          <w:bCs/>
          <w:color w:val="262626" w:themeColor="text1" w:themeTint="D9"/>
          <w:sz w:val="20"/>
          <w:szCs w:val="20"/>
        </w:rPr>
      </w:pPr>
      <w:r>
        <w:t>Kolejnym istotnym czynnikiem wpływającym na produkcję zboża oraz roślin oleistych na terenie UE jest rosnące w ostatnich latach występowanie chwastów. Choć wciąż brakuje kompleksowych danych na ten temat, nie ulega wątpliwości, że rolnikom coraz trudniej kontrolować wzrost chwastów. Podobnie jak ma to miejsce w przypadku szkodników i chorób, dobre praktyki rolne mogą być skuteczne w walce z chwastami, ale wyłącznie w połączeniu ze stosowaniem wszelkiego rodzaju środków fitosanitarnych (tradycyjnych, biologicznych...) Tu również problemem jest zmniejszający się wachlarz dostępnych substancji, co przekłada się na zwiększ</w:t>
      </w:r>
      <w:r w:rsidR="00330FBB">
        <w:t>ającą się o</w:t>
      </w:r>
      <w:r>
        <w:t>dporność.</w:t>
      </w:r>
      <w:r>
        <w:rPr>
          <w:color w:val="262626" w:themeColor="text1" w:themeTint="D9"/>
          <w:szCs w:val="20"/>
        </w:rPr>
        <w:t xml:space="preserve"> </w:t>
      </w:r>
      <w:r>
        <w:rPr>
          <w:color w:val="262626" w:themeColor="text1" w:themeTint="D9"/>
          <w:szCs w:val="20"/>
          <w:shd w:val="clear" w:color="auto" w:fill="FFFFFF"/>
        </w:rPr>
        <w:t>Warto pamiętać, że utrata kontroli nad rozprzestrzeniającymi się chwastami nieuchronnie prowadzi do wystąpienia ryzyka dla zdrowia. Tak jak miało to miejsce w przypadku sporyszu, który zawiera wiele alkaloidów.</w:t>
      </w:r>
    </w:p>
    <w:p w14:paraId="77662FA1" w14:textId="51585A3A" w:rsidR="00B26892" w:rsidRPr="00B26892" w:rsidRDefault="00790E4D" w:rsidP="00B26892">
      <w:pPr>
        <w:rPr>
          <w:rStyle w:val="CCTitle"/>
          <w:b w:val="0"/>
          <w:bCs/>
          <w:color w:val="3B3838" w:themeColor="background2" w:themeShade="40"/>
          <w:sz w:val="20"/>
          <w:szCs w:val="20"/>
        </w:rPr>
      </w:pPr>
      <w:r>
        <w:rPr>
          <w:rStyle w:val="CCTitle"/>
          <w:b w:val="0"/>
          <w:bCs/>
          <w:color w:val="3B3838" w:themeColor="background2" w:themeShade="40"/>
          <w:sz w:val="20"/>
          <w:szCs w:val="20"/>
        </w:rPr>
        <w:t>Spadek produktywności oraz jakości de facto oznaczają utratę zysku ze sprzedaży oraz mniejsze bezpieczeństwo podaży z europejskiej produkcji w obszarze żywności, paszy oraz biopaliw. Niestety, jakby samej utraty produktywności było za mało, rolnicy zostal</w:t>
      </w:r>
      <w:r w:rsidR="00330FBB">
        <w:rPr>
          <w:rStyle w:val="CCTitle"/>
          <w:b w:val="0"/>
          <w:bCs/>
          <w:color w:val="3B3838" w:themeColor="background2" w:themeShade="40"/>
          <w:sz w:val="20"/>
          <w:szCs w:val="20"/>
        </w:rPr>
        <w:t>i podwójnie „</w:t>
      </w:r>
      <w:r>
        <w:rPr>
          <w:rStyle w:val="CCTitle"/>
          <w:b w:val="0"/>
          <w:bCs/>
          <w:color w:val="3B3838" w:themeColor="background2" w:themeShade="40"/>
          <w:sz w:val="20"/>
          <w:szCs w:val="20"/>
        </w:rPr>
        <w:t>ukarani" w ostatnich latach. Po pierwsze, od wybuchu pandemii Covid-19 koszty produkcji dramatycznie wzrosły, zwłaszcza jeśli chodzi o ceny nawozów. Problem ten następnie zaogniła pełnoskalowa inwazj</w:t>
      </w:r>
      <w:r w:rsidR="00330FBB">
        <w:rPr>
          <w:rStyle w:val="CCTitle"/>
          <w:b w:val="0"/>
          <w:bCs/>
          <w:color w:val="3B3838" w:themeColor="background2" w:themeShade="40"/>
          <w:sz w:val="20"/>
          <w:szCs w:val="20"/>
        </w:rPr>
        <w:t>a</w:t>
      </w:r>
      <w:r>
        <w:rPr>
          <w:rStyle w:val="CCTitle"/>
          <w:b w:val="0"/>
          <w:bCs/>
          <w:color w:val="3B3838" w:themeColor="background2" w:themeShade="40"/>
          <w:sz w:val="20"/>
          <w:szCs w:val="20"/>
        </w:rPr>
        <w:t xml:space="preserve"> na Ukrainę, w wyniku której ceny nawozów poszybowały (dla przykładu cena Urei wzrosła z 200€ przed wojną do nawet 1000€ w szczytowym momencie, a obecnie wynosi około 400€).  Nawozy zaś stanowią od 30% do 50% kosztów produkcji przy uprawie zbóż i roślin oleistych w zależności od regionu.</w:t>
      </w:r>
    </w:p>
    <w:p w14:paraId="0FCF453B" w14:textId="32BD20EA" w:rsidR="00A250A5" w:rsidRDefault="00B26892" w:rsidP="00B26892">
      <w:pPr>
        <w:rPr>
          <w:rFonts w:ascii="Montserrat" w:hAnsi="Montserrat" w:cs="Calibri"/>
          <w:color w:val="3B3838" w:themeColor="background2" w:themeShade="40"/>
          <w:sz w:val="20"/>
          <w:szCs w:val="20"/>
          <w:shd w:val="clear" w:color="auto" w:fill="FFFFFF"/>
        </w:rPr>
      </w:pPr>
      <w:r>
        <w:rPr>
          <w:rStyle w:val="CCTitle"/>
          <w:b w:val="0"/>
          <w:bCs/>
          <w:color w:val="3B3838" w:themeColor="background2" w:themeShade="40"/>
          <w:sz w:val="20"/>
          <w:szCs w:val="20"/>
        </w:rPr>
        <w:t xml:space="preserve">Po drugie, liberalizacja handlu z Ukrainą, której celem było wsparcie państwa w walce z agresorem, doprowadziła do zalania rynku unijnego ukraińskimi zbożami i roślinami oleistymi sprzedawanymi po bardzo niskich cenach. Import zbóż z Ukrainy wzrósł z 9 milionów ton rocznie do poziomu ponad 18 milionów ton rocznie, co </w:t>
      </w:r>
      <w:r w:rsidR="00330FBB">
        <w:rPr>
          <w:rStyle w:val="CCTitle"/>
          <w:b w:val="0"/>
          <w:bCs/>
          <w:color w:val="3B3838" w:themeColor="background2" w:themeShade="40"/>
          <w:sz w:val="20"/>
          <w:szCs w:val="20"/>
        </w:rPr>
        <w:t>odpowiada</w:t>
      </w:r>
      <w:r>
        <w:rPr>
          <w:rStyle w:val="CCTitle"/>
          <w:b w:val="0"/>
          <w:bCs/>
          <w:color w:val="3B3838" w:themeColor="background2" w:themeShade="40"/>
          <w:sz w:val="20"/>
          <w:szCs w:val="20"/>
        </w:rPr>
        <w:t xml:space="preserve"> 7% unijnej produkcji, a import roślin oleistych wzrósł z 5,5 miliona ton do poziomu 8 milionów ton, co </w:t>
      </w:r>
      <w:r w:rsidR="00330FBB">
        <w:rPr>
          <w:rStyle w:val="CCTitle"/>
          <w:b w:val="0"/>
          <w:bCs/>
          <w:color w:val="3B3838" w:themeColor="background2" w:themeShade="40"/>
          <w:sz w:val="20"/>
          <w:szCs w:val="20"/>
        </w:rPr>
        <w:t xml:space="preserve">odpowiada </w:t>
      </w:r>
      <w:r>
        <w:rPr>
          <w:rStyle w:val="CCTitle"/>
          <w:b w:val="0"/>
          <w:bCs/>
          <w:color w:val="3B3838" w:themeColor="background2" w:themeShade="40"/>
          <w:sz w:val="20"/>
          <w:szCs w:val="20"/>
        </w:rPr>
        <w:t xml:space="preserve">25% unijnej produkcji.  Jednocześnie UE nie obniżyła importu z innych krajów trzecich, a unijna produkcja oraz konsumpcja utrzymują się na zbliżonym poziomie. Doprowadziło to do przesycenia rynku unijnego, w wyniku </w:t>
      </w:r>
      <w:r w:rsidR="00330FBB">
        <w:rPr>
          <w:rStyle w:val="CCTitle"/>
          <w:b w:val="0"/>
          <w:bCs/>
          <w:color w:val="3B3838" w:themeColor="background2" w:themeShade="40"/>
          <w:sz w:val="20"/>
          <w:szCs w:val="20"/>
        </w:rPr>
        <w:t xml:space="preserve">czego </w:t>
      </w:r>
      <w:r>
        <w:rPr>
          <w:rStyle w:val="CCTitle"/>
          <w:b w:val="0"/>
          <w:bCs/>
          <w:color w:val="3B3838" w:themeColor="background2" w:themeShade="40"/>
          <w:sz w:val="20"/>
          <w:szCs w:val="20"/>
        </w:rPr>
        <w:t>ceny spadły do nieodpuszczalnego poziomu</w:t>
      </w:r>
      <w:r w:rsidR="006141E2">
        <w:rPr>
          <w:rStyle w:val="FootnoteReference"/>
          <w:rFonts w:ascii="Montserrat" w:hAnsi="Montserrat" w:cs="Calibri"/>
          <w:color w:val="3B3838" w:themeColor="background2" w:themeShade="40"/>
          <w:sz w:val="20"/>
          <w:szCs w:val="20"/>
          <w:shd w:val="clear" w:color="auto" w:fill="FFFFFF"/>
        </w:rPr>
        <w:footnoteReference w:id="3"/>
      </w:r>
      <w:r w:rsidR="006141E2">
        <w:rPr>
          <w:rStyle w:val="FootnoteReference"/>
          <w:rFonts w:ascii="Montserrat" w:hAnsi="Montserrat" w:cs="Calibri"/>
          <w:color w:val="3B3838" w:themeColor="background2" w:themeShade="40"/>
          <w:sz w:val="20"/>
          <w:szCs w:val="20"/>
          <w:shd w:val="clear" w:color="auto" w:fill="FFFFFF"/>
        </w:rPr>
        <w:footnoteReference w:id="4"/>
      </w:r>
      <w:r>
        <w:rPr>
          <w:rFonts w:ascii="Montserrat" w:hAnsi="Montserrat"/>
          <w:color w:val="3B3838" w:themeColor="background2" w:themeShade="40"/>
          <w:sz w:val="20"/>
          <w:szCs w:val="20"/>
          <w:shd w:val="clear" w:color="auto" w:fill="FFFFFF"/>
        </w:rPr>
        <w:t xml:space="preserve">. </w:t>
      </w:r>
    </w:p>
    <w:p w14:paraId="20F58619" w14:textId="1CA4896D" w:rsidR="00B26892" w:rsidRPr="00B26892" w:rsidRDefault="00B26892" w:rsidP="00B26892">
      <w:pPr>
        <w:rPr>
          <w:rStyle w:val="CCBody"/>
          <w:rFonts w:ascii="Montserrat" w:hAnsi="Montserrat" w:cs="Times New Roman"/>
          <w:color w:val="3B3838" w:themeColor="background2" w:themeShade="40"/>
          <w:sz w:val="20"/>
          <w:szCs w:val="24"/>
        </w:rPr>
      </w:pPr>
      <w:r>
        <w:rPr>
          <w:rStyle w:val="CCBody"/>
          <w:rFonts w:ascii="Montserrat" w:hAnsi="Montserrat"/>
          <w:color w:val="3B3838" w:themeColor="background2" w:themeShade="40"/>
          <w:sz w:val="20"/>
          <w:szCs w:val="24"/>
        </w:rPr>
        <w:t xml:space="preserve">Dlatego podjęcie zdecydowanych działań na szczeblu unijnym jest ważniejsze niż kiedykolwiek wcześniej, tak abyśmy przywrócili pozycję unijnego sektora zbóż i roślin oleistych, zarówno w perspektywie krótko-, jak i długoterminowej. Konieczne jest dalsze wspieranie Ukrainy, ale przy zachowaniu odpowiedniego balansu. Trwający przegląd układu o stowarzyszeniu z Ukrainą musi uwzględnić zabezpieczenia, pozwalające ograniczyć import oraz zapewnić równe warunki dla wszystkich, jeśli chodzi o standardy produkcji. Należy ustanowić konkurencyjne środowisko dla branży nawozowej, tak by unijni </w:t>
      </w:r>
      <w:r>
        <w:rPr>
          <w:rStyle w:val="CCBody"/>
          <w:rFonts w:ascii="Montserrat" w:hAnsi="Montserrat"/>
          <w:color w:val="3B3838" w:themeColor="background2" w:themeShade="40"/>
          <w:sz w:val="20"/>
          <w:szCs w:val="24"/>
        </w:rPr>
        <w:lastRenderedPageBreak/>
        <w:t>rolnicy mieli dostęp do nawozów sprzedawanych po podobnych cenach, co ich konkurenci z innych rejonów świata. Wreszcie, jeśli chodzi o wyposażenie rolników w narzędzia umożliwiające radzenie sobie z konsekwencjami zmiany klimatu, UE musi zająć się tym problemem priorytetowo. Istnieje wiele dróg do przetestowania, jednak znalezienie rozwiązań będzie wiązało się ze znaczącymi nakładami na inwestycje, przyjęciem pragmatycznego podejścia, uwzględniającego rzeczywiste warunki oraz uzyskaniem dużej woli politycznej.</w:t>
      </w:r>
    </w:p>
    <w:p w14:paraId="0211C4BA" w14:textId="7392E463" w:rsidR="00B26892" w:rsidRPr="00B26892" w:rsidRDefault="00B26892" w:rsidP="00B26892">
      <w:pPr>
        <w:rPr>
          <w:rStyle w:val="CCBody"/>
          <w:rFonts w:ascii="Montserrat" w:hAnsi="Montserrat" w:cs="Times New Roman"/>
          <w:color w:val="3B3838" w:themeColor="background2" w:themeShade="40"/>
          <w:sz w:val="20"/>
          <w:szCs w:val="24"/>
        </w:rPr>
      </w:pPr>
      <w:r>
        <w:rPr>
          <w:rStyle w:val="CCBody"/>
          <w:rFonts w:ascii="Montserrat" w:hAnsi="Montserrat"/>
          <w:color w:val="3B3838" w:themeColor="background2" w:themeShade="40"/>
          <w:sz w:val="20"/>
          <w:szCs w:val="24"/>
        </w:rPr>
        <w:t>W</w:t>
      </w:r>
      <w:r w:rsidR="001C5D42">
        <w:rPr>
          <w:rStyle w:val="CCBody"/>
          <w:rFonts w:ascii="Montserrat" w:hAnsi="Montserrat"/>
          <w:color w:val="3B3838" w:themeColor="background2" w:themeShade="40"/>
          <w:sz w:val="20"/>
          <w:szCs w:val="24"/>
        </w:rPr>
        <w:t>ęgierska prezydencja umieściła kwestię zbóż i roślin oleistych w porządku obrad poniedział</w:t>
      </w:r>
      <w:r>
        <w:rPr>
          <w:rStyle w:val="CCBody"/>
          <w:rFonts w:ascii="Montserrat" w:hAnsi="Montserrat"/>
          <w:color w:val="3B3838" w:themeColor="background2" w:themeShade="40"/>
          <w:sz w:val="20"/>
          <w:szCs w:val="24"/>
        </w:rPr>
        <w:t>k</w:t>
      </w:r>
      <w:r w:rsidR="001C5D42">
        <w:rPr>
          <w:rStyle w:val="CCBody"/>
          <w:rFonts w:ascii="Montserrat" w:hAnsi="Montserrat"/>
          <w:color w:val="3B3838" w:themeColor="background2" w:themeShade="40"/>
          <w:sz w:val="20"/>
          <w:szCs w:val="24"/>
        </w:rPr>
        <w:t>owego</w:t>
      </w:r>
      <w:r>
        <w:rPr>
          <w:rStyle w:val="CCBody"/>
          <w:rFonts w:ascii="Montserrat" w:hAnsi="Montserrat"/>
          <w:color w:val="3B3838" w:themeColor="background2" w:themeShade="40"/>
          <w:sz w:val="20"/>
          <w:szCs w:val="24"/>
        </w:rPr>
        <w:t xml:space="preserve"> posiedzenia Specjalnego Komitetu ds. Rolnictwa</w:t>
      </w:r>
      <w:r w:rsidR="001C5D42">
        <w:rPr>
          <w:rStyle w:val="CCBody"/>
          <w:rFonts w:ascii="Montserrat" w:hAnsi="Montserrat"/>
          <w:color w:val="3B3838" w:themeColor="background2" w:themeShade="40"/>
          <w:sz w:val="20"/>
          <w:szCs w:val="24"/>
        </w:rPr>
        <w:t>.</w:t>
      </w:r>
      <w:r>
        <w:rPr>
          <w:rStyle w:val="CCBody"/>
          <w:rFonts w:ascii="Montserrat" w:hAnsi="Montserrat"/>
          <w:color w:val="3B3838" w:themeColor="background2" w:themeShade="40"/>
          <w:sz w:val="20"/>
          <w:szCs w:val="24"/>
        </w:rPr>
        <w:t xml:space="preserve"> Liczymy, że państwa członkowskie wykorzystają tę okazję, by poznać rzeczywistą sytuację w tym strategicznym sektorze UE oraz rozpoczną konieczne prace pozwalające wypracować strukturalne rozwiązania strukturalnych problemów.</w:t>
      </w:r>
    </w:p>
    <w:p w14:paraId="79270D9F" w14:textId="7639C091" w:rsidR="00400EBB" w:rsidRDefault="00B26892" w:rsidP="00B26892">
      <w:pPr>
        <w:rPr>
          <w:rStyle w:val="CCBody"/>
          <w:rFonts w:ascii="Montserrat" w:hAnsi="Montserrat" w:cs="Times New Roman"/>
          <w:color w:val="3B3838" w:themeColor="background2" w:themeShade="40"/>
          <w:sz w:val="20"/>
          <w:szCs w:val="24"/>
        </w:rPr>
      </w:pPr>
      <w:r>
        <w:rPr>
          <w:rStyle w:val="CCBody"/>
          <w:rFonts w:ascii="Montserrat" w:hAnsi="Montserrat"/>
          <w:color w:val="3B3838" w:themeColor="background2" w:themeShade="40"/>
          <w:sz w:val="20"/>
          <w:szCs w:val="24"/>
        </w:rPr>
        <w:t>Europejscy rolnicy głęboko wierzą, że czeka ich dobra przyszłość, i są gotowi wspólnie wypracowywać rozwiązania, ale nie uda im się tego dokonać w pojedynkę. Wsparcie i zaangażowanie instytucji unijnych jest kluczowe.</w:t>
      </w:r>
    </w:p>
    <w:p w14:paraId="53EA18A6" w14:textId="77777777" w:rsidR="00823D81" w:rsidRPr="009F5266" w:rsidRDefault="00823D81" w:rsidP="00B26892">
      <w:pPr>
        <w:rPr>
          <w:rStyle w:val="CCBody"/>
          <w:rFonts w:ascii="Montserrat" w:hAnsi="Montserrat" w:cs="Times New Roman"/>
          <w:color w:val="3B3838" w:themeColor="background2" w:themeShade="40"/>
          <w:sz w:val="20"/>
          <w:szCs w:val="24"/>
        </w:rPr>
      </w:pPr>
    </w:p>
    <w:p w14:paraId="316BD5A8" w14:textId="320AD7F7" w:rsidR="00823D81" w:rsidRDefault="00823D81" w:rsidP="00B26892">
      <w:pPr>
        <w:rPr>
          <w:rStyle w:val="CCBody"/>
          <w:rFonts w:ascii="Montserrat" w:hAnsi="Montserrat" w:cs="Times New Roman"/>
          <w:color w:val="3B3838" w:themeColor="background2" w:themeShade="40"/>
          <w:sz w:val="20"/>
          <w:szCs w:val="24"/>
        </w:rPr>
      </w:pPr>
      <w:r>
        <w:rPr>
          <w:rStyle w:val="CCBody"/>
          <w:rFonts w:ascii="Montserrat" w:hAnsi="Montserrat"/>
          <w:color w:val="3B3838" w:themeColor="background2" w:themeShade="40"/>
          <w:sz w:val="20"/>
          <w:szCs w:val="24"/>
        </w:rPr>
        <w:t xml:space="preserve">Cedric Benoist, przewodniczący grupy roboczej "Zboża" Copa Cogeca </w:t>
      </w:r>
    </w:p>
    <w:p w14:paraId="1DA822CB" w14:textId="6BE4920C" w:rsidR="00823D81" w:rsidRDefault="00823D81" w:rsidP="00B26892">
      <w:pPr>
        <w:rPr>
          <w:rStyle w:val="CCBody"/>
          <w:rFonts w:ascii="Montserrat" w:hAnsi="Montserrat" w:cs="Times New Roman"/>
          <w:color w:val="3B3838" w:themeColor="background2" w:themeShade="40"/>
          <w:sz w:val="20"/>
          <w:szCs w:val="24"/>
        </w:rPr>
      </w:pPr>
      <w:r>
        <w:rPr>
          <w:rStyle w:val="CCBody"/>
          <w:rFonts w:ascii="Montserrat" w:hAnsi="Montserrat"/>
          <w:color w:val="3B3838" w:themeColor="background2" w:themeShade="40"/>
          <w:sz w:val="20"/>
          <w:szCs w:val="24"/>
        </w:rPr>
        <w:t>Stephan Arens, przewodniczący grupy roboczej "Rośliny oleiste i białkowe" Copa Cogeca</w:t>
      </w:r>
    </w:p>
    <w:p w14:paraId="2CAF20C1" w14:textId="77777777" w:rsidR="00823D81" w:rsidRPr="00235A0D" w:rsidRDefault="00823D81" w:rsidP="00B26892"/>
    <w:p w14:paraId="546F42A5" w14:textId="77777777" w:rsidR="00182716" w:rsidRPr="00135F43" w:rsidRDefault="00E815E3" w:rsidP="00244682">
      <w:sdt>
        <w:sdtPr>
          <w:rPr>
            <w:rFonts w:ascii="Montserrat" w:hAnsi="Montserrat"/>
            <w:b/>
            <w:bCs/>
            <w:color w:val="697331"/>
            <w:sz w:val="28"/>
            <w:szCs w:val="28"/>
          </w:rPr>
          <w:id w:val="636535682"/>
          <w:placeholder>
            <w:docPart w:val="99976852B134450F91FA2D936E1AE1D4"/>
          </w:placeholder>
          <w:temporary/>
        </w:sdtPr>
        <w:sdtEndPr/>
        <w:sdtContent>
          <w:r w:rsidR="00823D81">
            <w:rPr>
              <w:rFonts w:ascii="Montserrat" w:hAnsi="Montserrat"/>
              <w:b/>
              <w:bCs/>
              <w:color w:val="697331"/>
              <w:sz w:val="28"/>
              <w:szCs w:val="28"/>
            </w:rPr>
            <w:t>-KONIEC-</w:t>
          </w:r>
        </w:sdtContent>
      </w:sdt>
      <w:r w:rsidR="00823D81">
        <w:rPr>
          <w:rFonts w:ascii="Montserrat" w:hAnsi="Montserrat"/>
          <w:b/>
          <w:bCs/>
          <w:color w:val="697331"/>
          <w:sz w:val="28"/>
          <w:szCs w:val="28"/>
        </w:rPr>
        <w:t xml:space="preserve"> </w:t>
      </w:r>
    </w:p>
    <w:p w14:paraId="4B5C8696" w14:textId="77777777" w:rsidR="000356F5" w:rsidRPr="000356F5" w:rsidRDefault="000356F5" w:rsidP="00DF6217">
      <w:pPr>
        <w:pStyle w:val="CCDocBody"/>
        <w:rPr>
          <w:rFonts w:ascii="Montserrat" w:hAnsi="Montserrat"/>
          <w:color w:val="3A3838"/>
          <w:sz w:val="20"/>
          <w:szCs w:val="20"/>
        </w:rPr>
      </w:pPr>
      <w:r>
        <w:rPr>
          <w:rFonts w:ascii="Montserrat" w:hAnsi="Montserrat"/>
          <w:color w:val="3A3838"/>
          <w:sz w:val="20"/>
          <w:szCs w:val="20"/>
        </w:rPr>
        <w:t xml:space="preserve">Tłumaczenie dostępne będzie już niedługo na stronie Copa-Cogeca w językach angielskim, niemieckim, hiszpańskim, francuskim, włoskim, polskim oraz rumuńskim. </w:t>
      </w:r>
    </w:p>
    <w:p w14:paraId="37A40FBF" w14:textId="77777777" w:rsidR="00E6727E" w:rsidRPr="00135F43" w:rsidRDefault="00E6727E" w:rsidP="00DF6217">
      <w:pPr>
        <w:pStyle w:val="CCDocBody"/>
        <w:rPr>
          <w:sz w:val="20"/>
          <w:szCs w:val="20"/>
        </w:rPr>
      </w:pPr>
      <w:r>
        <w:rPr>
          <w:rStyle w:val="CCNormal"/>
          <w:sz w:val="20"/>
          <w:szCs w:val="20"/>
        </w:rPr>
        <w:t xml:space="preserve">O nas - Copa i Cogeca to zjednoczony głos rolników i spółdzielni rolniczych w UE. Wspólnie dbamy o to, aby rolnictwo europejskie było zrównoważone, innowacyjne i konkurencyjne, gwarantując bezpieczeństwo żywnościowe 500 milionom osób w Europie. &gt;&gt;&gt; Więcej informacji na </w:t>
      </w:r>
      <w:hyperlink r:id="rId11" w:history="1">
        <w:r>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rPr>
        <w:id w:val="-926261863"/>
        <w:lock w:val="sdtContentLocked"/>
        <w:placeholder>
          <w:docPart w:val="99976852B134450F91FA2D936E1AE1D4"/>
        </w:placeholder>
      </w:sdtPr>
      <w:sdtEndPr/>
      <w:sdtContent>
        <w:p w14:paraId="2BFCD167"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val="en-US"/>
            </w:rPr>
            <mc:AlternateContent>
              <mc:Choice Requires="wps">
                <w:drawing>
                  <wp:anchor distT="0" distB="0" distL="114300" distR="114300" simplePos="0" relativeHeight="251659264" behindDoc="0" locked="0" layoutInCell="1" allowOverlap="1" wp14:anchorId="4A9DBCB0" wp14:editId="205C9B0F">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14E469A5"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99976852B134450F91FA2D936E1AE1D4"/>
        </w:placeholder>
        <w:temporary/>
      </w:sdtPr>
      <w:sdtEndPr>
        <w:rPr>
          <w:rStyle w:val="CCNormal"/>
        </w:rPr>
      </w:sdtEndPr>
      <w:sdtContent>
        <w:p w14:paraId="1CFA2D0B"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Pr>
              <w:rStyle w:val="CCNormal"/>
              <w:sz w:val="20"/>
              <w:szCs w:val="20"/>
            </w:rPr>
            <w:t>Dalszych informacji udzielają:</w:t>
          </w:r>
        </w:p>
      </w:sdtContent>
    </w:sdt>
    <w:tbl>
      <w:tblPr>
        <w:tblW w:w="0" w:type="auto"/>
        <w:tblLook w:val="04A0" w:firstRow="1" w:lastRow="0" w:firstColumn="1" w:lastColumn="0" w:noHBand="0" w:noVBand="1"/>
      </w:tblPr>
      <w:tblGrid>
        <w:gridCol w:w="4253"/>
        <w:gridCol w:w="4763"/>
      </w:tblGrid>
      <w:tr w:rsidR="00E6727E" w:rsidRPr="00135F43" w14:paraId="6B7E2ADF" w14:textId="77777777" w:rsidTr="00716D7C">
        <w:tc>
          <w:tcPr>
            <w:tcW w:w="4253" w:type="dxa"/>
          </w:tcPr>
          <w:p w14:paraId="449EC38E" w14:textId="7B6BFB20" w:rsidR="00E6727E" w:rsidRPr="00135F43" w:rsidRDefault="00E815E3" w:rsidP="00B953B8">
            <w:pPr>
              <w:pStyle w:val="NoSpacing"/>
              <w:rPr>
                <w:rFonts w:ascii="Montserrat" w:hAnsi="Montserrat"/>
                <w:sz w:val="20"/>
                <w:szCs w:val="20"/>
              </w:rPr>
            </w:pPr>
            <w:r>
              <w:rPr>
                <w:rFonts w:ascii="Montserrat" w:hAnsi="Montserrat"/>
                <w:sz w:val="20"/>
                <w:szCs w:val="20"/>
              </w:rPr>
              <w:t>Bruno Menne</w:t>
            </w:r>
          </w:p>
          <w:p w14:paraId="19C10025" w14:textId="357196AB" w:rsidR="00E6727E" w:rsidRPr="00135F43" w:rsidRDefault="00E815E3" w:rsidP="00B953B8">
            <w:pPr>
              <w:pStyle w:val="NoSpacing"/>
              <w:rPr>
                <w:rStyle w:val="CCNoSpacing"/>
                <w:rFonts w:ascii="Montserrat" w:hAnsi="Montserrat"/>
                <w:sz w:val="20"/>
                <w:szCs w:val="20"/>
              </w:rPr>
            </w:pPr>
            <w:r>
              <w:rPr>
                <w:rStyle w:val="CCNoSpacing"/>
                <w:rFonts w:ascii="Montserrat" w:hAnsi="Montserrat"/>
                <w:sz w:val="20"/>
                <w:szCs w:val="20"/>
              </w:rPr>
              <w:t>Dyrektor ds. towarów i handlu</w:t>
            </w:r>
          </w:p>
          <w:p w14:paraId="1C2F51F4" w14:textId="49B577FE" w:rsidR="00E6727E" w:rsidRPr="00135F43" w:rsidRDefault="00E815E3" w:rsidP="00B953B8">
            <w:pPr>
              <w:rPr>
                <w:rFonts w:ascii="Montserrat" w:hAnsi="Montserrat"/>
                <w:sz w:val="20"/>
                <w:szCs w:val="20"/>
              </w:rPr>
            </w:pPr>
            <w:r>
              <w:rPr>
                <w:rStyle w:val="Hyperlink"/>
                <w:rFonts w:ascii="Montserrat" w:hAnsi="Montserrat"/>
                <w:sz w:val="20"/>
                <w:szCs w:val="20"/>
              </w:rPr>
              <w:t>bruno.menne@copa-cogeca.eu</w:t>
            </w:r>
          </w:p>
        </w:tc>
        <w:tc>
          <w:tcPr>
            <w:tcW w:w="4763" w:type="dxa"/>
          </w:tcPr>
          <w:p w14:paraId="5E67AE31" w14:textId="04C9841F" w:rsidR="00E6727E" w:rsidRPr="00135F43" w:rsidRDefault="00E815E3" w:rsidP="00B953B8">
            <w:pPr>
              <w:pStyle w:val="NoSpacing"/>
              <w:rPr>
                <w:rFonts w:ascii="Montserrat" w:hAnsi="Montserrat"/>
                <w:sz w:val="20"/>
                <w:szCs w:val="20"/>
              </w:rPr>
            </w:pPr>
            <w:r>
              <w:rPr>
                <w:rFonts w:ascii="Montserrat" w:hAnsi="Montserrat"/>
                <w:sz w:val="20"/>
                <w:szCs w:val="20"/>
              </w:rPr>
              <w:t>Jean-Baptiste Boucher</w:t>
            </w:r>
          </w:p>
          <w:p w14:paraId="4A92829D" w14:textId="4AFC39F2" w:rsidR="00E6727E" w:rsidRPr="00135F43" w:rsidRDefault="00E815E3" w:rsidP="00B953B8">
            <w:pPr>
              <w:pStyle w:val="NoSpacing"/>
              <w:rPr>
                <w:rFonts w:ascii="Montserrat" w:hAnsi="Montserrat"/>
                <w:sz w:val="20"/>
                <w:szCs w:val="20"/>
              </w:rPr>
            </w:pPr>
            <w:r>
              <w:rPr>
                <w:rFonts w:ascii="Montserrat" w:hAnsi="Montserrat"/>
                <w:sz w:val="20"/>
                <w:szCs w:val="20"/>
              </w:rPr>
              <w:t>Dyrektor ds. komunikacji</w:t>
            </w:r>
          </w:p>
          <w:p w14:paraId="71A9A1B1" w14:textId="57B35C85" w:rsidR="00E6727E" w:rsidRPr="00135F43" w:rsidRDefault="00E815E3" w:rsidP="00B953B8">
            <w:pPr>
              <w:pStyle w:val="NoSpacing"/>
              <w:rPr>
                <w:rFonts w:ascii="Montserrat" w:hAnsi="Montserrat"/>
                <w:sz w:val="20"/>
                <w:szCs w:val="20"/>
              </w:rPr>
            </w:pPr>
            <w:r>
              <w:rPr>
                <w:rFonts w:ascii="Montserrat" w:hAnsi="Montserrat"/>
                <w:sz w:val="20"/>
                <w:szCs w:val="20"/>
              </w:rPr>
              <w:t>+32 474 84 08 36</w:t>
            </w:r>
          </w:p>
          <w:p w14:paraId="13ACE948" w14:textId="16569A53" w:rsidR="00E6727E" w:rsidRPr="00135F43" w:rsidRDefault="00E815E3" w:rsidP="00B953B8">
            <w:pPr>
              <w:rPr>
                <w:rFonts w:ascii="Montserrat" w:hAnsi="Montserrat"/>
                <w:sz w:val="20"/>
                <w:szCs w:val="20"/>
              </w:rPr>
            </w:pPr>
            <w:r>
              <w:rPr>
                <w:rStyle w:val="Hyperlink"/>
                <w:rFonts w:ascii="Montserrat" w:hAnsi="Montserrat"/>
                <w:sz w:val="20"/>
                <w:szCs w:val="20"/>
              </w:rPr>
              <w:t>jean-baptiste.boucher@copa-cogeca.eu</w:t>
            </w:r>
          </w:p>
        </w:tc>
      </w:tr>
    </w:tbl>
    <w:p w14:paraId="623FA44C" w14:textId="77777777" w:rsidR="00E6727E" w:rsidRDefault="00E6727E" w:rsidP="00135F43"/>
    <w:p w14:paraId="3E8ED80B" w14:textId="77777777" w:rsidR="00817677" w:rsidRDefault="00817677" w:rsidP="00135F43"/>
    <w:p w14:paraId="0902EF12" w14:textId="77777777" w:rsidR="00817677" w:rsidRDefault="00817677" w:rsidP="00817677">
      <w:pPr>
        <w:jc w:val="center"/>
      </w:pPr>
      <w:r>
        <w:t>Lista mailingowa komunikatów prasowych</w:t>
      </w:r>
    </w:p>
    <w:p w14:paraId="509A4D8B" w14:textId="77777777" w:rsidR="00817677" w:rsidRPr="00817677" w:rsidRDefault="00817677" w:rsidP="00817677">
      <w:pPr>
        <w:jc w:val="center"/>
      </w:pPr>
      <w:r>
        <w:rPr>
          <w:noProof/>
          <w:lang w:val="en-US"/>
        </w:rPr>
        <mc:AlternateContent>
          <mc:Choice Requires="wps">
            <w:drawing>
              <wp:anchor distT="0" distB="0" distL="114300" distR="114300" simplePos="0" relativeHeight="251662336" behindDoc="0" locked="0" layoutInCell="1" allowOverlap="1" wp14:anchorId="1BB5503D" wp14:editId="15D3FA12">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1DE369FD"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Wypisz się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B5503D"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1DE369FD"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Wypisz się</w:t>
                      </w:r>
                    </w:p>
                  </w:txbxContent>
                </v:textbox>
              </v:roundrect>
            </w:pict>
          </mc:Fallback>
        </mc:AlternateContent>
      </w:r>
      <w:r>
        <w:rPr>
          <w:noProof/>
          <w:lang w:val="en-US"/>
        </w:rPr>
        <mc:AlternateContent>
          <mc:Choice Requires="wps">
            <w:drawing>
              <wp:anchor distT="0" distB="0" distL="114300" distR="114300" simplePos="0" relativeHeight="251660288" behindDoc="0" locked="0" layoutInCell="1" allowOverlap="1" wp14:anchorId="002D4A14" wp14:editId="647F83F5">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3690D717"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Subskrybuj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02D4A14"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3690D717"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Subskrybuj</w:t>
                      </w:r>
                    </w:p>
                  </w:txbxContent>
                </v:textbox>
              </v:roundrect>
            </w:pict>
          </mc:Fallback>
        </mc:AlternateContent>
      </w:r>
    </w:p>
    <w:sectPr w:rsidR="00817677" w:rsidRPr="00817677" w:rsidSect="00107120">
      <w:headerReference w:type="default" r:id="rId14"/>
      <w:footerReference w:type="default" r:id="rId15"/>
      <w:headerReference w:type="first" r:id="rId16"/>
      <w:footerReference w:type="first" r:id="rId17"/>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2263A8" w14:textId="77777777" w:rsidR="00C57DA7" w:rsidRPr="00716D7C" w:rsidRDefault="00C57DA7" w:rsidP="00716D7C">
      <w:r>
        <w:separator/>
      </w:r>
    </w:p>
  </w:endnote>
  <w:endnote w:type="continuationSeparator" w:id="0">
    <w:p w14:paraId="6E521629" w14:textId="77777777" w:rsidR="00C57DA7" w:rsidRPr="00716D7C" w:rsidRDefault="00C57DA7"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BCF841D-6709-4BC0-AF6E-F8C1B786A356}"/>
    <w:embedBold r:id="rId2" w:fontKey="{6826B152-E4E6-4805-BD4D-C467B14CE0FC}"/>
  </w:font>
  <w:font w:name="Montserrat Light">
    <w:altName w:val="Times New Roman"/>
    <w:panose1 w:val="00000400000000000000"/>
    <w:charset w:val="00"/>
    <w:family w:val="auto"/>
    <w:pitch w:val="variable"/>
    <w:sig w:usb0="2000020F" w:usb1="00000003" w:usb2="00000000" w:usb3="00000000" w:csb0="00000197" w:csb1="00000000"/>
    <w:embedRegular r:id="rId3" w:fontKey="{5689914A-0B81-4EFA-AA3A-04D935BA2EFA}"/>
    <w:embedBold r:id="rId4" w:fontKey="{8D6C00A5-6277-4107-A92F-631BAD3B0115}"/>
  </w:font>
  <w:font w:name="Calibri Light">
    <w:panose1 w:val="020F0302020204030204"/>
    <w:charset w:val="00"/>
    <w:family w:val="swiss"/>
    <w:pitch w:val="variable"/>
    <w:sig w:usb0="E4002EFF" w:usb1="C200247B" w:usb2="00000009" w:usb3="00000000" w:csb0="000001FF" w:csb1="00000000"/>
    <w:embedRegular r:id="rId5" w:fontKey="{E525EF34-95DC-49AC-974E-94A79DAA7799}"/>
  </w:font>
  <w:font w:name="Yu Gothic Light">
    <w:panose1 w:val="020B0300000000000000"/>
    <w:charset w:val="80"/>
    <w:family w:val="swiss"/>
    <w:pitch w:val="variable"/>
    <w:sig w:usb0="E00002FF" w:usb1="2AC7FDFF" w:usb2="00000016" w:usb3="00000000" w:csb0="0002009F" w:csb1="00000000"/>
  </w:font>
  <w:font w:name="Montserrat">
    <w:altName w:val="Times New Roman"/>
    <w:panose1 w:val="00000500000000000000"/>
    <w:charset w:val="00"/>
    <w:family w:val="auto"/>
    <w:pitch w:val="variable"/>
    <w:sig w:usb0="2000020F" w:usb1="00000003" w:usb2="00000000" w:usb3="00000000" w:csb0="00000197" w:csb1="00000000"/>
    <w:embedRegular r:id="rId6" w:fontKey="{D579135E-B340-4F5C-A56C-DCDCF1B03193}"/>
    <w:embedBold r:id="rId7" w:fontKey="{93FD20A9-B071-48B1-9860-A4C498FA486B}"/>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9A5B5" w14:textId="77777777" w:rsidR="00107120" w:rsidRPr="008403E3" w:rsidRDefault="00107120" w:rsidP="00107120">
    <w:pPr>
      <w:spacing w:after="0"/>
      <w:ind w:left="1134"/>
      <w:rPr>
        <w:rFonts w:ascii="Montserrat" w:hAnsi="Montserrat"/>
        <w:sz w:val="16"/>
        <w:szCs w:val="16"/>
      </w:rPr>
    </w:pPr>
    <w:r>
      <w:rPr>
        <w:rFonts w:ascii="Montserrat" w:hAnsi="Montserrat"/>
        <w:noProof/>
        <w:color w:val="000000" w:themeColor="text1"/>
        <w:sz w:val="16"/>
        <w:szCs w:val="16"/>
        <w:lang w:val="en-US"/>
      </w:rPr>
      <w:drawing>
        <wp:anchor distT="0" distB="0" distL="114300" distR="114300" simplePos="0" relativeHeight="251661312" behindDoc="1" locked="0" layoutInCell="1" allowOverlap="1" wp14:anchorId="0C62E49D" wp14:editId="48E905E5">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sz w:val="16"/>
        <w:szCs w:val="16"/>
      </w:rPr>
      <w:t xml:space="preserve">Copa - Cogeca | Europejscy Rolnicy Europejskie Spółdzielnie Rolnicze </w:t>
    </w:r>
  </w:p>
  <w:p w14:paraId="64870E08" w14:textId="77777777" w:rsidR="00107120" w:rsidRPr="009F5266" w:rsidRDefault="00107120" w:rsidP="00107120">
    <w:pPr>
      <w:spacing w:after="0"/>
      <w:ind w:left="1134"/>
      <w:rPr>
        <w:rFonts w:ascii="Montserrat" w:hAnsi="Montserrat"/>
        <w:sz w:val="16"/>
        <w:szCs w:val="16"/>
        <w:lang w:val="fr-BE"/>
      </w:rPr>
    </w:pPr>
    <w:r w:rsidRPr="009F5266">
      <w:rPr>
        <w:rFonts w:ascii="Montserrat" w:hAnsi="Montserrat"/>
        <w:sz w:val="16"/>
        <w:szCs w:val="16"/>
        <w:lang w:val="fr-BE"/>
      </w:rPr>
      <w:t xml:space="preserve">61, Rue de Trèves | B - 1040 Bruksela | www.copa-cogeca.eu  </w:t>
    </w:r>
  </w:p>
  <w:p w14:paraId="2C323DB9"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Numer rejestru służącego przejrzystości UE | Copa 44856881231-49  | Cogeca 09586631237-74</w:t>
    </w:r>
  </w:p>
  <w:p w14:paraId="1E769C81"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CD481" w14:textId="77777777" w:rsidR="00107120" w:rsidRPr="008403E3" w:rsidRDefault="00107120" w:rsidP="00107120">
    <w:pPr>
      <w:spacing w:after="0"/>
      <w:ind w:left="1134"/>
      <w:rPr>
        <w:rFonts w:ascii="Montserrat" w:hAnsi="Montserrat"/>
        <w:sz w:val="16"/>
        <w:szCs w:val="16"/>
      </w:rPr>
    </w:pPr>
    <w:r>
      <w:rPr>
        <w:rFonts w:ascii="Montserrat" w:hAnsi="Montserrat"/>
        <w:noProof/>
        <w:color w:val="000000" w:themeColor="text1"/>
        <w:sz w:val="16"/>
        <w:szCs w:val="16"/>
        <w:lang w:val="en-US"/>
      </w:rPr>
      <w:drawing>
        <wp:anchor distT="0" distB="0" distL="114300" distR="114300" simplePos="0" relativeHeight="251659264" behindDoc="1" locked="0" layoutInCell="1" allowOverlap="1" wp14:anchorId="74C1D4D6" wp14:editId="4B0F1D4A">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sz w:val="16"/>
        <w:szCs w:val="16"/>
      </w:rPr>
      <w:t xml:space="preserve">Copa - Cogeca | Europejscy Rolnicy Europejskie Spółdzielnie Rolnicze </w:t>
    </w:r>
  </w:p>
  <w:p w14:paraId="77512463" w14:textId="77777777" w:rsidR="00107120" w:rsidRPr="009F5266" w:rsidRDefault="00107120" w:rsidP="00107120">
    <w:pPr>
      <w:spacing w:after="0"/>
      <w:ind w:left="1134"/>
      <w:rPr>
        <w:rFonts w:ascii="Montserrat" w:hAnsi="Montserrat"/>
        <w:sz w:val="16"/>
        <w:szCs w:val="16"/>
        <w:lang w:val="fr-BE"/>
      </w:rPr>
    </w:pPr>
    <w:r w:rsidRPr="009F5266">
      <w:rPr>
        <w:rFonts w:ascii="Montserrat" w:hAnsi="Montserrat"/>
        <w:sz w:val="16"/>
        <w:szCs w:val="16"/>
        <w:lang w:val="fr-BE"/>
      </w:rPr>
      <w:t xml:space="preserve">61, Rue de Trèves | B - 1040 Bruksela | www.copa-cogeca.eu  </w:t>
    </w:r>
  </w:p>
  <w:p w14:paraId="7EEDEDC3"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Numer rejestru służącego przejrzystości UE | Copa 44856881231-49  | Cogeca 09586631237-74</w:t>
    </w:r>
  </w:p>
  <w:p w14:paraId="08C73F2A"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0D01C3" w14:textId="77777777" w:rsidR="00C57DA7" w:rsidRPr="00716D7C" w:rsidRDefault="00C57DA7" w:rsidP="00716D7C">
      <w:r>
        <w:separator/>
      </w:r>
    </w:p>
  </w:footnote>
  <w:footnote w:type="continuationSeparator" w:id="0">
    <w:p w14:paraId="210BDA8B" w14:textId="77777777" w:rsidR="00C57DA7" w:rsidRPr="00716D7C" w:rsidRDefault="00C57DA7" w:rsidP="00716D7C">
      <w:r>
        <w:continuationSeparator/>
      </w:r>
    </w:p>
  </w:footnote>
  <w:footnote w:id="1">
    <w:p w14:paraId="0731E8D6" w14:textId="78A7F8F8" w:rsidR="006141E2" w:rsidRPr="009F5266" w:rsidRDefault="006141E2" w:rsidP="006141E2">
      <w:pPr>
        <w:pStyle w:val="FootnoteText"/>
        <w:numPr>
          <w:ilvl w:val="0"/>
          <w:numId w:val="13"/>
        </w:numPr>
        <w:rPr>
          <w:sz w:val="12"/>
          <w:szCs w:val="12"/>
          <w:lang w:val="en-US"/>
        </w:rPr>
      </w:pPr>
      <w:r w:rsidRPr="009F5266">
        <w:rPr>
          <w:sz w:val="12"/>
          <w:szCs w:val="12"/>
          <w:lang w:val="en-US"/>
        </w:rPr>
        <w:t xml:space="preserve">Marchand, P. A., (2022). Evolution of plant protection active substances in Europe: the disappearance of chemicals in favour of biocontrol agents, Environmental Science and Pollution Research (2023) 30:1–17: </w:t>
      </w:r>
      <w:hyperlink r:id="rId1" w:history="1">
        <w:r w:rsidRPr="009F5266">
          <w:rPr>
            <w:rStyle w:val="Hyperlink"/>
            <w:sz w:val="12"/>
            <w:szCs w:val="12"/>
            <w:lang w:val="en-US"/>
          </w:rPr>
          <w:t>https://doi.org/10.1007/s11356-022-24057-7</w:t>
        </w:r>
      </w:hyperlink>
    </w:p>
    <w:p w14:paraId="66F259E7" w14:textId="20BE20E4" w:rsidR="006141E2" w:rsidRPr="009F5266" w:rsidRDefault="006141E2">
      <w:pPr>
        <w:pStyle w:val="FootnoteText"/>
        <w:rPr>
          <w:sz w:val="12"/>
          <w:szCs w:val="12"/>
          <w:lang w:val="en-US"/>
        </w:rPr>
      </w:pPr>
    </w:p>
  </w:footnote>
  <w:footnote w:id="2">
    <w:p w14:paraId="388C535D" w14:textId="177955DB" w:rsidR="006141E2" w:rsidRPr="009F5266" w:rsidRDefault="006141E2" w:rsidP="00E815E3">
      <w:pPr>
        <w:pStyle w:val="FootnoteText"/>
        <w:numPr>
          <w:ilvl w:val="0"/>
          <w:numId w:val="13"/>
        </w:numPr>
        <w:rPr>
          <w:lang w:val="en-US"/>
        </w:rPr>
      </w:pPr>
      <w:r w:rsidRPr="009F5266">
        <w:rPr>
          <w:sz w:val="12"/>
          <w:szCs w:val="12"/>
          <w:lang w:val="en-US"/>
        </w:rPr>
        <w:t xml:space="preserve">Marchand, P. A., (2022). Evolution of plant protection active substances in Europe: the disappearance of chemicals in favour of biocontrol agents, Environmental Science and Pollution Research (2023) 30:1–17: </w:t>
      </w:r>
      <w:hyperlink r:id="rId2" w:history="1">
        <w:r w:rsidRPr="009F5266">
          <w:rPr>
            <w:sz w:val="12"/>
            <w:szCs w:val="12"/>
            <w:lang w:val="en-US"/>
          </w:rPr>
          <w:t>https://doi.org/10.1007/s11356-022-24057-7</w:t>
        </w:r>
      </w:hyperlink>
    </w:p>
    <w:p w14:paraId="5AB34BBD" w14:textId="7A66F830" w:rsidR="006141E2" w:rsidRPr="009F5266" w:rsidRDefault="006141E2">
      <w:pPr>
        <w:pStyle w:val="FootnoteText"/>
        <w:rPr>
          <w:lang w:val="en-US"/>
        </w:rPr>
      </w:pPr>
    </w:p>
  </w:footnote>
  <w:footnote w:id="3">
    <w:p w14:paraId="2B0489DE" w14:textId="2397BDDD" w:rsidR="006141E2" w:rsidRPr="009F5266" w:rsidRDefault="006141E2">
      <w:pPr>
        <w:pStyle w:val="FootnoteText"/>
        <w:rPr>
          <w:sz w:val="12"/>
          <w:szCs w:val="12"/>
          <w:lang w:val="en-US"/>
        </w:rPr>
      </w:pPr>
      <w:r>
        <w:rPr>
          <w:sz w:val="12"/>
          <w:szCs w:val="12"/>
          <w:lang w:val="en-US"/>
        </w:rPr>
        <w:footnoteRef/>
      </w:r>
      <w:r w:rsidRPr="009F5266">
        <w:rPr>
          <w:sz w:val="12"/>
          <w:szCs w:val="12"/>
          <w:lang w:val="en-US"/>
        </w:rPr>
        <w:t xml:space="preserve"> https://agridata.ec.europa.eu/extensions/DashboardCereals/CerealsTrade.html</w:t>
      </w:r>
    </w:p>
    <w:p w14:paraId="28D8DD82" w14:textId="77777777" w:rsidR="006141E2" w:rsidRPr="009F5266" w:rsidRDefault="006141E2">
      <w:pPr>
        <w:pStyle w:val="FootnoteText"/>
        <w:rPr>
          <w:sz w:val="12"/>
          <w:szCs w:val="12"/>
          <w:lang w:val="en-US"/>
        </w:rPr>
      </w:pPr>
    </w:p>
  </w:footnote>
  <w:footnote w:id="4">
    <w:p w14:paraId="4464ACCD" w14:textId="143175E8" w:rsidR="006141E2" w:rsidRPr="009F5266" w:rsidRDefault="006141E2">
      <w:pPr>
        <w:pStyle w:val="FootnoteText"/>
        <w:rPr>
          <w:lang w:val="en-US"/>
        </w:rPr>
      </w:pPr>
      <w:r>
        <w:rPr>
          <w:sz w:val="12"/>
          <w:szCs w:val="12"/>
          <w:lang w:val="en-US"/>
        </w:rPr>
        <w:footnoteRef/>
      </w:r>
      <w:r w:rsidRPr="009F5266">
        <w:rPr>
          <w:sz w:val="12"/>
          <w:szCs w:val="12"/>
          <w:lang w:val="en-US"/>
        </w:rPr>
        <w:t xml:space="preserve"> https://agridata.ec.europa.eu/extensions/DashboardCereals/CerealsProduction.html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B61EB9"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rPr>
      <w:alias w:val="Insert Logo"/>
      <w:tag w:val="Insert Logo"/>
      <w:id w:val="-1871138787"/>
      <w:picture/>
    </w:sdtPr>
    <w:sdtEndPr/>
    <w:sdtContent>
      <w:p w14:paraId="190AEA54" w14:textId="77777777" w:rsidR="00135F43" w:rsidRDefault="00135F43" w:rsidP="00135F43">
        <w:pPr>
          <w:jc w:val="left"/>
          <w:rPr>
            <w:noProof/>
          </w:rPr>
        </w:pPr>
        <w:r>
          <w:rPr>
            <w:noProof/>
            <w:lang w:val="en-US"/>
          </w:rPr>
          <w:drawing>
            <wp:inline distT="0" distB="0" distL="0" distR="0" wp14:anchorId="2E93F823" wp14:editId="7DA3174D">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52CC6278"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05672B"/>
    <w:multiLevelType w:val="hybridMultilevel"/>
    <w:tmpl w:val="3F3C55F0"/>
    <w:lvl w:ilvl="0" w:tplc="67C8F364">
      <w:start w:val="1"/>
      <w:numFmt w:val="decimal"/>
      <w:lvlText w:val="%1."/>
      <w:lvlJc w:val="left"/>
      <w:pPr>
        <w:tabs>
          <w:tab w:val="num" w:pos="720"/>
        </w:tabs>
        <w:ind w:left="720" w:hanging="360"/>
      </w:pPr>
    </w:lvl>
    <w:lvl w:ilvl="1" w:tplc="CB8646E8" w:tentative="1">
      <w:start w:val="1"/>
      <w:numFmt w:val="decimal"/>
      <w:lvlText w:val="%2."/>
      <w:lvlJc w:val="left"/>
      <w:pPr>
        <w:tabs>
          <w:tab w:val="num" w:pos="1440"/>
        </w:tabs>
        <w:ind w:left="1440" w:hanging="360"/>
      </w:pPr>
    </w:lvl>
    <w:lvl w:ilvl="2" w:tplc="B382F0BE" w:tentative="1">
      <w:start w:val="1"/>
      <w:numFmt w:val="decimal"/>
      <w:lvlText w:val="%3."/>
      <w:lvlJc w:val="left"/>
      <w:pPr>
        <w:tabs>
          <w:tab w:val="num" w:pos="2160"/>
        </w:tabs>
        <w:ind w:left="2160" w:hanging="360"/>
      </w:pPr>
    </w:lvl>
    <w:lvl w:ilvl="3" w:tplc="690A1BCE" w:tentative="1">
      <w:start w:val="1"/>
      <w:numFmt w:val="decimal"/>
      <w:lvlText w:val="%4."/>
      <w:lvlJc w:val="left"/>
      <w:pPr>
        <w:tabs>
          <w:tab w:val="num" w:pos="2880"/>
        </w:tabs>
        <w:ind w:left="2880" w:hanging="360"/>
      </w:pPr>
    </w:lvl>
    <w:lvl w:ilvl="4" w:tplc="0C80DE28" w:tentative="1">
      <w:start w:val="1"/>
      <w:numFmt w:val="decimal"/>
      <w:lvlText w:val="%5."/>
      <w:lvlJc w:val="left"/>
      <w:pPr>
        <w:tabs>
          <w:tab w:val="num" w:pos="3600"/>
        </w:tabs>
        <w:ind w:left="3600" w:hanging="360"/>
      </w:pPr>
    </w:lvl>
    <w:lvl w:ilvl="5" w:tplc="5D74860A" w:tentative="1">
      <w:start w:val="1"/>
      <w:numFmt w:val="decimal"/>
      <w:lvlText w:val="%6."/>
      <w:lvlJc w:val="left"/>
      <w:pPr>
        <w:tabs>
          <w:tab w:val="num" w:pos="4320"/>
        </w:tabs>
        <w:ind w:left="4320" w:hanging="360"/>
      </w:pPr>
    </w:lvl>
    <w:lvl w:ilvl="6" w:tplc="A65C8164" w:tentative="1">
      <w:start w:val="1"/>
      <w:numFmt w:val="decimal"/>
      <w:lvlText w:val="%7."/>
      <w:lvlJc w:val="left"/>
      <w:pPr>
        <w:tabs>
          <w:tab w:val="num" w:pos="5040"/>
        </w:tabs>
        <w:ind w:left="5040" w:hanging="360"/>
      </w:pPr>
    </w:lvl>
    <w:lvl w:ilvl="7" w:tplc="4B7EAD76" w:tentative="1">
      <w:start w:val="1"/>
      <w:numFmt w:val="decimal"/>
      <w:lvlText w:val="%8."/>
      <w:lvlJc w:val="left"/>
      <w:pPr>
        <w:tabs>
          <w:tab w:val="num" w:pos="5760"/>
        </w:tabs>
        <w:ind w:left="5760" w:hanging="360"/>
      </w:pPr>
    </w:lvl>
    <w:lvl w:ilvl="8" w:tplc="37CACFF4" w:tentative="1">
      <w:start w:val="1"/>
      <w:numFmt w:val="decimal"/>
      <w:lvlText w:val="%9."/>
      <w:lvlJc w:val="left"/>
      <w:pPr>
        <w:tabs>
          <w:tab w:val="num" w:pos="6480"/>
        </w:tabs>
        <w:ind w:left="6480" w:hanging="360"/>
      </w:pPr>
    </w:lvl>
  </w:abstractNum>
  <w:abstractNum w:abstractNumId="11" w15:restartNumberingAfterBreak="0">
    <w:nsid w:val="19017C5F"/>
    <w:multiLevelType w:val="hybridMultilevel"/>
    <w:tmpl w:val="4F74AEEE"/>
    <w:lvl w:ilvl="0" w:tplc="936054BC">
      <w:start w:val="1"/>
      <w:numFmt w:val="decimal"/>
      <w:lvlText w:val="%1."/>
      <w:lvlJc w:val="left"/>
      <w:pPr>
        <w:tabs>
          <w:tab w:val="num" w:pos="720"/>
        </w:tabs>
        <w:ind w:left="720" w:hanging="360"/>
      </w:pPr>
    </w:lvl>
    <w:lvl w:ilvl="1" w:tplc="2612E53A" w:tentative="1">
      <w:start w:val="1"/>
      <w:numFmt w:val="decimal"/>
      <w:lvlText w:val="%2."/>
      <w:lvlJc w:val="left"/>
      <w:pPr>
        <w:tabs>
          <w:tab w:val="num" w:pos="1440"/>
        </w:tabs>
        <w:ind w:left="1440" w:hanging="360"/>
      </w:pPr>
    </w:lvl>
    <w:lvl w:ilvl="2" w:tplc="6ADE5464" w:tentative="1">
      <w:start w:val="1"/>
      <w:numFmt w:val="decimal"/>
      <w:lvlText w:val="%3."/>
      <w:lvlJc w:val="left"/>
      <w:pPr>
        <w:tabs>
          <w:tab w:val="num" w:pos="2160"/>
        </w:tabs>
        <w:ind w:left="2160" w:hanging="360"/>
      </w:pPr>
    </w:lvl>
    <w:lvl w:ilvl="3" w:tplc="0B505798" w:tentative="1">
      <w:start w:val="1"/>
      <w:numFmt w:val="decimal"/>
      <w:lvlText w:val="%4."/>
      <w:lvlJc w:val="left"/>
      <w:pPr>
        <w:tabs>
          <w:tab w:val="num" w:pos="2880"/>
        </w:tabs>
        <w:ind w:left="2880" w:hanging="360"/>
      </w:pPr>
    </w:lvl>
    <w:lvl w:ilvl="4" w:tplc="BB5A07EC" w:tentative="1">
      <w:start w:val="1"/>
      <w:numFmt w:val="decimal"/>
      <w:lvlText w:val="%5."/>
      <w:lvlJc w:val="left"/>
      <w:pPr>
        <w:tabs>
          <w:tab w:val="num" w:pos="3600"/>
        </w:tabs>
        <w:ind w:left="3600" w:hanging="360"/>
      </w:pPr>
    </w:lvl>
    <w:lvl w:ilvl="5" w:tplc="37F62850" w:tentative="1">
      <w:start w:val="1"/>
      <w:numFmt w:val="decimal"/>
      <w:lvlText w:val="%6."/>
      <w:lvlJc w:val="left"/>
      <w:pPr>
        <w:tabs>
          <w:tab w:val="num" w:pos="4320"/>
        </w:tabs>
        <w:ind w:left="4320" w:hanging="360"/>
      </w:pPr>
    </w:lvl>
    <w:lvl w:ilvl="6" w:tplc="D66EEF2A" w:tentative="1">
      <w:start w:val="1"/>
      <w:numFmt w:val="decimal"/>
      <w:lvlText w:val="%7."/>
      <w:lvlJc w:val="left"/>
      <w:pPr>
        <w:tabs>
          <w:tab w:val="num" w:pos="5040"/>
        </w:tabs>
        <w:ind w:left="5040" w:hanging="360"/>
      </w:pPr>
    </w:lvl>
    <w:lvl w:ilvl="7" w:tplc="E67EFADE" w:tentative="1">
      <w:start w:val="1"/>
      <w:numFmt w:val="decimal"/>
      <w:lvlText w:val="%8."/>
      <w:lvlJc w:val="left"/>
      <w:pPr>
        <w:tabs>
          <w:tab w:val="num" w:pos="5760"/>
        </w:tabs>
        <w:ind w:left="5760" w:hanging="360"/>
      </w:pPr>
    </w:lvl>
    <w:lvl w:ilvl="8" w:tplc="BCA8FB48" w:tentative="1">
      <w:start w:val="1"/>
      <w:numFmt w:val="decimal"/>
      <w:lvlText w:val="%9."/>
      <w:lvlJc w:val="left"/>
      <w:pPr>
        <w:tabs>
          <w:tab w:val="num" w:pos="6480"/>
        </w:tabs>
        <w:ind w:left="6480" w:hanging="360"/>
      </w:pPr>
    </w:lvl>
  </w:abstractNum>
  <w:abstractNum w:abstractNumId="12" w15:restartNumberingAfterBreak="0">
    <w:nsid w:val="256B3818"/>
    <w:multiLevelType w:val="hybridMultilevel"/>
    <w:tmpl w:val="607A9DB8"/>
    <w:lvl w:ilvl="0" w:tplc="05784AC8">
      <w:start w:val="1"/>
      <w:numFmt w:val="decimal"/>
      <w:lvlText w:val="%1."/>
      <w:lvlJc w:val="left"/>
      <w:pPr>
        <w:tabs>
          <w:tab w:val="num" w:pos="720"/>
        </w:tabs>
        <w:ind w:left="720" w:hanging="360"/>
      </w:pPr>
    </w:lvl>
    <w:lvl w:ilvl="1" w:tplc="6B0E807C" w:tentative="1">
      <w:start w:val="1"/>
      <w:numFmt w:val="decimal"/>
      <w:lvlText w:val="%2."/>
      <w:lvlJc w:val="left"/>
      <w:pPr>
        <w:tabs>
          <w:tab w:val="num" w:pos="1440"/>
        </w:tabs>
        <w:ind w:left="1440" w:hanging="360"/>
      </w:pPr>
    </w:lvl>
    <w:lvl w:ilvl="2" w:tplc="7EBC9712" w:tentative="1">
      <w:start w:val="1"/>
      <w:numFmt w:val="decimal"/>
      <w:lvlText w:val="%3."/>
      <w:lvlJc w:val="left"/>
      <w:pPr>
        <w:tabs>
          <w:tab w:val="num" w:pos="2160"/>
        </w:tabs>
        <w:ind w:left="2160" w:hanging="360"/>
      </w:pPr>
    </w:lvl>
    <w:lvl w:ilvl="3" w:tplc="1A0808A2" w:tentative="1">
      <w:start w:val="1"/>
      <w:numFmt w:val="decimal"/>
      <w:lvlText w:val="%4."/>
      <w:lvlJc w:val="left"/>
      <w:pPr>
        <w:tabs>
          <w:tab w:val="num" w:pos="2880"/>
        </w:tabs>
        <w:ind w:left="2880" w:hanging="360"/>
      </w:pPr>
    </w:lvl>
    <w:lvl w:ilvl="4" w:tplc="B3FC58AA" w:tentative="1">
      <w:start w:val="1"/>
      <w:numFmt w:val="decimal"/>
      <w:lvlText w:val="%5."/>
      <w:lvlJc w:val="left"/>
      <w:pPr>
        <w:tabs>
          <w:tab w:val="num" w:pos="3600"/>
        </w:tabs>
        <w:ind w:left="3600" w:hanging="360"/>
      </w:pPr>
    </w:lvl>
    <w:lvl w:ilvl="5" w:tplc="DEA617DC" w:tentative="1">
      <w:start w:val="1"/>
      <w:numFmt w:val="decimal"/>
      <w:lvlText w:val="%6."/>
      <w:lvlJc w:val="left"/>
      <w:pPr>
        <w:tabs>
          <w:tab w:val="num" w:pos="4320"/>
        </w:tabs>
        <w:ind w:left="4320" w:hanging="360"/>
      </w:pPr>
    </w:lvl>
    <w:lvl w:ilvl="6" w:tplc="948EB30E" w:tentative="1">
      <w:start w:val="1"/>
      <w:numFmt w:val="decimal"/>
      <w:lvlText w:val="%7."/>
      <w:lvlJc w:val="left"/>
      <w:pPr>
        <w:tabs>
          <w:tab w:val="num" w:pos="5040"/>
        </w:tabs>
        <w:ind w:left="5040" w:hanging="360"/>
      </w:pPr>
    </w:lvl>
    <w:lvl w:ilvl="7" w:tplc="A266ADF4" w:tentative="1">
      <w:start w:val="1"/>
      <w:numFmt w:val="decimal"/>
      <w:lvlText w:val="%8."/>
      <w:lvlJc w:val="left"/>
      <w:pPr>
        <w:tabs>
          <w:tab w:val="num" w:pos="5760"/>
        </w:tabs>
        <w:ind w:left="5760" w:hanging="360"/>
      </w:pPr>
    </w:lvl>
    <w:lvl w:ilvl="8" w:tplc="E28EE6D4" w:tentative="1">
      <w:start w:val="1"/>
      <w:numFmt w:val="decimal"/>
      <w:lvlText w:val="%9."/>
      <w:lvlJc w:val="left"/>
      <w:pPr>
        <w:tabs>
          <w:tab w:val="num" w:pos="6480"/>
        </w:tabs>
        <w:ind w:left="6480" w:hanging="360"/>
      </w:pPr>
    </w:lvl>
  </w:abstractNum>
  <w:abstractNum w:abstractNumId="13" w15:restartNumberingAfterBreak="0">
    <w:nsid w:val="3DD149B8"/>
    <w:multiLevelType w:val="hybridMultilevel"/>
    <w:tmpl w:val="9B602AFA"/>
    <w:lvl w:ilvl="0" w:tplc="45842476">
      <w:start w:val="1"/>
      <w:numFmt w:val="decimal"/>
      <w:lvlText w:val="%1."/>
      <w:lvlJc w:val="left"/>
      <w:pPr>
        <w:tabs>
          <w:tab w:val="num" w:pos="720"/>
        </w:tabs>
        <w:ind w:left="720" w:hanging="360"/>
      </w:pPr>
    </w:lvl>
    <w:lvl w:ilvl="1" w:tplc="25048532" w:tentative="1">
      <w:start w:val="1"/>
      <w:numFmt w:val="decimal"/>
      <w:lvlText w:val="%2."/>
      <w:lvlJc w:val="left"/>
      <w:pPr>
        <w:tabs>
          <w:tab w:val="num" w:pos="1440"/>
        </w:tabs>
        <w:ind w:left="1440" w:hanging="360"/>
      </w:pPr>
    </w:lvl>
    <w:lvl w:ilvl="2" w:tplc="5472F4DA" w:tentative="1">
      <w:start w:val="1"/>
      <w:numFmt w:val="decimal"/>
      <w:lvlText w:val="%3."/>
      <w:lvlJc w:val="left"/>
      <w:pPr>
        <w:tabs>
          <w:tab w:val="num" w:pos="2160"/>
        </w:tabs>
        <w:ind w:left="2160" w:hanging="360"/>
      </w:pPr>
    </w:lvl>
    <w:lvl w:ilvl="3" w:tplc="06983890" w:tentative="1">
      <w:start w:val="1"/>
      <w:numFmt w:val="decimal"/>
      <w:lvlText w:val="%4."/>
      <w:lvlJc w:val="left"/>
      <w:pPr>
        <w:tabs>
          <w:tab w:val="num" w:pos="2880"/>
        </w:tabs>
        <w:ind w:left="2880" w:hanging="360"/>
      </w:pPr>
    </w:lvl>
    <w:lvl w:ilvl="4" w:tplc="597ED180" w:tentative="1">
      <w:start w:val="1"/>
      <w:numFmt w:val="decimal"/>
      <w:lvlText w:val="%5."/>
      <w:lvlJc w:val="left"/>
      <w:pPr>
        <w:tabs>
          <w:tab w:val="num" w:pos="3600"/>
        </w:tabs>
        <w:ind w:left="3600" w:hanging="360"/>
      </w:pPr>
    </w:lvl>
    <w:lvl w:ilvl="5" w:tplc="B51A4A3C" w:tentative="1">
      <w:start w:val="1"/>
      <w:numFmt w:val="decimal"/>
      <w:lvlText w:val="%6."/>
      <w:lvlJc w:val="left"/>
      <w:pPr>
        <w:tabs>
          <w:tab w:val="num" w:pos="4320"/>
        </w:tabs>
        <w:ind w:left="4320" w:hanging="360"/>
      </w:pPr>
    </w:lvl>
    <w:lvl w:ilvl="6" w:tplc="5890FD04" w:tentative="1">
      <w:start w:val="1"/>
      <w:numFmt w:val="decimal"/>
      <w:lvlText w:val="%7."/>
      <w:lvlJc w:val="left"/>
      <w:pPr>
        <w:tabs>
          <w:tab w:val="num" w:pos="5040"/>
        </w:tabs>
        <w:ind w:left="5040" w:hanging="360"/>
      </w:pPr>
    </w:lvl>
    <w:lvl w:ilvl="7" w:tplc="0EFADDFC" w:tentative="1">
      <w:start w:val="1"/>
      <w:numFmt w:val="decimal"/>
      <w:lvlText w:val="%8."/>
      <w:lvlJc w:val="left"/>
      <w:pPr>
        <w:tabs>
          <w:tab w:val="num" w:pos="5760"/>
        </w:tabs>
        <w:ind w:left="5760" w:hanging="360"/>
      </w:pPr>
    </w:lvl>
    <w:lvl w:ilvl="8" w:tplc="B91AA4F6" w:tentative="1">
      <w:start w:val="1"/>
      <w:numFmt w:val="decimal"/>
      <w:lvlText w:val="%9."/>
      <w:lvlJc w:val="left"/>
      <w:pPr>
        <w:tabs>
          <w:tab w:val="num" w:pos="6480"/>
        </w:tabs>
        <w:ind w:left="6480" w:hanging="360"/>
      </w:pPr>
    </w:lvl>
  </w:abstractNum>
  <w:num w:numId="1" w16cid:durableId="540553672">
    <w:abstractNumId w:val="9"/>
  </w:num>
  <w:num w:numId="2" w16cid:durableId="1605336537">
    <w:abstractNumId w:val="7"/>
  </w:num>
  <w:num w:numId="3" w16cid:durableId="772285672">
    <w:abstractNumId w:val="6"/>
  </w:num>
  <w:num w:numId="4" w16cid:durableId="483815593">
    <w:abstractNumId w:val="5"/>
  </w:num>
  <w:num w:numId="5" w16cid:durableId="798569198">
    <w:abstractNumId w:val="4"/>
  </w:num>
  <w:num w:numId="6" w16cid:durableId="1863591590">
    <w:abstractNumId w:val="8"/>
  </w:num>
  <w:num w:numId="7" w16cid:durableId="827597059">
    <w:abstractNumId w:val="3"/>
  </w:num>
  <w:num w:numId="8" w16cid:durableId="1271470918">
    <w:abstractNumId w:val="2"/>
  </w:num>
  <w:num w:numId="9" w16cid:durableId="917592348">
    <w:abstractNumId w:val="1"/>
  </w:num>
  <w:num w:numId="10" w16cid:durableId="1153983422">
    <w:abstractNumId w:val="0"/>
  </w:num>
  <w:num w:numId="11" w16cid:durableId="1654261074">
    <w:abstractNumId w:val="10"/>
  </w:num>
  <w:num w:numId="12" w16cid:durableId="1715427864">
    <w:abstractNumId w:val="12"/>
  </w:num>
  <w:num w:numId="13" w16cid:durableId="1163812213">
    <w:abstractNumId w:val="13"/>
  </w:num>
  <w:num w:numId="14" w16cid:durableId="13977004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CD9"/>
    <w:rsid w:val="00006AB9"/>
    <w:rsid w:val="0002198A"/>
    <w:rsid w:val="000356F5"/>
    <w:rsid w:val="00071DB6"/>
    <w:rsid w:val="000A4349"/>
    <w:rsid w:val="000B1D84"/>
    <w:rsid w:val="000D2B3B"/>
    <w:rsid w:val="000D34BA"/>
    <w:rsid w:val="00100850"/>
    <w:rsid w:val="00107120"/>
    <w:rsid w:val="00111CD9"/>
    <w:rsid w:val="00117877"/>
    <w:rsid w:val="00122F14"/>
    <w:rsid w:val="0013357E"/>
    <w:rsid w:val="00135F43"/>
    <w:rsid w:val="001368D1"/>
    <w:rsid w:val="001377B6"/>
    <w:rsid w:val="00146C88"/>
    <w:rsid w:val="0015598F"/>
    <w:rsid w:val="001648FF"/>
    <w:rsid w:val="00165DC9"/>
    <w:rsid w:val="00171312"/>
    <w:rsid w:val="00175F2B"/>
    <w:rsid w:val="00182716"/>
    <w:rsid w:val="00187A93"/>
    <w:rsid w:val="001950AD"/>
    <w:rsid w:val="001B40A8"/>
    <w:rsid w:val="001C5D42"/>
    <w:rsid w:val="001E1ED9"/>
    <w:rsid w:val="001F1C55"/>
    <w:rsid w:val="00202A5A"/>
    <w:rsid w:val="00215D96"/>
    <w:rsid w:val="00220280"/>
    <w:rsid w:val="00235A0D"/>
    <w:rsid w:val="00244682"/>
    <w:rsid w:val="002562CB"/>
    <w:rsid w:val="002606E9"/>
    <w:rsid w:val="00272E26"/>
    <w:rsid w:val="002B0FFD"/>
    <w:rsid w:val="002D4EA5"/>
    <w:rsid w:val="002D57AF"/>
    <w:rsid w:val="002E02A5"/>
    <w:rsid w:val="002E0FB5"/>
    <w:rsid w:val="0030309D"/>
    <w:rsid w:val="003126C2"/>
    <w:rsid w:val="00327F42"/>
    <w:rsid w:val="00330FBB"/>
    <w:rsid w:val="00341D97"/>
    <w:rsid w:val="003503C8"/>
    <w:rsid w:val="003557C1"/>
    <w:rsid w:val="003747AC"/>
    <w:rsid w:val="00380165"/>
    <w:rsid w:val="00392977"/>
    <w:rsid w:val="0039774E"/>
    <w:rsid w:val="003A0BED"/>
    <w:rsid w:val="003A5957"/>
    <w:rsid w:val="003B1D9A"/>
    <w:rsid w:val="003B68CB"/>
    <w:rsid w:val="003C0EEB"/>
    <w:rsid w:val="003C10A8"/>
    <w:rsid w:val="003C4C18"/>
    <w:rsid w:val="003D1D89"/>
    <w:rsid w:val="003E6571"/>
    <w:rsid w:val="003F44AB"/>
    <w:rsid w:val="00400EBB"/>
    <w:rsid w:val="00424019"/>
    <w:rsid w:val="00445C22"/>
    <w:rsid w:val="00467BDE"/>
    <w:rsid w:val="00486A5D"/>
    <w:rsid w:val="004C39C3"/>
    <w:rsid w:val="004D1FA4"/>
    <w:rsid w:val="004F6EE0"/>
    <w:rsid w:val="005023D5"/>
    <w:rsid w:val="005202ED"/>
    <w:rsid w:val="0056456D"/>
    <w:rsid w:val="0056533A"/>
    <w:rsid w:val="00590988"/>
    <w:rsid w:val="00592F70"/>
    <w:rsid w:val="005D0443"/>
    <w:rsid w:val="005E5961"/>
    <w:rsid w:val="0060027C"/>
    <w:rsid w:val="00600ED3"/>
    <w:rsid w:val="006065FD"/>
    <w:rsid w:val="00607BB2"/>
    <w:rsid w:val="006141E2"/>
    <w:rsid w:val="00641635"/>
    <w:rsid w:val="00644FD8"/>
    <w:rsid w:val="006662C9"/>
    <w:rsid w:val="006676F0"/>
    <w:rsid w:val="00667B30"/>
    <w:rsid w:val="00671B34"/>
    <w:rsid w:val="00673809"/>
    <w:rsid w:val="006772EB"/>
    <w:rsid w:val="00681DA3"/>
    <w:rsid w:val="00691283"/>
    <w:rsid w:val="006A4601"/>
    <w:rsid w:val="006B673C"/>
    <w:rsid w:val="006B74EB"/>
    <w:rsid w:val="006C0583"/>
    <w:rsid w:val="006C4A88"/>
    <w:rsid w:val="006E59B7"/>
    <w:rsid w:val="006F4B5E"/>
    <w:rsid w:val="006F5CEF"/>
    <w:rsid w:val="00716D7C"/>
    <w:rsid w:val="007306AC"/>
    <w:rsid w:val="00734E47"/>
    <w:rsid w:val="007556F3"/>
    <w:rsid w:val="00756DEA"/>
    <w:rsid w:val="00767438"/>
    <w:rsid w:val="00777A2D"/>
    <w:rsid w:val="0078288C"/>
    <w:rsid w:val="007844E9"/>
    <w:rsid w:val="00790E4D"/>
    <w:rsid w:val="007A4E50"/>
    <w:rsid w:val="007B563C"/>
    <w:rsid w:val="007B5E6E"/>
    <w:rsid w:val="007B6D94"/>
    <w:rsid w:val="007B7735"/>
    <w:rsid w:val="007C5E9B"/>
    <w:rsid w:val="007F3E4D"/>
    <w:rsid w:val="00800A86"/>
    <w:rsid w:val="00805042"/>
    <w:rsid w:val="00817677"/>
    <w:rsid w:val="00823D81"/>
    <w:rsid w:val="00843AC5"/>
    <w:rsid w:val="00850375"/>
    <w:rsid w:val="00851336"/>
    <w:rsid w:val="00860527"/>
    <w:rsid w:val="00863D44"/>
    <w:rsid w:val="00864920"/>
    <w:rsid w:val="00867FA8"/>
    <w:rsid w:val="00871AD7"/>
    <w:rsid w:val="008A0BFA"/>
    <w:rsid w:val="008C0429"/>
    <w:rsid w:val="008C0994"/>
    <w:rsid w:val="008E7E54"/>
    <w:rsid w:val="008F3AB6"/>
    <w:rsid w:val="008F4138"/>
    <w:rsid w:val="009000CA"/>
    <w:rsid w:val="00901C69"/>
    <w:rsid w:val="00903528"/>
    <w:rsid w:val="0090748C"/>
    <w:rsid w:val="00922B6D"/>
    <w:rsid w:val="00925C9C"/>
    <w:rsid w:val="0093180B"/>
    <w:rsid w:val="00947501"/>
    <w:rsid w:val="00955DDE"/>
    <w:rsid w:val="00970EA2"/>
    <w:rsid w:val="009834EE"/>
    <w:rsid w:val="00990273"/>
    <w:rsid w:val="009D163E"/>
    <w:rsid w:val="009D40C9"/>
    <w:rsid w:val="009F1163"/>
    <w:rsid w:val="009F5266"/>
    <w:rsid w:val="00A1126D"/>
    <w:rsid w:val="00A20342"/>
    <w:rsid w:val="00A250A5"/>
    <w:rsid w:val="00A62E5F"/>
    <w:rsid w:val="00A63781"/>
    <w:rsid w:val="00A9463E"/>
    <w:rsid w:val="00A9510B"/>
    <w:rsid w:val="00AD0C14"/>
    <w:rsid w:val="00AD3FF0"/>
    <w:rsid w:val="00AE5E6F"/>
    <w:rsid w:val="00AF6D18"/>
    <w:rsid w:val="00B013FC"/>
    <w:rsid w:val="00B01B09"/>
    <w:rsid w:val="00B22284"/>
    <w:rsid w:val="00B26892"/>
    <w:rsid w:val="00B30EAF"/>
    <w:rsid w:val="00B37694"/>
    <w:rsid w:val="00B37D8B"/>
    <w:rsid w:val="00B572F1"/>
    <w:rsid w:val="00B631E7"/>
    <w:rsid w:val="00B650F0"/>
    <w:rsid w:val="00B70EDD"/>
    <w:rsid w:val="00B77564"/>
    <w:rsid w:val="00B828EF"/>
    <w:rsid w:val="00B953B8"/>
    <w:rsid w:val="00BA6C79"/>
    <w:rsid w:val="00BC42AC"/>
    <w:rsid w:val="00BE0D6B"/>
    <w:rsid w:val="00BE22AC"/>
    <w:rsid w:val="00BF1EEC"/>
    <w:rsid w:val="00C164FB"/>
    <w:rsid w:val="00C20330"/>
    <w:rsid w:val="00C26FE0"/>
    <w:rsid w:val="00C435EA"/>
    <w:rsid w:val="00C5271A"/>
    <w:rsid w:val="00C544BA"/>
    <w:rsid w:val="00C57DA7"/>
    <w:rsid w:val="00C7034D"/>
    <w:rsid w:val="00C84AA8"/>
    <w:rsid w:val="00CA0938"/>
    <w:rsid w:val="00CA4F69"/>
    <w:rsid w:val="00CC4394"/>
    <w:rsid w:val="00CE19D7"/>
    <w:rsid w:val="00CE258C"/>
    <w:rsid w:val="00CF4B85"/>
    <w:rsid w:val="00D10189"/>
    <w:rsid w:val="00D1533B"/>
    <w:rsid w:val="00D239FF"/>
    <w:rsid w:val="00D32EF1"/>
    <w:rsid w:val="00D52742"/>
    <w:rsid w:val="00D57044"/>
    <w:rsid w:val="00D66617"/>
    <w:rsid w:val="00D72C78"/>
    <w:rsid w:val="00D877B2"/>
    <w:rsid w:val="00DF6217"/>
    <w:rsid w:val="00E05511"/>
    <w:rsid w:val="00E13314"/>
    <w:rsid w:val="00E1475B"/>
    <w:rsid w:val="00E2211C"/>
    <w:rsid w:val="00E40535"/>
    <w:rsid w:val="00E510B1"/>
    <w:rsid w:val="00E6727E"/>
    <w:rsid w:val="00E72924"/>
    <w:rsid w:val="00E815E3"/>
    <w:rsid w:val="00E9016C"/>
    <w:rsid w:val="00E92FBE"/>
    <w:rsid w:val="00E95D41"/>
    <w:rsid w:val="00EA132D"/>
    <w:rsid w:val="00F145A0"/>
    <w:rsid w:val="00F25A49"/>
    <w:rsid w:val="00F26B71"/>
    <w:rsid w:val="00F4320D"/>
    <w:rsid w:val="00F52C33"/>
    <w:rsid w:val="00F53D64"/>
    <w:rsid w:val="00F54307"/>
    <w:rsid w:val="00F63519"/>
    <w:rsid w:val="00FE0A3A"/>
    <w:rsid w:val="00FE486D"/>
    <w:rsid w:val="00FE6740"/>
    <w:rsid w:val="00FF1FE8"/>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0A7AC0"/>
  <w15:chartTrackingRefBased/>
  <w15:docId w15:val="{B03E7080-38AC-4B40-BDBF-8833E3B68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qFormat/>
    <w:rsid w:val="00DF6217"/>
    <w:rPr>
      <w:color w:val="6B7213"/>
      <w:u w:val="single"/>
    </w:rPr>
  </w:style>
  <w:style w:type="character" w:customStyle="1" w:styleId="UnresolvedMention1">
    <w:name w:val="Unresolved Mention1"/>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paragraph" w:customStyle="1" w:styleId="ccbody0">
    <w:name w:val="cc body"/>
    <w:basedOn w:val="NormalWeb"/>
    <w:link w:val="ccbodyChar"/>
    <w:qFormat/>
    <w:rsid w:val="00691283"/>
    <w:pPr>
      <w:shd w:val="clear" w:color="auto" w:fill="FFFFFF"/>
      <w:spacing w:before="0" w:beforeAutospacing="0"/>
      <w:jc w:val="left"/>
    </w:pPr>
    <w:rPr>
      <w:rFonts w:ascii="Montserrat" w:hAnsi="Montserrat"/>
      <w:color w:val="58595B"/>
      <w:sz w:val="20"/>
    </w:rPr>
  </w:style>
  <w:style w:type="character" w:customStyle="1" w:styleId="ccbodyChar">
    <w:name w:val="cc body Char"/>
    <w:basedOn w:val="DefaultParagraphFont"/>
    <w:link w:val="ccbody0"/>
    <w:rsid w:val="00691283"/>
    <w:rPr>
      <w:rFonts w:ascii="Montserrat" w:eastAsia="Times New Roman" w:hAnsi="Montserrat" w:cs="Times New Roman"/>
      <w:color w:val="58595B"/>
      <w:sz w:val="20"/>
      <w:szCs w:val="24"/>
      <w:shd w:val="clear" w:color="auto" w:fill="FFFFFF"/>
    </w:rPr>
  </w:style>
  <w:style w:type="paragraph" w:styleId="Revision">
    <w:name w:val="Revision"/>
    <w:hidden/>
    <w:uiPriority w:val="99"/>
    <w:semiHidden/>
    <w:rsid w:val="009834EE"/>
    <w:pPr>
      <w:spacing w:after="0" w:line="240" w:lineRule="auto"/>
    </w:pPr>
    <w:rPr>
      <w:rFonts w:ascii="Montserrat Light" w:hAnsi="Montserrat Light"/>
      <w:color w:val="404040" w:themeColor="text1" w:themeTint="BF"/>
    </w:rPr>
  </w:style>
  <w:style w:type="character" w:styleId="CommentReference">
    <w:name w:val="annotation reference"/>
    <w:basedOn w:val="DefaultParagraphFont"/>
    <w:uiPriority w:val="99"/>
    <w:semiHidden/>
    <w:unhideWhenUsed/>
    <w:locked/>
    <w:rsid w:val="0056533A"/>
    <w:rPr>
      <w:sz w:val="16"/>
      <w:szCs w:val="16"/>
    </w:rPr>
  </w:style>
  <w:style w:type="paragraph" w:styleId="CommentText">
    <w:name w:val="annotation text"/>
    <w:basedOn w:val="Normal"/>
    <w:link w:val="CommentTextChar"/>
    <w:uiPriority w:val="99"/>
    <w:unhideWhenUsed/>
    <w:locked/>
    <w:rsid w:val="0056533A"/>
    <w:pPr>
      <w:spacing w:line="240" w:lineRule="auto"/>
    </w:pPr>
    <w:rPr>
      <w:sz w:val="20"/>
      <w:szCs w:val="20"/>
    </w:rPr>
  </w:style>
  <w:style w:type="character" w:customStyle="1" w:styleId="CommentTextChar">
    <w:name w:val="Comment Text Char"/>
    <w:basedOn w:val="DefaultParagraphFont"/>
    <w:link w:val="CommentText"/>
    <w:uiPriority w:val="99"/>
    <w:rsid w:val="0056533A"/>
    <w:rPr>
      <w:rFonts w:ascii="Montserrat Light" w:hAnsi="Montserrat Light"/>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locked/>
    <w:rsid w:val="0056533A"/>
    <w:rPr>
      <w:b/>
      <w:bCs/>
    </w:rPr>
  </w:style>
  <w:style w:type="character" w:customStyle="1" w:styleId="CommentSubjectChar">
    <w:name w:val="Comment Subject Char"/>
    <w:basedOn w:val="CommentTextChar"/>
    <w:link w:val="CommentSubject"/>
    <w:uiPriority w:val="99"/>
    <w:semiHidden/>
    <w:rsid w:val="0056533A"/>
    <w:rPr>
      <w:rFonts w:ascii="Montserrat Light" w:hAnsi="Montserrat Light"/>
      <w:b/>
      <w:bCs/>
      <w:color w:val="404040" w:themeColor="text1" w:themeTint="BF"/>
      <w:sz w:val="20"/>
      <w:szCs w:val="20"/>
    </w:rPr>
  </w:style>
  <w:style w:type="paragraph" w:styleId="EndnoteText">
    <w:name w:val="endnote text"/>
    <w:basedOn w:val="Normal"/>
    <w:link w:val="EndnoteTextChar"/>
    <w:uiPriority w:val="99"/>
    <w:semiHidden/>
    <w:unhideWhenUsed/>
    <w:rsid w:val="0060027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0027C"/>
    <w:rPr>
      <w:rFonts w:ascii="Montserrat Light" w:hAnsi="Montserrat Light"/>
      <w:color w:val="404040" w:themeColor="text1" w:themeTint="BF"/>
      <w:sz w:val="20"/>
      <w:szCs w:val="20"/>
    </w:rPr>
  </w:style>
  <w:style w:type="character" w:styleId="EndnoteReference">
    <w:name w:val="endnote reference"/>
    <w:basedOn w:val="DefaultParagraphFont"/>
    <w:uiPriority w:val="99"/>
    <w:semiHidden/>
    <w:unhideWhenUsed/>
    <w:rsid w:val="0060027C"/>
    <w:rPr>
      <w:vertAlign w:val="superscript"/>
    </w:rPr>
  </w:style>
  <w:style w:type="paragraph" w:styleId="ListParagraph">
    <w:name w:val="List Paragraph"/>
    <w:basedOn w:val="Normal"/>
    <w:uiPriority w:val="34"/>
    <w:qFormat/>
    <w:locked/>
    <w:rsid w:val="0060027C"/>
    <w:pPr>
      <w:spacing w:after="0" w:line="240" w:lineRule="auto"/>
      <w:ind w:left="720"/>
      <w:contextualSpacing/>
      <w:jc w:val="left"/>
    </w:pPr>
    <w:rPr>
      <w:rFonts w:ascii="Times New Roman" w:eastAsia="Times New Roman" w:hAnsi="Times New Roman" w:cs="Times New Roman"/>
      <w:color w:val="auto"/>
      <w:sz w:val="24"/>
      <w:szCs w:val="24"/>
    </w:rPr>
  </w:style>
  <w:style w:type="paragraph" w:styleId="FootnoteText">
    <w:name w:val="footnote text"/>
    <w:basedOn w:val="Normal"/>
    <w:link w:val="FootnoteTextChar"/>
    <w:uiPriority w:val="99"/>
    <w:semiHidden/>
    <w:unhideWhenUsed/>
    <w:locked/>
    <w:rsid w:val="006141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41E2"/>
    <w:rPr>
      <w:rFonts w:ascii="Montserrat Light" w:hAnsi="Montserrat Light"/>
      <w:color w:val="404040" w:themeColor="text1" w:themeTint="BF"/>
      <w:sz w:val="20"/>
      <w:szCs w:val="20"/>
    </w:rPr>
  </w:style>
  <w:style w:type="character" w:styleId="FootnoteReference">
    <w:name w:val="footnote reference"/>
    <w:basedOn w:val="DefaultParagraphFont"/>
    <w:uiPriority w:val="99"/>
    <w:semiHidden/>
    <w:unhideWhenUsed/>
    <w:locked/>
    <w:rsid w:val="006141E2"/>
    <w:rPr>
      <w:vertAlign w:val="superscript"/>
    </w:rPr>
  </w:style>
  <w:style w:type="character" w:customStyle="1" w:styleId="--l">
    <w:name w:val="--l"/>
    <w:basedOn w:val="DefaultParagraphFont"/>
    <w:rsid w:val="00AD0C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 w:id="813833171">
      <w:bodyDiv w:val="1"/>
      <w:marLeft w:val="0"/>
      <w:marRight w:val="0"/>
      <w:marTop w:val="0"/>
      <w:marBottom w:val="0"/>
      <w:divBdr>
        <w:top w:val="none" w:sz="0" w:space="0" w:color="auto"/>
        <w:left w:val="none" w:sz="0" w:space="0" w:color="auto"/>
        <w:bottom w:val="none" w:sz="0" w:space="0" w:color="auto"/>
        <w:right w:val="none" w:sz="0" w:space="0" w:color="auto"/>
      </w:divBdr>
      <w:divsChild>
        <w:div w:id="1592351425">
          <w:marLeft w:val="547"/>
          <w:marRight w:val="0"/>
          <w:marTop w:val="0"/>
          <w:marBottom w:val="0"/>
          <w:divBdr>
            <w:top w:val="none" w:sz="0" w:space="0" w:color="auto"/>
            <w:left w:val="none" w:sz="0" w:space="0" w:color="auto"/>
            <w:bottom w:val="none" w:sz="0" w:space="0" w:color="auto"/>
            <w:right w:val="none" w:sz="0" w:space="0" w:color="auto"/>
          </w:divBdr>
        </w:div>
      </w:divsChild>
    </w:div>
    <w:div w:id="1440026924">
      <w:bodyDiv w:val="1"/>
      <w:marLeft w:val="0"/>
      <w:marRight w:val="0"/>
      <w:marTop w:val="0"/>
      <w:marBottom w:val="0"/>
      <w:divBdr>
        <w:top w:val="none" w:sz="0" w:space="0" w:color="auto"/>
        <w:left w:val="none" w:sz="0" w:space="0" w:color="auto"/>
        <w:bottom w:val="none" w:sz="0" w:space="0" w:color="auto"/>
        <w:right w:val="none" w:sz="0" w:space="0" w:color="auto"/>
      </w:divBdr>
    </w:div>
    <w:div w:id="1526869318">
      <w:bodyDiv w:val="1"/>
      <w:marLeft w:val="0"/>
      <w:marRight w:val="0"/>
      <w:marTop w:val="0"/>
      <w:marBottom w:val="0"/>
      <w:divBdr>
        <w:top w:val="none" w:sz="0" w:space="0" w:color="auto"/>
        <w:left w:val="none" w:sz="0" w:space="0" w:color="auto"/>
        <w:bottom w:val="none" w:sz="0" w:space="0" w:color="auto"/>
        <w:right w:val="none" w:sz="0" w:space="0" w:color="auto"/>
      </w:divBdr>
    </w:div>
    <w:div w:id="1737127845">
      <w:bodyDiv w:val="1"/>
      <w:marLeft w:val="0"/>
      <w:marRight w:val="0"/>
      <w:marTop w:val="0"/>
      <w:marBottom w:val="0"/>
      <w:divBdr>
        <w:top w:val="none" w:sz="0" w:space="0" w:color="auto"/>
        <w:left w:val="none" w:sz="0" w:space="0" w:color="auto"/>
        <w:bottom w:val="none" w:sz="0" w:space="0" w:color="auto"/>
        <w:right w:val="none" w:sz="0" w:space="0" w:color="auto"/>
      </w:divBdr>
      <w:divsChild>
        <w:div w:id="1382100144">
          <w:marLeft w:val="547"/>
          <w:marRight w:val="0"/>
          <w:marTop w:val="0"/>
          <w:marBottom w:val="0"/>
          <w:divBdr>
            <w:top w:val="none" w:sz="0" w:space="0" w:color="auto"/>
            <w:left w:val="none" w:sz="0" w:space="0" w:color="auto"/>
            <w:bottom w:val="none" w:sz="0" w:space="0" w:color="auto"/>
            <w:right w:val="none" w:sz="0" w:space="0" w:color="auto"/>
          </w:divBdr>
        </w:div>
      </w:divsChild>
    </w:div>
    <w:div w:id="1881430598">
      <w:bodyDiv w:val="1"/>
      <w:marLeft w:val="0"/>
      <w:marRight w:val="0"/>
      <w:marTop w:val="0"/>
      <w:marBottom w:val="0"/>
      <w:divBdr>
        <w:top w:val="none" w:sz="0" w:space="0" w:color="auto"/>
        <w:left w:val="none" w:sz="0" w:space="0" w:color="auto"/>
        <w:bottom w:val="none" w:sz="0" w:space="0" w:color="auto"/>
        <w:right w:val="none" w:sz="0" w:space="0" w:color="auto"/>
      </w:divBdr>
      <w:divsChild>
        <w:div w:id="647982501">
          <w:marLeft w:val="547"/>
          <w:marRight w:val="0"/>
          <w:marTop w:val="0"/>
          <w:marBottom w:val="0"/>
          <w:divBdr>
            <w:top w:val="none" w:sz="0" w:space="0" w:color="auto"/>
            <w:left w:val="none" w:sz="0" w:space="0" w:color="auto"/>
            <w:bottom w:val="none" w:sz="0" w:space="0" w:color="auto"/>
            <w:right w:val="none" w:sz="0" w:space="0" w:color="auto"/>
          </w:divBdr>
        </w:div>
      </w:divsChild>
    </w:div>
    <w:div w:id="2000765651">
      <w:bodyDiv w:val="1"/>
      <w:marLeft w:val="0"/>
      <w:marRight w:val="0"/>
      <w:marTop w:val="0"/>
      <w:marBottom w:val="0"/>
      <w:divBdr>
        <w:top w:val="none" w:sz="0" w:space="0" w:color="auto"/>
        <w:left w:val="none" w:sz="0" w:space="0" w:color="auto"/>
        <w:bottom w:val="none" w:sz="0" w:space="0" w:color="auto"/>
        <w:right w:val="none" w:sz="0" w:space="0" w:color="auto"/>
      </w:divBdr>
      <w:divsChild>
        <w:div w:id="171234220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doi.org/10.1007/s11356-022-24057-7" TargetMode="External"/><Relationship Id="rId1" Type="http://schemas.openxmlformats.org/officeDocument/2006/relationships/hyperlink" Target="https://doi.org/10.1007/s11356-022-24057-7"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9976852B134450F91FA2D936E1AE1D4"/>
        <w:category>
          <w:name w:val="General"/>
          <w:gallery w:val="placeholder"/>
        </w:category>
        <w:types>
          <w:type w:val="bbPlcHdr"/>
        </w:types>
        <w:behaviors>
          <w:behavior w:val="content"/>
        </w:behaviors>
        <w:guid w:val="{4743DCCA-95E4-4867-9B9C-3888C2436A76}"/>
      </w:docPartPr>
      <w:docPartBody>
        <w:p w:rsidR="002D0C13" w:rsidRDefault="002D0C13">
          <w:pPr>
            <w:pStyle w:val="99976852B134450F91FA2D936E1AE1D4"/>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Light">
    <w:altName w:val="Times New Roman"/>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tserrat">
    <w:altName w:val="Times New Roman"/>
    <w:panose1 w:val="00000500000000000000"/>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C13"/>
    <w:rsid w:val="00122F14"/>
    <w:rsid w:val="002D0C13"/>
    <w:rsid w:val="002E235F"/>
    <w:rsid w:val="003E6571"/>
    <w:rsid w:val="00424019"/>
    <w:rsid w:val="006676F0"/>
    <w:rsid w:val="00843AC5"/>
    <w:rsid w:val="00A9510B"/>
    <w:rsid w:val="00B30EAF"/>
    <w:rsid w:val="00BF1EEC"/>
    <w:rsid w:val="00D57044"/>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C49AE56CDA9494797A6C22C06E8D570">
    <w:name w:val="9C49AE56CDA9494797A6C22C06E8D570"/>
  </w:style>
  <w:style w:type="paragraph" w:customStyle="1" w:styleId="99976852B134450F91FA2D936E1AE1D4">
    <w:name w:val="99976852B134450F91FA2D936E1AE1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69B0E8C-4791-4E93-B184-39A4808C8FE4}">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2" ma:contentTypeDescription="Create a new document." ma:contentTypeScope="" ma:versionID="50d4a66b8b94e36407c462127ae6da62">
  <xsd:schema xmlns:xsd="http://www.w3.org/2001/XMLSchema" xmlns:xs="http://www.w3.org/2001/XMLSchema" xmlns:p="http://schemas.microsoft.com/office/2006/metadata/properties" xmlns:ns2="b073dc0b-c155-4f91-94b4-670be88b0342" targetNamespace="http://schemas.microsoft.com/office/2006/metadata/properties" ma:root="true" ma:fieldsID="29cc48c7619f3b9827d311dbdd050992" ns2:_="">
    <xsd:import namespace="b073dc0b-c155-4f91-94b4-670be88b034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61F88DE-6DA3-490A-96A4-9177B8180402}">
  <ds:schemaRefs>
    <ds:schemaRef ds:uri="http://schemas.openxmlformats.org/officeDocument/2006/bibliography"/>
  </ds:schemaRefs>
</ds:datastoreItem>
</file>

<file path=customXml/itemProps2.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3.xml><?xml version="1.0" encoding="utf-8"?>
<ds:datastoreItem xmlns:ds="http://schemas.openxmlformats.org/officeDocument/2006/customXml" ds:itemID="{697DE287-8375-4FA3-B4C1-57A7EECCCB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1082</Words>
  <Characters>6864</Characters>
  <Application>Microsoft Office Word</Application>
  <DocSecurity>0</DocSecurity>
  <Lines>117</Lines>
  <Paragraphs>27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Copa-Cogeca</dc:creator>
  <cp:keywords/>
  <dc:description/>
  <cp:lastModifiedBy>Malgorzata Szymczak</cp:lastModifiedBy>
  <cp:revision>7</cp:revision>
  <dcterms:created xsi:type="dcterms:W3CDTF">2024-09-27T14:24:00Z</dcterms:created>
  <dcterms:modified xsi:type="dcterms:W3CDTF">2024-09-30T14:53:00Z</dcterms:modified>
</cp:coreProperties>
</file>

<file path=docProps/custom.xml><?xml version="1.0" encoding="utf-8"?>
<op:Properties xmlns:vt="http://schemas.openxmlformats.org/officeDocument/2006/docPropsVTypes" xmlns:op="http://schemas.openxmlformats.org/officeDocument/2006/custom-properties"/>
</file>