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3B928" w14:textId="75FD7697" w:rsidR="00767438" w:rsidRPr="00734E47" w:rsidRDefault="00767438" w:rsidP="000356F5">
      <w:pPr>
        <w:spacing w:after="0"/>
      </w:pPr>
      <w:r>
        <w:rPr>
          <w:rStyle w:val="CCNormal"/>
        </w:rPr>
        <w:t>Ref. COMM(24)02688</w:t>
      </w:r>
      <w:r>
        <w:rPr>
          <w:rStyle w:val="CCNormal"/>
        </w:rPr>
        <w:tab/>
      </w:r>
      <w:r>
        <w:tab/>
      </w:r>
      <w:r>
        <w:tab/>
      </w:r>
      <w: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 w:rsidR="00160658">
        <w:rPr>
          <w:rFonts w:ascii="Montserrat" w:hAnsi="Montserrat"/>
        </w:rPr>
        <w:t xml:space="preserve">El </w:t>
      </w:r>
      <w:r>
        <w:rPr>
          <w:rStyle w:val="CCNormal"/>
        </w:rPr>
        <w:t>2</w:t>
      </w:r>
      <w:r w:rsidR="00160658">
        <w:rPr>
          <w:rStyle w:val="CCNormal"/>
        </w:rPr>
        <w:t xml:space="preserve"> de octubre de </w:t>
      </w:r>
      <w:r>
        <w:rPr>
          <w:rStyle w:val="CCNormal"/>
        </w:rPr>
        <w:t>2024</w:t>
      </w:r>
    </w:p>
    <w:p w14:paraId="7B63F55A" w14:textId="77777777" w:rsidR="006A03B1" w:rsidRDefault="006A03B1" w:rsidP="009A78D2">
      <w:pPr>
        <w:jc w:val="left"/>
        <w:rPr>
          <w:rStyle w:val="CCType"/>
        </w:rPr>
      </w:pPr>
    </w:p>
    <w:p w14:paraId="24382FBD" w14:textId="24D78708" w:rsidR="00182716" w:rsidRPr="00B37D8B" w:rsidRDefault="000932C3" w:rsidP="009A78D2">
      <w:pPr>
        <w:jc w:val="left"/>
        <w:rPr>
          <w:rStyle w:val="CCType"/>
        </w:rPr>
      </w:pPr>
      <w:r>
        <w:rPr>
          <w:rStyle w:val="CCType"/>
        </w:rPr>
        <w:t>Comunicado conjunto</w:t>
      </w:r>
    </w:p>
    <w:p w14:paraId="706A4CA8" w14:textId="17BB7E16" w:rsidR="000932C3" w:rsidRDefault="000932C3" w:rsidP="009A78D2">
      <w:pPr>
        <w:jc w:val="left"/>
        <w:rPr>
          <w:rStyle w:val="CCTitle"/>
        </w:rPr>
      </w:pPr>
      <w:r>
        <w:rPr>
          <w:rStyle w:val="CCTitle"/>
        </w:rPr>
        <w:t xml:space="preserve">La Comisión Europea concede doce meses adicionales para la aplicación del </w:t>
      </w:r>
      <w:r w:rsidR="009E4E92" w:rsidRPr="00E0627B">
        <w:rPr>
          <w:rStyle w:val="CCTitle"/>
        </w:rPr>
        <w:t>Reglamento de la UE sobre la deforestación</w:t>
      </w:r>
      <w:r w:rsidR="009E4E92" w:rsidDel="009E4E92">
        <w:rPr>
          <w:rStyle w:val="CCTitle"/>
        </w:rPr>
        <w:t xml:space="preserve"> </w:t>
      </w:r>
      <w:r>
        <w:rPr>
          <w:rStyle w:val="CCTitle"/>
        </w:rPr>
        <w:t>como respuesta a la preocupación del sector</w:t>
      </w:r>
    </w:p>
    <w:p w14:paraId="234B5C5E" w14:textId="77777777" w:rsidR="006A03B1" w:rsidRDefault="006A03B1" w:rsidP="009A78D2">
      <w:pPr>
        <w:jc w:val="left"/>
        <w:rPr>
          <w:rStyle w:val="CCTitle"/>
        </w:rPr>
      </w:pPr>
    </w:p>
    <w:p w14:paraId="6A854B23" w14:textId="1281E2D9" w:rsidR="000932C3" w:rsidRPr="000932C3" w:rsidRDefault="000932C3" w:rsidP="000932C3">
      <w:pPr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>Los productores primarios europeos y diversas industrias celebran la propuesta de la Comisión Europea de extender en doce meses el periodo de aplicación del Reglamento de la UE sobre la deforestación (</w:t>
      </w:r>
      <w:r w:rsidRPr="00E0627B">
        <w:rPr>
          <w:rFonts w:ascii="Montserrat" w:hAnsi="Montserrat"/>
          <w:i/>
          <w:iCs/>
          <w:color w:val="3A3838"/>
          <w:sz w:val="20"/>
          <w:szCs w:val="20"/>
        </w:rPr>
        <w:t>EUDR</w:t>
      </w:r>
      <w:r w:rsidR="00AB49EF">
        <w:rPr>
          <w:rFonts w:ascii="Montserrat" w:hAnsi="Montserrat"/>
          <w:color w:val="3A3838"/>
          <w:sz w:val="20"/>
          <w:szCs w:val="20"/>
        </w:rPr>
        <w:t>, por sus siglas en inglés</w:t>
      </w:r>
      <w:r>
        <w:rPr>
          <w:rFonts w:ascii="Montserrat" w:hAnsi="Montserrat"/>
          <w:color w:val="3A3838"/>
          <w:sz w:val="20"/>
          <w:szCs w:val="20"/>
        </w:rPr>
        <w:t xml:space="preserve">). Si bien apoyamos plenamente los objetivos del reglamento en su lucha contra la deforestación a nivel mundial, </w:t>
      </w:r>
      <w:r w:rsidR="0091250C">
        <w:rPr>
          <w:rFonts w:ascii="Montserrat" w:hAnsi="Montserrat"/>
          <w:color w:val="3A3838"/>
          <w:sz w:val="20"/>
          <w:szCs w:val="20"/>
        </w:rPr>
        <w:t>es de suma importancia</w:t>
      </w:r>
      <w:r>
        <w:rPr>
          <w:rFonts w:ascii="Montserrat" w:hAnsi="Montserrat"/>
          <w:color w:val="3A3838"/>
          <w:sz w:val="20"/>
          <w:szCs w:val="20"/>
        </w:rPr>
        <w:t xml:space="preserve"> garantizar que su puesta en marcha </w:t>
      </w:r>
      <w:r w:rsidR="00820DE3">
        <w:rPr>
          <w:rFonts w:ascii="Montserrat" w:hAnsi="Montserrat"/>
          <w:color w:val="3A3838"/>
          <w:sz w:val="20"/>
          <w:szCs w:val="20"/>
        </w:rPr>
        <w:t>se lleve a cabo</w:t>
      </w:r>
      <w:r w:rsidR="00820DE3">
        <w:rPr>
          <w:rFonts w:ascii="Montserrat" w:hAnsi="Montserrat"/>
          <w:color w:val="3A3838"/>
          <w:sz w:val="20"/>
          <w:szCs w:val="20"/>
        </w:rPr>
        <w:t xml:space="preserve"> </w:t>
      </w:r>
      <w:r>
        <w:rPr>
          <w:rFonts w:ascii="Montserrat" w:hAnsi="Montserrat"/>
          <w:color w:val="3A3838"/>
          <w:sz w:val="20"/>
          <w:szCs w:val="20"/>
        </w:rPr>
        <w:t xml:space="preserve">bajo condiciones que lo </w:t>
      </w:r>
      <w:r w:rsidR="002966DD">
        <w:rPr>
          <w:rFonts w:ascii="Montserrat" w:hAnsi="Montserrat"/>
          <w:color w:val="3A3838"/>
          <w:sz w:val="20"/>
          <w:szCs w:val="20"/>
        </w:rPr>
        <w:t>hagan</w:t>
      </w:r>
      <w:r w:rsidR="002966DD">
        <w:rPr>
          <w:rFonts w:ascii="Montserrat" w:hAnsi="Montserrat"/>
          <w:color w:val="3A3838"/>
          <w:sz w:val="20"/>
          <w:szCs w:val="20"/>
        </w:rPr>
        <w:t xml:space="preserve"> </w:t>
      </w:r>
      <w:r>
        <w:rPr>
          <w:rFonts w:ascii="Montserrat" w:hAnsi="Montserrat"/>
          <w:color w:val="3A3838"/>
          <w:sz w:val="20"/>
          <w:szCs w:val="20"/>
        </w:rPr>
        <w:t>efectivo y viable.</w:t>
      </w:r>
    </w:p>
    <w:p w14:paraId="16A067F7" w14:textId="530F6D39" w:rsidR="000932C3" w:rsidRPr="000932C3" w:rsidRDefault="006A03B1" w:rsidP="000932C3">
      <w:pPr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Desde hace meses nuestras organizaciones han </w:t>
      </w:r>
      <w:r w:rsidR="00EA46C6">
        <w:rPr>
          <w:rFonts w:ascii="Montserrat" w:hAnsi="Montserrat"/>
          <w:color w:val="3A3838"/>
          <w:sz w:val="20"/>
          <w:szCs w:val="20"/>
        </w:rPr>
        <w:t>manifestado</w:t>
      </w:r>
      <w:r w:rsidR="00EA46C6">
        <w:rPr>
          <w:rFonts w:ascii="Montserrat" w:hAnsi="Montserrat"/>
          <w:color w:val="3A3838"/>
          <w:sz w:val="20"/>
          <w:szCs w:val="20"/>
        </w:rPr>
        <w:t xml:space="preserve"> </w:t>
      </w:r>
      <w:r>
        <w:rPr>
          <w:rFonts w:ascii="Montserrat" w:hAnsi="Montserrat"/>
          <w:color w:val="3A3838"/>
          <w:sz w:val="20"/>
          <w:szCs w:val="20"/>
        </w:rPr>
        <w:t xml:space="preserve">inquietud acerca de la aplicación práctica del reglamento y de la carga administrativa que </w:t>
      </w:r>
      <w:r w:rsidR="00480BF7">
        <w:rPr>
          <w:rFonts w:ascii="Montserrat" w:hAnsi="Montserrat"/>
          <w:color w:val="3A3838"/>
          <w:sz w:val="20"/>
          <w:szCs w:val="20"/>
        </w:rPr>
        <w:t>supondrá</w:t>
      </w:r>
      <w:r>
        <w:rPr>
          <w:rFonts w:ascii="Montserrat" w:hAnsi="Montserrat"/>
          <w:color w:val="3A3838"/>
          <w:sz w:val="20"/>
          <w:szCs w:val="20"/>
        </w:rPr>
        <w:t>. Por ello, pedimos al Parlamento Europeo y al Consejo que consideren los retos planteados por los Estados miembros, terceros países y partes interesadas</w:t>
      </w:r>
      <w:r w:rsidR="00BF63E7">
        <w:rPr>
          <w:rFonts w:ascii="Montserrat" w:hAnsi="Montserrat"/>
          <w:color w:val="3A3838"/>
          <w:sz w:val="20"/>
          <w:szCs w:val="20"/>
        </w:rPr>
        <w:t>,</w:t>
      </w:r>
      <w:r>
        <w:rPr>
          <w:rFonts w:ascii="Montserrat" w:hAnsi="Montserrat"/>
          <w:color w:val="3A3838"/>
          <w:sz w:val="20"/>
          <w:szCs w:val="20"/>
        </w:rPr>
        <w:t xml:space="preserve"> y aprueben la propuesta de aplazamiento de un año que presenta la Comisión.</w:t>
      </w:r>
    </w:p>
    <w:p w14:paraId="42990D3A" w14:textId="69E06731" w:rsidR="00925C9C" w:rsidRDefault="000932C3" w:rsidP="000932C3">
      <w:pPr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De ahora en adelante los esfuerzos deberán dirigirse a hacer frente a los desafíos prácticos asociados con la aplicación del </w:t>
      </w:r>
      <w:r w:rsidRPr="00E0627B">
        <w:rPr>
          <w:rFonts w:ascii="Montserrat" w:hAnsi="Montserrat"/>
          <w:i/>
          <w:iCs/>
          <w:color w:val="3A3838"/>
          <w:sz w:val="20"/>
          <w:szCs w:val="20"/>
        </w:rPr>
        <w:t>EUDR</w:t>
      </w:r>
      <w:r>
        <w:rPr>
          <w:rFonts w:ascii="Montserrat" w:hAnsi="Montserrat"/>
          <w:color w:val="3A3838"/>
          <w:sz w:val="20"/>
          <w:szCs w:val="20"/>
        </w:rPr>
        <w:t xml:space="preserve"> para evitar causar incertidumbre y perturbaciones en la cadena de suministro. Revisaremos detenidamente el documento de orientación hoy publicado y mantendremos nuestro compromiso con el diálogo para conseguir soluciones viables en todos los sectores afectados.</w:t>
      </w:r>
    </w:p>
    <w:p w14:paraId="242D9E0F" w14:textId="77777777" w:rsidR="006A03B1" w:rsidRDefault="006A03B1" w:rsidP="000932C3">
      <w:pPr>
        <w:rPr>
          <w:rFonts w:ascii="Montserrat" w:hAnsi="Montserrat"/>
          <w:color w:val="3A3838"/>
          <w:sz w:val="20"/>
          <w:szCs w:val="20"/>
        </w:rPr>
      </w:pPr>
    </w:p>
    <w:p w14:paraId="1BED0278" w14:textId="77777777" w:rsidR="000932C3" w:rsidRPr="000932C3" w:rsidRDefault="000932C3" w:rsidP="000932C3">
      <w:pPr>
        <w:rPr>
          <w:rFonts w:ascii="Montserrat" w:hAnsi="Montserrat"/>
          <w:b/>
          <w:bCs/>
          <w:color w:val="697331"/>
        </w:rPr>
      </w:pPr>
      <w:r>
        <w:rPr>
          <w:rFonts w:ascii="Montserrat" w:hAnsi="Montserrat"/>
          <w:b/>
          <w:bCs/>
          <w:color w:val="697331"/>
        </w:rPr>
        <w:t>Signatarios:</w:t>
      </w:r>
    </w:p>
    <w:p w14:paraId="6E84646C" w14:textId="520BF150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CEI-Bois: Confederación </w:t>
      </w:r>
      <w:r w:rsidR="00BF63E7">
        <w:rPr>
          <w:rFonts w:ascii="Montserrat" w:hAnsi="Montserrat"/>
          <w:color w:val="3A3838"/>
          <w:sz w:val="20"/>
          <w:szCs w:val="20"/>
        </w:rPr>
        <w:t>e</w:t>
      </w:r>
      <w:r>
        <w:rPr>
          <w:rFonts w:ascii="Montserrat" w:hAnsi="Montserrat"/>
          <w:color w:val="3A3838"/>
          <w:sz w:val="20"/>
          <w:szCs w:val="20"/>
        </w:rPr>
        <w:t xml:space="preserve">uropea de </w:t>
      </w:r>
      <w:r w:rsidR="00BF63E7">
        <w:rPr>
          <w:rFonts w:ascii="Montserrat" w:hAnsi="Montserrat"/>
          <w:color w:val="3A3838"/>
          <w:sz w:val="20"/>
          <w:szCs w:val="20"/>
        </w:rPr>
        <w:t>i</w:t>
      </w:r>
      <w:r>
        <w:rPr>
          <w:rFonts w:ascii="Montserrat" w:hAnsi="Montserrat"/>
          <w:color w:val="3A3838"/>
          <w:sz w:val="20"/>
          <w:szCs w:val="20"/>
        </w:rPr>
        <w:t xml:space="preserve">ndustrias de la </w:t>
      </w:r>
      <w:r w:rsidR="00BF63E7">
        <w:rPr>
          <w:rFonts w:ascii="Montserrat" w:hAnsi="Montserrat"/>
          <w:color w:val="3A3838"/>
          <w:sz w:val="20"/>
          <w:szCs w:val="20"/>
        </w:rPr>
        <w:t>m</w:t>
      </w:r>
      <w:r>
        <w:rPr>
          <w:rFonts w:ascii="Montserrat" w:hAnsi="Montserrat"/>
          <w:color w:val="3A3838"/>
          <w:sz w:val="20"/>
          <w:szCs w:val="20"/>
        </w:rPr>
        <w:t>adera</w:t>
      </w:r>
    </w:p>
    <w:p w14:paraId="680D713A" w14:textId="679B36C7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CEPF: Confederación de </w:t>
      </w:r>
      <w:r w:rsidR="00BF63E7">
        <w:rPr>
          <w:rFonts w:ascii="Montserrat" w:hAnsi="Montserrat"/>
          <w:color w:val="3A3838"/>
          <w:sz w:val="20"/>
          <w:szCs w:val="20"/>
        </w:rPr>
        <w:t>p</w:t>
      </w:r>
      <w:r>
        <w:rPr>
          <w:rFonts w:ascii="Montserrat" w:hAnsi="Montserrat"/>
          <w:color w:val="3A3838"/>
          <w:sz w:val="20"/>
          <w:szCs w:val="20"/>
        </w:rPr>
        <w:t xml:space="preserve">ropietarios </w:t>
      </w:r>
      <w:r w:rsidR="00BF63E7">
        <w:rPr>
          <w:rFonts w:ascii="Montserrat" w:hAnsi="Montserrat"/>
          <w:color w:val="3A3838"/>
          <w:sz w:val="20"/>
          <w:szCs w:val="20"/>
        </w:rPr>
        <w:t>f</w:t>
      </w:r>
      <w:r>
        <w:rPr>
          <w:rFonts w:ascii="Montserrat" w:hAnsi="Montserrat"/>
          <w:color w:val="3A3838"/>
          <w:sz w:val="20"/>
          <w:szCs w:val="20"/>
        </w:rPr>
        <w:t xml:space="preserve">orestales </w:t>
      </w:r>
      <w:r w:rsidR="00BF63E7">
        <w:rPr>
          <w:rFonts w:ascii="Montserrat" w:hAnsi="Montserrat"/>
          <w:color w:val="3A3838"/>
          <w:sz w:val="20"/>
          <w:szCs w:val="20"/>
        </w:rPr>
        <w:t>e</w:t>
      </w:r>
      <w:r>
        <w:rPr>
          <w:rFonts w:ascii="Montserrat" w:hAnsi="Montserrat"/>
          <w:color w:val="3A3838"/>
          <w:sz w:val="20"/>
          <w:szCs w:val="20"/>
        </w:rPr>
        <w:t>uropeos</w:t>
      </w:r>
    </w:p>
    <w:p w14:paraId="66BDB0C9" w14:textId="77777777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Cepi: Confederación de industrias europeas del papel </w:t>
      </w:r>
    </w:p>
    <w:p w14:paraId="1633EC62" w14:textId="48915140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Copa-Cogeca: Agricultores europeos y </w:t>
      </w:r>
      <w:r w:rsidR="00BF63E7">
        <w:rPr>
          <w:rFonts w:ascii="Montserrat" w:hAnsi="Montserrat"/>
          <w:color w:val="3A3838"/>
          <w:sz w:val="20"/>
          <w:szCs w:val="20"/>
        </w:rPr>
        <w:t>c</w:t>
      </w:r>
      <w:r>
        <w:rPr>
          <w:rFonts w:ascii="Montserrat" w:hAnsi="Montserrat"/>
          <w:color w:val="3A3838"/>
          <w:sz w:val="20"/>
          <w:szCs w:val="20"/>
        </w:rPr>
        <w:t>ooperativas agrarias europeas</w:t>
      </w:r>
    </w:p>
    <w:p w14:paraId="61002B84" w14:textId="77777777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>ELO: Organización europea de propietarios de tierras</w:t>
      </w:r>
    </w:p>
    <w:p w14:paraId="5E923E78" w14:textId="2E460187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EOS: Organización </w:t>
      </w:r>
      <w:r w:rsidR="00BF63E7">
        <w:rPr>
          <w:rFonts w:ascii="Montserrat" w:hAnsi="Montserrat"/>
          <w:color w:val="3A3838"/>
          <w:sz w:val="20"/>
          <w:szCs w:val="20"/>
        </w:rPr>
        <w:t>e</w:t>
      </w:r>
      <w:r>
        <w:rPr>
          <w:rFonts w:ascii="Montserrat" w:hAnsi="Montserrat"/>
          <w:color w:val="3A3838"/>
          <w:sz w:val="20"/>
          <w:szCs w:val="20"/>
        </w:rPr>
        <w:t xml:space="preserve">uropea de la </w:t>
      </w:r>
      <w:r w:rsidR="00BF63E7">
        <w:rPr>
          <w:rFonts w:ascii="Montserrat" w:hAnsi="Montserrat"/>
          <w:color w:val="3A3838"/>
          <w:sz w:val="20"/>
          <w:szCs w:val="20"/>
        </w:rPr>
        <w:t>i</w:t>
      </w:r>
      <w:r>
        <w:rPr>
          <w:rFonts w:ascii="Montserrat" w:hAnsi="Montserrat"/>
          <w:color w:val="3A3838"/>
          <w:sz w:val="20"/>
          <w:szCs w:val="20"/>
        </w:rPr>
        <w:t xml:space="preserve">ndustria </w:t>
      </w:r>
      <w:r w:rsidR="00BF63E7">
        <w:rPr>
          <w:rFonts w:ascii="Montserrat" w:hAnsi="Montserrat"/>
          <w:color w:val="3A3838"/>
          <w:sz w:val="20"/>
          <w:szCs w:val="20"/>
        </w:rPr>
        <w:t>a</w:t>
      </w:r>
      <w:r>
        <w:rPr>
          <w:rFonts w:ascii="Montserrat" w:hAnsi="Montserrat"/>
          <w:color w:val="3A3838"/>
          <w:sz w:val="20"/>
          <w:szCs w:val="20"/>
        </w:rPr>
        <w:t>serrador</w:t>
      </w:r>
      <w:r w:rsidR="00BF63E7">
        <w:rPr>
          <w:rFonts w:ascii="Montserrat" w:hAnsi="Montserrat"/>
          <w:color w:val="3A3838"/>
          <w:sz w:val="20"/>
          <w:szCs w:val="20"/>
        </w:rPr>
        <w:t>a</w:t>
      </w:r>
    </w:p>
    <w:p w14:paraId="2B73616E" w14:textId="04E29E22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EUSTAFOR: Asociación </w:t>
      </w:r>
      <w:r w:rsidR="00BF63E7">
        <w:rPr>
          <w:rFonts w:ascii="Montserrat" w:hAnsi="Montserrat"/>
          <w:color w:val="3A3838"/>
          <w:sz w:val="20"/>
          <w:szCs w:val="20"/>
        </w:rPr>
        <w:t>e</w:t>
      </w:r>
      <w:r>
        <w:rPr>
          <w:rFonts w:ascii="Montserrat" w:hAnsi="Montserrat"/>
          <w:color w:val="3A3838"/>
          <w:sz w:val="20"/>
          <w:szCs w:val="20"/>
        </w:rPr>
        <w:t xml:space="preserve">uropea de </w:t>
      </w:r>
      <w:r w:rsidR="00BF63E7">
        <w:rPr>
          <w:rFonts w:ascii="Montserrat" w:hAnsi="Montserrat"/>
          <w:color w:val="3A3838"/>
          <w:sz w:val="20"/>
          <w:szCs w:val="20"/>
        </w:rPr>
        <w:t>b</w:t>
      </w:r>
      <w:r>
        <w:rPr>
          <w:rFonts w:ascii="Montserrat" w:hAnsi="Montserrat"/>
          <w:color w:val="3A3838"/>
          <w:sz w:val="20"/>
          <w:szCs w:val="20"/>
        </w:rPr>
        <w:t xml:space="preserve">osques </w:t>
      </w:r>
      <w:r w:rsidR="00BF63E7">
        <w:rPr>
          <w:rFonts w:ascii="Montserrat" w:hAnsi="Montserrat"/>
          <w:color w:val="3A3838"/>
          <w:sz w:val="20"/>
          <w:szCs w:val="20"/>
        </w:rPr>
        <w:t>e</w:t>
      </w:r>
      <w:r>
        <w:rPr>
          <w:rFonts w:ascii="Montserrat" w:hAnsi="Montserrat"/>
          <w:color w:val="3A3838"/>
          <w:sz w:val="20"/>
          <w:szCs w:val="20"/>
        </w:rPr>
        <w:t>statales</w:t>
      </w:r>
    </w:p>
    <w:p w14:paraId="046D78A7" w14:textId="77777777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>FEFAC: Federación europea de fabricantes de piensos</w:t>
      </w:r>
    </w:p>
    <w:p w14:paraId="76BA6147" w14:textId="77777777" w:rsid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>UECBV: Comerciantes europeos de productos ganaderos y cárnicos</w:t>
      </w:r>
    </w:p>
    <w:p w14:paraId="7C65745F" w14:textId="58F10C62" w:rsidR="000932C3" w:rsidRDefault="006A03B1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noProof/>
          <w:color w:val="3A3838"/>
          <w:sz w:val="20"/>
          <w:szCs w:val="20"/>
        </w:rPr>
        <w:lastRenderedPageBreak/>
        <w:drawing>
          <wp:inline distT="0" distB="0" distL="0" distR="0" wp14:anchorId="3274F3D4" wp14:editId="01CF941D">
            <wp:extent cx="5693553" cy="2286000"/>
            <wp:effectExtent l="0" t="0" r="2540" b="0"/>
            <wp:docPr id="1842544764" name="Picture 1" descr="Several logos of different compan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44764" name="Picture 1" descr="Several logos of different compani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355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2BAE" w14:textId="709FF97B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</w:p>
    <w:p w14:paraId="049D5140" w14:textId="49D61C47" w:rsidR="00182716" w:rsidRPr="00135F43" w:rsidRDefault="00000000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B8B935788E7E4129AB17EF3705B1894F"/>
          </w:placeholder>
          <w:temporary/>
        </w:sdtPr>
        <w:sdtContent>
          <w:r w:rsidR="001812C3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-FIN-</w:t>
          </w:r>
        </w:sdtContent>
      </w:sdt>
      <w:r w:rsidR="001812C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2242BC4C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El presente texto se pondrá a disposición próximamente en el sitio web del Copa-Cogeca en los idiomas siguientes: alemán, francés, inglés, italiano, polaco y rumano. </w:t>
      </w:r>
    </w:p>
    <w:p w14:paraId="753E845A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  <w:szCs w:val="20"/>
        </w:rPr>
        <w:t xml:space="preserve">Acerca de los autores: el Copa y la Cogeca representamos la voz unida de los agricultores y de las cooperativas agrarias de la UE. Juntos, nos aseguramos de que la agricultura de la UE sea un sector sostenible, innovador y competitivo, garantizando al mismo tiempo la seguridad alimentaria de más de 500 millones de personas en Europa. &gt;&gt;&gt; Le invitamos a consultar nuestra página web: </w:t>
      </w:r>
      <w:hyperlink r:id="rId12" w:history="1">
        <w:r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  <w:r>
        <w:t>.</w:t>
      </w:r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B8B935788E7E4129AB17EF3705B1894F"/>
        </w:placeholder>
      </w:sdtPr>
      <w:sdtContent>
        <w:p w14:paraId="7A685B3D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54F09A" wp14:editId="399F19D0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F0C5421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B8B935788E7E4129AB17EF3705B1894F"/>
        </w:placeholder>
        <w:temporary/>
      </w:sdtPr>
      <w:sdtContent>
        <w:p w14:paraId="10813EC1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>
            <w:rPr>
              <w:rStyle w:val="CCNormal"/>
              <w:sz w:val="20"/>
              <w:szCs w:val="20"/>
            </w:rPr>
            <w:t>Para más información, puede contactar con: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332FA81B" w14:textId="77777777" w:rsidTr="00716D7C">
        <w:tc>
          <w:tcPr>
            <w:tcW w:w="4253" w:type="dxa"/>
          </w:tcPr>
          <w:p w14:paraId="495134E0" w14:textId="3701A130" w:rsidR="00E6727E" w:rsidRPr="00135F43" w:rsidRDefault="000932C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Oana Neagu</w:t>
            </w:r>
          </w:p>
          <w:p w14:paraId="4B664925" w14:textId="2D58637A" w:rsidR="00E6727E" w:rsidRPr="00135F43" w:rsidRDefault="000932C3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Directora de Asuntos Generales</w:t>
            </w:r>
          </w:p>
          <w:p w14:paraId="2E10ED21" w14:textId="76AB456F" w:rsidR="00E6727E" w:rsidRPr="00135F43" w:rsidRDefault="000932C3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oana.neagu@copa-cogeca.eu</w:t>
            </w:r>
          </w:p>
        </w:tc>
        <w:tc>
          <w:tcPr>
            <w:tcW w:w="4763" w:type="dxa"/>
          </w:tcPr>
          <w:p w14:paraId="5A65D8EA" w14:textId="0B0A0A76" w:rsidR="00E6727E" w:rsidRPr="00135F43" w:rsidRDefault="000932C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103F5F41" w14:textId="1DBE224D" w:rsidR="00E6727E" w:rsidRPr="00135F43" w:rsidRDefault="000932C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comunicación</w:t>
            </w:r>
          </w:p>
          <w:p w14:paraId="6A35F6B6" w14:textId="75C4C187" w:rsidR="00E6727E" w:rsidRPr="00135F43" w:rsidRDefault="000932C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33468381" w14:textId="24A8CE11" w:rsidR="00E6727E" w:rsidRPr="00135F43" w:rsidRDefault="000932C3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4650EF25" w14:textId="77777777" w:rsidR="00E6727E" w:rsidRDefault="00E6727E" w:rsidP="00135F43"/>
    <w:p w14:paraId="29F34864" w14:textId="77777777" w:rsidR="00817677" w:rsidRDefault="00817677" w:rsidP="00135F43"/>
    <w:p w14:paraId="752CF805" w14:textId="77777777" w:rsidR="00817677" w:rsidRDefault="00817677" w:rsidP="00817677">
      <w:pPr>
        <w:jc w:val="center"/>
      </w:pPr>
      <w:r>
        <w:t>Lista de distribución de los comunicados de prensa</w:t>
      </w:r>
    </w:p>
    <w:p w14:paraId="5933D3E5" w14:textId="77777777" w:rsidR="00817677" w:rsidRPr="00817677" w:rsidRDefault="00817677" w:rsidP="008176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AE208C" wp14:editId="5E23687C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293D3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Desabonarse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E208C" id="Rectangle: Rounded Corners 1" o:spid="_x0000_s1026" href="https://copa-cogeca.us19.list-manage.com/unsubscribe?u=5371341183d4c12ce11c119f5&amp;id=6d3072a5f7&amp;e=[UNIQID]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5DE293D3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Desabonarse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C3DC8" wp14:editId="468AE83D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CD270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Abonarse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3DC8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3EDCD270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Abonarse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BF014" w14:textId="77777777" w:rsidR="001E6612" w:rsidRPr="00716D7C" w:rsidRDefault="001E6612" w:rsidP="00716D7C">
      <w:r>
        <w:separator/>
      </w:r>
    </w:p>
  </w:endnote>
  <w:endnote w:type="continuationSeparator" w:id="0">
    <w:p w14:paraId="3A64A0DF" w14:textId="77777777" w:rsidR="001E6612" w:rsidRPr="00716D7C" w:rsidRDefault="001E6612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049FEB-C1B2-414B-9483-64213F50E61A}"/>
    <w:embedBold r:id="rId2" w:fontKey="{C3817521-8F3B-4C4B-961A-35F607CC4E91}"/>
    <w:embedItalic r:id="rId3" w:fontKey="{DB198AC6-3A4E-43AA-B86A-19F9FA91D758}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  <w:embedRegular r:id="rId4" w:fontKey="{8FC5CC4D-2407-4230-801C-B644EFCD81C4}"/>
    <w:embedBold r:id="rId5" w:fontKey="{389D2A85-101D-4B41-9C1E-E2EB5B1EC4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189C99A-8CAF-430A-A563-C94B325D0A0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7" w:fontKey="{7A658116-3231-46ED-8184-871F7A3B9B49}"/>
    <w:embedBold r:id="rId8" w:fontKey="{54175678-5F51-415B-8976-8AEEEC4E1B70}"/>
    <w:embedItalic r:id="rId9" w:fontKey="{927247F5-822A-48F9-A5C4-D2C9ECC18E5B}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F988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1C2352A1" wp14:editId="12259C3E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- Cogeca | Agricultores Europeos Cooperativas Agrarias Europeas </w:t>
    </w:r>
  </w:p>
  <w:p w14:paraId="120C7AEC" w14:textId="77777777" w:rsidR="00107120" w:rsidRPr="00AC022D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AC022D">
      <w:rPr>
        <w:rFonts w:ascii="Montserrat" w:hAnsi="Montserrat"/>
        <w:sz w:val="16"/>
        <w:szCs w:val="16"/>
        <w:lang w:val="fr-BE"/>
      </w:rPr>
      <w:t xml:space="preserve">Rue de Trèves 61 | B - 1040 Bruselas | www.copa-cogeca.eu  </w:t>
    </w:r>
  </w:p>
  <w:p w14:paraId="03D46277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N° de registro de transparencia de la UE | Copa 44856881231-49 | Cogeca 09586631237-74</w:t>
    </w:r>
  </w:p>
  <w:p w14:paraId="05D22196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B16F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0F0C14C4" wp14:editId="5D854CDD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- Cogeca | Agricultores Europeos Cooperativas Agrarias Europeas </w:t>
    </w:r>
  </w:p>
  <w:p w14:paraId="075D399C" w14:textId="77777777" w:rsidR="00107120" w:rsidRPr="00AC022D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AC022D">
      <w:rPr>
        <w:rFonts w:ascii="Montserrat" w:hAnsi="Montserrat"/>
        <w:sz w:val="16"/>
        <w:szCs w:val="16"/>
        <w:lang w:val="fr-BE"/>
      </w:rPr>
      <w:t xml:space="preserve">Rue de Trèves 61 | B - 1040 Bruselas | www.copa-cogeca.eu  </w:t>
    </w:r>
  </w:p>
  <w:p w14:paraId="1E77BF6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N° de registro de transparencia de la UE | Copa 44856881231-49 | Cogeca 09586631237-74</w:t>
    </w:r>
  </w:p>
  <w:p w14:paraId="72F6D949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DB5FC4" w14:textId="77777777" w:rsidR="001E6612" w:rsidRPr="00716D7C" w:rsidRDefault="001E6612" w:rsidP="00716D7C">
      <w:r>
        <w:separator/>
      </w:r>
    </w:p>
  </w:footnote>
  <w:footnote w:type="continuationSeparator" w:id="0">
    <w:p w14:paraId="223D9EA1" w14:textId="77777777" w:rsidR="001E6612" w:rsidRPr="00716D7C" w:rsidRDefault="001E6612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9A458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alias w:val="Insert Logo"/>
      <w:tag w:val="Insert Logo"/>
      <w:id w:val="-1871138787"/>
      <w:picture/>
    </w:sdtPr>
    <w:sdtContent>
      <w:p w14:paraId="035C39A2" w14:textId="0BEFDCE0" w:rsidR="00135F43" w:rsidRDefault="006A03B1" w:rsidP="00135F43">
        <w:pPr>
          <w:jc w:val="left"/>
          <w:rPr>
            <w:noProof/>
          </w:rPr>
        </w:pPr>
        <w:r>
          <w:rPr>
            <w:noProof/>
          </w:rPr>
          <w:drawing>
            <wp:inline distT="0" distB="0" distL="0" distR="0" wp14:anchorId="42B3AC01" wp14:editId="5E34A62A">
              <wp:extent cx="266700" cy="266700"/>
              <wp:effectExtent l="0" t="0" r="0" b="0"/>
              <wp:docPr id="745130476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513047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" cy="266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041B9E19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2C3"/>
    <w:rsid w:val="00006AB9"/>
    <w:rsid w:val="000356F5"/>
    <w:rsid w:val="00071DB6"/>
    <w:rsid w:val="0008541B"/>
    <w:rsid w:val="000932C3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47431"/>
    <w:rsid w:val="0015598F"/>
    <w:rsid w:val="00160658"/>
    <w:rsid w:val="001648FF"/>
    <w:rsid w:val="00165DC9"/>
    <w:rsid w:val="00171312"/>
    <w:rsid w:val="00175F2B"/>
    <w:rsid w:val="001812C3"/>
    <w:rsid w:val="00182716"/>
    <w:rsid w:val="00187A93"/>
    <w:rsid w:val="001950AD"/>
    <w:rsid w:val="001E1ED9"/>
    <w:rsid w:val="001E6612"/>
    <w:rsid w:val="001F1C55"/>
    <w:rsid w:val="00215D96"/>
    <w:rsid w:val="00235A0D"/>
    <w:rsid w:val="00244682"/>
    <w:rsid w:val="002562CB"/>
    <w:rsid w:val="002606E9"/>
    <w:rsid w:val="00272E26"/>
    <w:rsid w:val="002966DD"/>
    <w:rsid w:val="002B0FFD"/>
    <w:rsid w:val="002D4EA5"/>
    <w:rsid w:val="002D57AF"/>
    <w:rsid w:val="002E02A5"/>
    <w:rsid w:val="00303B51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0434E"/>
    <w:rsid w:val="00445C22"/>
    <w:rsid w:val="00467BDE"/>
    <w:rsid w:val="00480BF7"/>
    <w:rsid w:val="00486A5D"/>
    <w:rsid w:val="004C39C3"/>
    <w:rsid w:val="004D1FA4"/>
    <w:rsid w:val="004F6EE0"/>
    <w:rsid w:val="005202ED"/>
    <w:rsid w:val="0056456D"/>
    <w:rsid w:val="00590988"/>
    <w:rsid w:val="00592F70"/>
    <w:rsid w:val="005E3EFC"/>
    <w:rsid w:val="005E5961"/>
    <w:rsid w:val="00600ED3"/>
    <w:rsid w:val="00607BB2"/>
    <w:rsid w:val="00623844"/>
    <w:rsid w:val="00641635"/>
    <w:rsid w:val="00644768"/>
    <w:rsid w:val="006662C9"/>
    <w:rsid w:val="00671B34"/>
    <w:rsid w:val="006772EB"/>
    <w:rsid w:val="00681DA3"/>
    <w:rsid w:val="00692EA2"/>
    <w:rsid w:val="006A03B1"/>
    <w:rsid w:val="006A4601"/>
    <w:rsid w:val="006B673C"/>
    <w:rsid w:val="006B74EB"/>
    <w:rsid w:val="006C0583"/>
    <w:rsid w:val="006C4A88"/>
    <w:rsid w:val="006D63CB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17C5"/>
    <w:rsid w:val="00805042"/>
    <w:rsid w:val="00817677"/>
    <w:rsid w:val="00820DE3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1250C"/>
    <w:rsid w:val="00922B6D"/>
    <w:rsid w:val="00925C9C"/>
    <w:rsid w:val="00947501"/>
    <w:rsid w:val="00955DDE"/>
    <w:rsid w:val="00990273"/>
    <w:rsid w:val="009A78D2"/>
    <w:rsid w:val="009D163E"/>
    <w:rsid w:val="009D40C9"/>
    <w:rsid w:val="009E4E92"/>
    <w:rsid w:val="009F1163"/>
    <w:rsid w:val="00A1126D"/>
    <w:rsid w:val="00A20342"/>
    <w:rsid w:val="00A42C19"/>
    <w:rsid w:val="00A63781"/>
    <w:rsid w:val="00A9463E"/>
    <w:rsid w:val="00AB49EF"/>
    <w:rsid w:val="00AC022D"/>
    <w:rsid w:val="00AE5E6F"/>
    <w:rsid w:val="00AF1CBB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BF63E7"/>
    <w:rsid w:val="00C20330"/>
    <w:rsid w:val="00C223B8"/>
    <w:rsid w:val="00C26FE0"/>
    <w:rsid w:val="00C435EA"/>
    <w:rsid w:val="00C45734"/>
    <w:rsid w:val="00C47D21"/>
    <w:rsid w:val="00C51DE9"/>
    <w:rsid w:val="00C5271A"/>
    <w:rsid w:val="00C544BA"/>
    <w:rsid w:val="00C968D7"/>
    <w:rsid w:val="00CA4F69"/>
    <w:rsid w:val="00CC4394"/>
    <w:rsid w:val="00CE00C2"/>
    <w:rsid w:val="00CE19D7"/>
    <w:rsid w:val="00CF4B85"/>
    <w:rsid w:val="00D10189"/>
    <w:rsid w:val="00D1533B"/>
    <w:rsid w:val="00D239FF"/>
    <w:rsid w:val="00D66617"/>
    <w:rsid w:val="00D72C78"/>
    <w:rsid w:val="00DF6217"/>
    <w:rsid w:val="00E05511"/>
    <w:rsid w:val="00E0627B"/>
    <w:rsid w:val="00E2211C"/>
    <w:rsid w:val="00E50506"/>
    <w:rsid w:val="00E510B1"/>
    <w:rsid w:val="00E6727E"/>
    <w:rsid w:val="00E72924"/>
    <w:rsid w:val="00E9016C"/>
    <w:rsid w:val="00E92FBE"/>
    <w:rsid w:val="00E95D41"/>
    <w:rsid w:val="00EA132D"/>
    <w:rsid w:val="00EA46C6"/>
    <w:rsid w:val="00F145A0"/>
    <w:rsid w:val="00F25A49"/>
    <w:rsid w:val="00F4320D"/>
    <w:rsid w:val="00F52C33"/>
    <w:rsid w:val="00F53D64"/>
    <w:rsid w:val="00F63519"/>
    <w:rsid w:val="00F9672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A7EC0"/>
  <w15:chartTrackingRefBased/>
  <w15:docId w15:val="{A6BFE44A-F5DE-4EBD-88AA-A3CDF5072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9E4E92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820D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820D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0DE3"/>
    <w:rPr>
      <w:rFonts w:ascii="Montserrat Light" w:hAnsi="Montserrat Light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20D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DE3"/>
    <w:rPr>
      <w:rFonts w:ascii="Montserrat Light" w:hAnsi="Montserrat Light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pa-cogeca.us19.list-manage.com/unsubscribe?u=5371341183d4c12ce11c119f5&amp;id=6d3072a5f7&amp;e=%5bUNIQID%5d&amp;c=d1f96d5be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pa-cogeca.e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.jotform.com/copacogeca/press-release-subscrip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8B935788E7E4129AB17EF3705B18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A5D95-DACD-4BC6-986A-78817F813D1A}"/>
      </w:docPartPr>
      <w:docPartBody>
        <w:p w:rsidR="00A067CD" w:rsidRDefault="00A067CD">
          <w:pPr>
            <w:pStyle w:val="B8B935788E7E4129AB17EF3705B1894F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7CD"/>
    <w:rsid w:val="0040434E"/>
    <w:rsid w:val="00552C8C"/>
    <w:rsid w:val="00A067CD"/>
    <w:rsid w:val="00A42C19"/>
    <w:rsid w:val="00C4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8B935788E7E4129AB17EF3705B1894F">
    <w:name w:val="B8B935788E7E4129AB17EF3705B189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19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FACFB23-1DBA-4D25-B9B0-A5A3232FD1D0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4</TotalTime>
  <Pages>2</Pages>
  <Words>446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Rosina Butterworth</cp:lastModifiedBy>
  <cp:revision>4</cp:revision>
  <dcterms:created xsi:type="dcterms:W3CDTF">2024-10-04T12:45:00Z</dcterms:created>
  <dcterms:modified xsi:type="dcterms:W3CDTF">2024-10-04T12:46:00Z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