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7D6F" w14:textId="0E7732AD" w:rsidR="00560A0E" w:rsidRPr="00901970" w:rsidRDefault="00560A0E" w:rsidP="00560A0E">
      <w:pPr>
        <w:pStyle w:val="NoSpacing"/>
        <w:spacing w:before="120"/>
        <w:jc w:val="both"/>
        <w:rPr>
          <w:sz w:val="22"/>
          <w:szCs w:val="22"/>
          <w:lang w:val="en-US"/>
        </w:rPr>
      </w:pPr>
      <w:r w:rsidRPr="00901970">
        <w:rPr>
          <w:sz w:val="22"/>
          <w:szCs w:val="22"/>
          <w:lang w:val="en-US"/>
        </w:rPr>
        <w:t>Ref.: SCBD/IMS/</w:t>
      </w:r>
      <w:r>
        <w:rPr>
          <w:sz w:val="22"/>
          <w:szCs w:val="22"/>
          <w:lang w:val="en-US"/>
        </w:rPr>
        <w:t>NP/</w:t>
      </w:r>
      <w:r w:rsidRPr="00901970">
        <w:rPr>
          <w:sz w:val="22"/>
          <w:szCs w:val="22"/>
          <w:lang w:val="en-US"/>
        </w:rPr>
        <w:t>JEC/</w:t>
      </w:r>
      <w:r>
        <w:rPr>
          <w:sz w:val="22"/>
          <w:szCs w:val="22"/>
          <w:lang w:val="en-US"/>
        </w:rPr>
        <w:t>L</w:t>
      </w:r>
      <w:r w:rsidRPr="00901970">
        <w:rPr>
          <w:sz w:val="22"/>
          <w:szCs w:val="22"/>
          <w:lang w:val="en-US"/>
        </w:rPr>
        <w:t>C/</w:t>
      </w:r>
      <w:r>
        <w:rPr>
          <w:sz w:val="22"/>
          <w:szCs w:val="22"/>
          <w:lang w:val="en-US"/>
        </w:rPr>
        <w:t>91736</w:t>
      </w:r>
      <w:r w:rsidRPr="00901970">
        <w:rPr>
          <w:sz w:val="22"/>
          <w:szCs w:val="22"/>
          <w:lang w:val="en-US"/>
        </w:rPr>
        <w:tab/>
      </w:r>
      <w:r w:rsidRPr="00901970">
        <w:rPr>
          <w:sz w:val="22"/>
          <w:szCs w:val="22"/>
          <w:lang w:val="en-US"/>
        </w:rPr>
        <w:tab/>
      </w:r>
      <w:r w:rsidRPr="00901970">
        <w:rPr>
          <w:sz w:val="22"/>
          <w:szCs w:val="22"/>
          <w:lang w:val="en-US"/>
        </w:rPr>
        <w:tab/>
        <w:t xml:space="preserve">                         </w:t>
      </w:r>
      <w:r w:rsidRPr="00901970">
        <w:rPr>
          <w:sz w:val="22"/>
          <w:szCs w:val="22"/>
          <w:lang w:val="en-US"/>
        </w:rPr>
        <w:tab/>
        <w:t xml:space="preserve"> </w:t>
      </w:r>
      <w:r w:rsidRPr="0090197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</w:t>
      </w:r>
      <w:r w:rsidR="00A27A6F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 xml:space="preserve"> June 2024</w:t>
      </w:r>
    </w:p>
    <w:p w14:paraId="28C0F3B3" w14:textId="77777777" w:rsidR="00560A0E" w:rsidRPr="00901970" w:rsidRDefault="00560A0E" w:rsidP="00560A0E">
      <w:pPr>
        <w:snapToGrid w:val="0"/>
        <w:spacing w:before="240"/>
        <w:jc w:val="center"/>
        <w:rPr>
          <w:b/>
          <w:bCs/>
          <w:sz w:val="22"/>
          <w:szCs w:val="22"/>
        </w:rPr>
      </w:pPr>
      <w:r w:rsidRPr="00901970">
        <w:rPr>
          <w:b/>
          <w:bCs/>
          <w:sz w:val="22"/>
          <w:szCs w:val="22"/>
        </w:rPr>
        <w:t>NOTIFICATION</w:t>
      </w:r>
    </w:p>
    <w:p w14:paraId="0D51F4D8" w14:textId="77777777" w:rsidR="00560A0E" w:rsidRPr="00901970" w:rsidRDefault="00560A0E" w:rsidP="00560A0E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Dialogue on </w:t>
      </w:r>
      <w:r w:rsidRPr="00901970">
        <w:rPr>
          <w:b/>
          <w:bCs/>
          <w:sz w:val="22"/>
          <w:szCs w:val="22"/>
        </w:rPr>
        <w:t>National Biodiversity Strategies and Action Plans</w:t>
      </w:r>
      <w:r>
        <w:rPr>
          <w:b/>
          <w:bCs/>
          <w:sz w:val="22"/>
          <w:szCs w:val="22"/>
        </w:rPr>
        <w:t xml:space="preserve"> in Tajikistan</w:t>
      </w:r>
    </w:p>
    <w:p w14:paraId="1C2ABBA4" w14:textId="19643F0B" w:rsidR="00560A0E" w:rsidRDefault="00560A0E" w:rsidP="00560A0E">
      <w:pPr>
        <w:snapToGrid w:val="0"/>
        <w:jc w:val="center"/>
        <w:rPr>
          <w:sz w:val="22"/>
          <w:szCs w:val="22"/>
        </w:rPr>
      </w:pPr>
      <w:r w:rsidRPr="00555FD2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July</w:t>
      </w:r>
      <w:r w:rsidR="00DF4C06">
        <w:rPr>
          <w:b/>
          <w:bCs/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>1 August</w:t>
      </w:r>
      <w:r w:rsidRPr="00555FD2">
        <w:rPr>
          <w:b/>
          <w:bCs/>
          <w:sz w:val="22"/>
          <w:szCs w:val="22"/>
        </w:rPr>
        <w:t xml:space="preserve"> 2024</w:t>
      </w:r>
      <w:r w:rsidR="00C67867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Dushanbe, Republic of Tajikistan</w:t>
      </w:r>
    </w:p>
    <w:p w14:paraId="2E6D4CC2" w14:textId="77777777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</w:p>
    <w:p w14:paraId="32268193" w14:textId="77777777" w:rsidR="00560A0E" w:rsidRPr="00832898" w:rsidRDefault="00560A0E" w:rsidP="00560A0E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B026F6">
        <w:rPr>
          <w:sz w:val="22"/>
          <w:szCs w:val="22"/>
        </w:rPr>
        <w:t>Dear Sir</w:t>
      </w:r>
      <w:r>
        <w:rPr>
          <w:sz w:val="22"/>
          <w:szCs w:val="22"/>
        </w:rPr>
        <w:t xml:space="preserve"> or Madam</w:t>
      </w:r>
      <w:r w:rsidRPr="00B026F6">
        <w:rPr>
          <w:sz w:val="22"/>
          <w:szCs w:val="22"/>
        </w:rPr>
        <w:t>,</w:t>
      </w:r>
    </w:p>
    <w:p w14:paraId="0A45A8BE" w14:textId="600DC50B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bookmarkStart w:id="0" w:name="_Hlk144810460"/>
      <w:r w:rsidRPr="00901970">
        <w:rPr>
          <w:snapToGrid w:val="0"/>
          <w:sz w:val="22"/>
          <w:szCs w:val="22"/>
          <w:lang w:val="en-CA" w:eastAsia="en-US"/>
        </w:rPr>
        <w:tab/>
      </w:r>
      <w:bookmarkEnd w:id="0"/>
      <w:r w:rsidRPr="00901970">
        <w:rPr>
          <w:snapToGrid w:val="0"/>
          <w:sz w:val="22"/>
          <w:szCs w:val="22"/>
          <w:lang w:val="en-CA" w:eastAsia="en-US"/>
        </w:rPr>
        <w:t>I am pleased to advise that</w:t>
      </w:r>
      <w:r>
        <w:rPr>
          <w:snapToGrid w:val="0"/>
          <w:sz w:val="22"/>
          <w:szCs w:val="22"/>
          <w:lang w:val="en-CA" w:eastAsia="en-US"/>
        </w:rPr>
        <w:t xml:space="preserve"> </w:t>
      </w:r>
      <w:r w:rsidR="00031253">
        <w:rPr>
          <w:snapToGrid w:val="0"/>
          <w:sz w:val="22"/>
          <w:szCs w:val="22"/>
          <w:lang w:val="en-CA" w:eastAsia="en-US"/>
        </w:rPr>
        <w:t xml:space="preserve">a </w:t>
      </w:r>
      <w:r>
        <w:rPr>
          <w:snapToGrid w:val="0"/>
          <w:sz w:val="22"/>
          <w:szCs w:val="22"/>
          <w:lang w:val="en-CA" w:eastAsia="en-US"/>
        </w:rPr>
        <w:t xml:space="preserve">dialogue on national biodiversity strategies and action plans (NBSAPs) </w:t>
      </w:r>
      <w:r w:rsidRPr="00901970">
        <w:rPr>
          <w:snapToGrid w:val="0"/>
          <w:sz w:val="22"/>
          <w:szCs w:val="22"/>
          <w:lang w:val="en-CA" w:eastAsia="en-US"/>
        </w:rPr>
        <w:t xml:space="preserve">will be </w:t>
      </w:r>
      <w:r>
        <w:rPr>
          <w:snapToGrid w:val="0"/>
          <w:sz w:val="22"/>
          <w:szCs w:val="22"/>
          <w:lang w:val="en-CA" w:eastAsia="en-US"/>
        </w:rPr>
        <w:t xml:space="preserve">held </w:t>
      </w:r>
      <w:r w:rsidRPr="00901970">
        <w:rPr>
          <w:snapToGrid w:val="0"/>
          <w:sz w:val="22"/>
          <w:szCs w:val="22"/>
          <w:lang w:val="en-CA" w:eastAsia="en-US"/>
        </w:rPr>
        <w:t xml:space="preserve">from </w:t>
      </w:r>
      <w:r w:rsidRPr="00555FD2">
        <w:rPr>
          <w:b/>
          <w:bCs/>
          <w:snapToGrid w:val="0"/>
          <w:sz w:val="22"/>
          <w:szCs w:val="22"/>
          <w:lang w:val="en-CA" w:eastAsia="en-US"/>
        </w:rPr>
        <w:t xml:space="preserve">30 </w:t>
      </w:r>
      <w:r>
        <w:rPr>
          <w:b/>
          <w:bCs/>
          <w:snapToGrid w:val="0"/>
          <w:sz w:val="22"/>
          <w:szCs w:val="22"/>
          <w:lang w:val="en-CA" w:eastAsia="en-US"/>
        </w:rPr>
        <w:t>July to 1 August</w:t>
      </w:r>
      <w:r w:rsidRPr="00555FD2">
        <w:rPr>
          <w:b/>
          <w:bCs/>
          <w:snapToGrid w:val="0"/>
          <w:sz w:val="22"/>
          <w:szCs w:val="22"/>
          <w:lang w:val="en-CA" w:eastAsia="en-US"/>
        </w:rPr>
        <w:t xml:space="preserve"> 2024</w:t>
      </w:r>
      <w:r>
        <w:rPr>
          <w:snapToGrid w:val="0"/>
          <w:sz w:val="22"/>
          <w:szCs w:val="22"/>
          <w:lang w:val="en-CA" w:eastAsia="en-US"/>
        </w:rPr>
        <w:t xml:space="preserve"> in Dushanbe, Republic of Tajikistan, with the support of the National Biodiversity and Biosafety Centre of the Committee for Environmental Protection under the Republic of Tajikistan.</w:t>
      </w:r>
    </w:p>
    <w:p w14:paraId="2D672750" w14:textId="28F8977B" w:rsidR="00560A0E" w:rsidRPr="00832898" w:rsidRDefault="00560A0E" w:rsidP="00560A0E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>
        <w:rPr>
          <w:snapToGrid w:val="0"/>
          <w:sz w:val="22"/>
          <w:szCs w:val="22"/>
          <w:lang w:val="en-CA" w:eastAsia="en-US"/>
        </w:rPr>
        <w:tab/>
        <w:t xml:space="preserve">The NBSAP Dialogue is part of a series of </w:t>
      </w:r>
      <w:r w:rsidRPr="00901970">
        <w:rPr>
          <w:sz w:val="22"/>
          <w:szCs w:val="22"/>
        </w:rPr>
        <w:t xml:space="preserve">regional and sub-regional </w:t>
      </w:r>
      <w:r>
        <w:rPr>
          <w:snapToGrid w:val="0"/>
          <w:sz w:val="22"/>
          <w:szCs w:val="22"/>
          <w:lang w:val="en-CA"/>
        </w:rPr>
        <w:t>d</w:t>
      </w:r>
      <w:r w:rsidRPr="00901970">
        <w:rPr>
          <w:snapToGrid w:val="0"/>
          <w:sz w:val="22"/>
          <w:szCs w:val="22"/>
          <w:lang w:val="en-CA"/>
        </w:rPr>
        <w:t>ialogues</w:t>
      </w:r>
      <w:r>
        <w:rPr>
          <w:snapToGrid w:val="0"/>
          <w:sz w:val="22"/>
          <w:szCs w:val="22"/>
          <w:lang w:val="en-CA"/>
        </w:rPr>
        <w:t xml:space="preserve"> being convened by the Secretariat </w:t>
      </w:r>
      <w:r w:rsidRPr="00901970">
        <w:rPr>
          <w:snapToGrid w:val="0"/>
          <w:sz w:val="22"/>
          <w:szCs w:val="22"/>
          <w:lang w:val="en-CA"/>
        </w:rPr>
        <w:t xml:space="preserve">in 2023 and 2024 </w:t>
      </w:r>
      <w:r>
        <w:rPr>
          <w:snapToGrid w:val="0"/>
          <w:sz w:val="22"/>
          <w:szCs w:val="22"/>
          <w:lang w:val="en-CA"/>
        </w:rPr>
        <w:t>to</w:t>
      </w:r>
      <w:r w:rsidRPr="00901970">
        <w:rPr>
          <w:snapToGrid w:val="0"/>
          <w:sz w:val="22"/>
          <w:szCs w:val="22"/>
          <w:lang w:val="en-CA"/>
        </w:rPr>
        <w:t xml:space="preserve"> facilitat</w:t>
      </w:r>
      <w:r>
        <w:rPr>
          <w:snapToGrid w:val="0"/>
          <w:sz w:val="22"/>
          <w:szCs w:val="22"/>
          <w:lang w:val="en-CA"/>
        </w:rPr>
        <w:t>e</w:t>
      </w:r>
      <w:r w:rsidRPr="00901970">
        <w:rPr>
          <w:snapToGrid w:val="0"/>
          <w:sz w:val="22"/>
          <w:szCs w:val="22"/>
          <w:lang w:val="en-CA"/>
        </w:rPr>
        <w:t xml:space="preserve"> the sharing of experiences and mutual learning related to the </w:t>
      </w:r>
      <w:r>
        <w:rPr>
          <w:snapToGrid w:val="0"/>
          <w:sz w:val="22"/>
          <w:szCs w:val="22"/>
          <w:lang w:val="en-CA"/>
        </w:rPr>
        <w:t xml:space="preserve">revision and updating of </w:t>
      </w:r>
      <w:r w:rsidRPr="00901970">
        <w:rPr>
          <w:snapToGrid w:val="0"/>
          <w:sz w:val="22"/>
          <w:szCs w:val="22"/>
          <w:lang w:val="en-CA"/>
        </w:rPr>
        <w:t>NBSAPs</w:t>
      </w:r>
      <w:r>
        <w:rPr>
          <w:snapToGrid w:val="0"/>
          <w:sz w:val="22"/>
          <w:szCs w:val="22"/>
          <w:lang w:val="en-CA"/>
        </w:rPr>
        <w:t>, including national targets</w:t>
      </w:r>
      <w:r w:rsidRPr="00901970">
        <w:rPr>
          <w:snapToGrid w:val="0"/>
          <w:sz w:val="22"/>
          <w:szCs w:val="22"/>
          <w:lang w:val="en-CA"/>
        </w:rPr>
        <w:t xml:space="preserve">, </w:t>
      </w:r>
      <w:r>
        <w:rPr>
          <w:snapToGrid w:val="0"/>
          <w:sz w:val="22"/>
          <w:szCs w:val="22"/>
          <w:lang w:val="en-CA"/>
        </w:rPr>
        <w:t xml:space="preserve">in alignment </w:t>
      </w:r>
      <w:r w:rsidRPr="00901970">
        <w:rPr>
          <w:snapToGrid w:val="0"/>
          <w:sz w:val="22"/>
          <w:szCs w:val="22"/>
          <w:lang w:val="en-CA"/>
        </w:rPr>
        <w:t xml:space="preserve">with the Kunming-Montreal Global Biodiversity Framework, as requested in </w:t>
      </w:r>
      <w:hyperlink r:id="rId11" w:history="1">
        <w:r w:rsidRPr="00901970">
          <w:rPr>
            <w:rStyle w:val="Hyperlink"/>
            <w:sz w:val="22"/>
            <w:szCs w:val="22"/>
          </w:rPr>
          <w:t>decision 15/6</w:t>
        </w:r>
      </w:hyperlink>
      <w:r w:rsidRPr="00901970">
        <w:rPr>
          <w:sz w:val="22"/>
          <w:szCs w:val="22"/>
        </w:rPr>
        <w:t>.</w:t>
      </w:r>
      <w:r>
        <w:rPr>
          <w:sz w:val="22"/>
          <w:szCs w:val="22"/>
        </w:rPr>
        <w:t xml:space="preserve"> The Dialogue</w:t>
      </w:r>
      <w:r w:rsidR="00864864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64864">
        <w:rPr>
          <w:sz w:val="22"/>
          <w:szCs w:val="22"/>
        </w:rPr>
        <w:t xml:space="preserve">are </w:t>
      </w:r>
      <w:r>
        <w:rPr>
          <w:sz w:val="22"/>
          <w:szCs w:val="22"/>
        </w:rPr>
        <w:t>being convened w</w:t>
      </w:r>
      <w:r w:rsidRPr="00901970">
        <w:rPr>
          <w:sz w:val="22"/>
          <w:szCs w:val="22"/>
        </w:rPr>
        <w:t xml:space="preserve">ith the generous financial support of the Government of Japan, through </w:t>
      </w:r>
      <w:r>
        <w:rPr>
          <w:sz w:val="22"/>
          <w:szCs w:val="22"/>
        </w:rPr>
        <w:t>its</w:t>
      </w:r>
      <w:r w:rsidRPr="00901970">
        <w:rPr>
          <w:sz w:val="22"/>
          <w:szCs w:val="22"/>
        </w:rPr>
        <w:t xml:space="preserve"> Japan Biodiversity Fund, the Government of the United Kingdom of Great Britain and Northern Ireland</w:t>
      </w:r>
      <w:r>
        <w:rPr>
          <w:sz w:val="22"/>
          <w:szCs w:val="22"/>
        </w:rPr>
        <w:t xml:space="preserve">, the Government of Denmark, </w:t>
      </w:r>
      <w:r w:rsidRPr="005F5A78">
        <w:rPr>
          <w:sz w:val="22"/>
          <w:szCs w:val="22"/>
        </w:rPr>
        <w:t xml:space="preserve">and the European Union. </w:t>
      </w:r>
      <w:r>
        <w:rPr>
          <w:sz w:val="22"/>
          <w:szCs w:val="22"/>
        </w:rPr>
        <w:t xml:space="preserve">Additional support to this dialogue is provided by </w:t>
      </w:r>
      <w:r w:rsidR="009B4E5B" w:rsidRPr="009B4E5B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Deutsche Gesellschaft für Internationale </w:t>
      </w:r>
      <w:proofErr w:type="spellStart"/>
      <w:r w:rsidR="009B4E5B" w:rsidRPr="009B4E5B">
        <w:rPr>
          <w:rFonts w:asciiTheme="majorBidi" w:hAnsiTheme="majorBidi" w:cstheme="majorBidi"/>
          <w:sz w:val="22"/>
          <w:szCs w:val="22"/>
          <w:shd w:val="clear" w:color="auto" w:fill="FFFFFF"/>
        </w:rPr>
        <w:t>Zusammenarbeit</w:t>
      </w:r>
      <w:proofErr w:type="spellEnd"/>
      <w:r w:rsidR="009B4E5B" w:rsidRPr="009B4E5B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(GIZ)</w:t>
      </w:r>
      <w:r>
        <w:rPr>
          <w:sz w:val="22"/>
          <w:szCs w:val="22"/>
        </w:rPr>
        <w:t>.</w:t>
      </w:r>
    </w:p>
    <w:p w14:paraId="695BFAEE" w14:textId="745FBC10" w:rsidR="00560A0E" w:rsidRPr="003872BA" w:rsidRDefault="00560A0E" w:rsidP="00560A0E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832898">
        <w:rPr>
          <w:snapToGrid w:val="0"/>
          <w:sz w:val="22"/>
          <w:szCs w:val="22"/>
          <w:lang w:val="en-CA" w:eastAsia="en-US"/>
        </w:rPr>
        <w:tab/>
        <w:t>The NBSAP Dialogue will include sessions</w:t>
      </w:r>
      <w:r>
        <w:rPr>
          <w:sz w:val="22"/>
          <w:szCs w:val="22"/>
        </w:rPr>
        <w:t xml:space="preserve"> on e</w:t>
      </w:r>
      <w:r w:rsidRPr="00C2243A">
        <w:rPr>
          <w:sz w:val="22"/>
          <w:szCs w:val="22"/>
        </w:rPr>
        <w:t xml:space="preserve">xperiences and lessons learned in revising or updating </w:t>
      </w:r>
      <w:r>
        <w:rPr>
          <w:sz w:val="22"/>
          <w:szCs w:val="22"/>
        </w:rPr>
        <w:t>NBSAPs</w:t>
      </w:r>
      <w:r w:rsidRPr="00C2243A">
        <w:rPr>
          <w:sz w:val="22"/>
          <w:szCs w:val="22"/>
        </w:rPr>
        <w:t>, including national target revision or setting</w:t>
      </w:r>
      <w:r>
        <w:rPr>
          <w:sz w:val="22"/>
          <w:szCs w:val="22"/>
        </w:rPr>
        <w:t xml:space="preserve">, whole-of-government and whole-of-society approaches, the integration of the Cartagena and Nagoya Protocols and other relevant multilateral environmental agreements into the NBSAP, and </w:t>
      </w:r>
      <w:r w:rsidR="00170536">
        <w:rPr>
          <w:sz w:val="22"/>
          <w:szCs w:val="22"/>
        </w:rPr>
        <w:t xml:space="preserve">the </w:t>
      </w:r>
      <w:r>
        <w:rPr>
          <w:sz w:val="22"/>
          <w:szCs w:val="22"/>
        </w:rPr>
        <w:t>development of a national monitoring plan for the NBSAP. The Dialogue will also include dedicated discussions in breakout groups on (i) capacity-building and development and (ii) national biodiversity financing</w:t>
      </w:r>
      <w:r w:rsidRPr="00694A65">
        <w:rPr>
          <w:sz w:val="22"/>
          <w:szCs w:val="22"/>
        </w:rPr>
        <w:t>.</w:t>
      </w:r>
      <w:r>
        <w:rPr>
          <w:sz w:val="22"/>
          <w:szCs w:val="22"/>
        </w:rPr>
        <w:t xml:space="preserve"> The outcomes of the Dialogue will</w:t>
      </w:r>
      <w:r w:rsidRPr="00901970">
        <w:rPr>
          <w:sz w:val="22"/>
          <w:szCs w:val="22"/>
        </w:rPr>
        <w:t xml:space="preserve"> serve as an input in the further piloting of an open-ended forum for voluntary </w:t>
      </w:r>
      <w:r>
        <w:rPr>
          <w:sz w:val="22"/>
          <w:szCs w:val="22"/>
        </w:rPr>
        <w:t xml:space="preserve">country </w:t>
      </w:r>
      <w:r w:rsidRPr="00901970">
        <w:rPr>
          <w:sz w:val="22"/>
          <w:szCs w:val="22"/>
        </w:rPr>
        <w:t>review of implementation under the Subsidiary Body on Implementation (SBI)</w:t>
      </w:r>
      <w:r>
        <w:rPr>
          <w:sz w:val="22"/>
          <w:szCs w:val="22"/>
        </w:rPr>
        <w:t>,</w:t>
      </w:r>
      <w:r w:rsidRPr="00901970">
        <w:rPr>
          <w:sz w:val="22"/>
          <w:szCs w:val="22"/>
        </w:rPr>
        <w:t xml:space="preserve"> </w:t>
      </w:r>
      <w:r>
        <w:rPr>
          <w:sz w:val="22"/>
          <w:szCs w:val="22"/>
        </w:rPr>
        <w:t>pursuant to</w:t>
      </w:r>
      <w:r w:rsidRPr="00901970">
        <w:rPr>
          <w:sz w:val="22"/>
          <w:szCs w:val="22"/>
        </w:rPr>
        <w:t xml:space="preserve"> decision 15/6</w:t>
      </w:r>
      <w:r w:rsidRPr="003872BA">
        <w:rPr>
          <w:snapToGrid w:val="0"/>
          <w:sz w:val="22"/>
          <w:szCs w:val="22"/>
          <w:lang w:val="en-CA" w:eastAsia="en-US"/>
        </w:rPr>
        <w:t xml:space="preserve">.  </w:t>
      </w:r>
    </w:p>
    <w:p w14:paraId="08B6789F" w14:textId="63D81B47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 w:rsidRPr="003872BA">
        <w:rPr>
          <w:snapToGrid w:val="0"/>
          <w:sz w:val="22"/>
          <w:szCs w:val="22"/>
          <w:lang w:val="en-CA" w:eastAsia="en-US"/>
        </w:rPr>
        <w:tab/>
        <w:t>I therefore invite each Party concerned to nominate</w:t>
      </w:r>
      <w:r>
        <w:rPr>
          <w:sz w:val="22"/>
          <w:szCs w:val="22"/>
          <w:lang w:val="en-CA"/>
        </w:rPr>
        <w:t xml:space="preserve"> two</w:t>
      </w:r>
      <w:r>
        <w:rPr>
          <w:sz w:val="22"/>
          <w:szCs w:val="22"/>
        </w:rPr>
        <w:t xml:space="preserve"> </w:t>
      </w:r>
      <w:r w:rsidRPr="00694A65">
        <w:rPr>
          <w:sz w:val="22"/>
          <w:szCs w:val="22"/>
        </w:rPr>
        <w:t>representatives to attend</w:t>
      </w:r>
      <w:r w:rsidRPr="00901970">
        <w:rPr>
          <w:sz w:val="22"/>
          <w:szCs w:val="22"/>
        </w:rPr>
        <w:t>. It is advised that one nominee is the national focal point for the Convention or a government official who is responsible for leading the work on revising and updating the NBSAP</w:t>
      </w:r>
      <w:r>
        <w:rPr>
          <w:sz w:val="22"/>
          <w:szCs w:val="22"/>
        </w:rPr>
        <w:t>, and</w:t>
      </w:r>
      <w:r w:rsidRPr="00901970">
        <w:rPr>
          <w:sz w:val="22"/>
          <w:szCs w:val="22"/>
        </w:rPr>
        <w:t xml:space="preserve"> </w:t>
      </w:r>
      <w:r w:rsidR="00170536">
        <w:rPr>
          <w:sz w:val="22"/>
          <w:szCs w:val="22"/>
        </w:rPr>
        <w:t>the</w:t>
      </w:r>
      <w:r w:rsidR="00170536" w:rsidRPr="00E34F47">
        <w:rPr>
          <w:sz w:val="22"/>
          <w:szCs w:val="22"/>
        </w:rPr>
        <w:t xml:space="preserve"> </w:t>
      </w:r>
      <w:r w:rsidRPr="00E34F47">
        <w:rPr>
          <w:sz w:val="22"/>
          <w:szCs w:val="22"/>
        </w:rPr>
        <w:t xml:space="preserve">second nominee </w:t>
      </w:r>
      <w:r>
        <w:rPr>
          <w:sz w:val="22"/>
          <w:szCs w:val="22"/>
        </w:rPr>
        <w:t xml:space="preserve">could be an officer or expert who is involved in the revision or updating of NBSAPs, </w:t>
      </w:r>
      <w:proofErr w:type="gramStart"/>
      <w:r>
        <w:rPr>
          <w:sz w:val="22"/>
          <w:szCs w:val="22"/>
        </w:rPr>
        <w:t>in particular working</w:t>
      </w:r>
      <w:proofErr w:type="gramEnd"/>
      <w:r>
        <w:rPr>
          <w:sz w:val="22"/>
          <w:szCs w:val="22"/>
        </w:rPr>
        <w:t xml:space="preserve"> on issues related to capacity building and development or financing. In submitting nominations, </w:t>
      </w:r>
      <w:r w:rsidRPr="00901970">
        <w:rPr>
          <w:sz w:val="22"/>
          <w:szCs w:val="22"/>
        </w:rPr>
        <w:t>Parties should give consideration</w:t>
      </w:r>
      <w:r w:rsidRPr="22A896FC">
        <w:rPr>
          <w:sz w:val="22"/>
          <w:szCs w:val="22"/>
        </w:rPr>
        <w:t xml:space="preserve"> </w:t>
      </w:r>
      <w:r w:rsidRPr="00901970">
        <w:rPr>
          <w:sz w:val="22"/>
          <w:szCs w:val="22"/>
        </w:rPr>
        <w:t>to the full range of national stakeholders, including the focal points of the Cartagena and Nagoya Protocols.</w:t>
      </w:r>
    </w:p>
    <w:p w14:paraId="5B3E1E69" w14:textId="77777777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1970">
        <w:rPr>
          <w:sz w:val="22"/>
          <w:szCs w:val="22"/>
        </w:rPr>
        <w:t>Nomination letters should be signed by the national focal point of the Convention or the Head of the competent authority</w:t>
      </w:r>
      <w:r w:rsidRPr="00E34F47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E34F47">
        <w:rPr>
          <w:sz w:val="22"/>
          <w:szCs w:val="22"/>
        </w:rPr>
        <w:t xml:space="preserve">nformation on nominees </w:t>
      </w:r>
      <w:r>
        <w:rPr>
          <w:sz w:val="22"/>
          <w:szCs w:val="22"/>
        </w:rPr>
        <w:t xml:space="preserve">should be submitted </w:t>
      </w:r>
      <w:r w:rsidRPr="00E34F47">
        <w:rPr>
          <w:sz w:val="22"/>
          <w:szCs w:val="22"/>
        </w:rPr>
        <w:t xml:space="preserve">through the nomination form annexed to </w:t>
      </w:r>
      <w:r>
        <w:rPr>
          <w:sz w:val="22"/>
          <w:szCs w:val="22"/>
        </w:rPr>
        <w:t>this</w:t>
      </w:r>
      <w:r w:rsidRPr="00E34F47">
        <w:rPr>
          <w:sz w:val="22"/>
          <w:szCs w:val="22"/>
        </w:rPr>
        <w:t xml:space="preserve"> notification,</w:t>
      </w:r>
      <w:r w:rsidRPr="00901970">
        <w:rPr>
          <w:sz w:val="22"/>
          <w:szCs w:val="22"/>
        </w:rPr>
        <w:t xml:space="preserve"> describing relevant expertise and </w:t>
      </w:r>
      <w:r w:rsidRPr="22A896FC">
        <w:rPr>
          <w:sz w:val="22"/>
          <w:szCs w:val="22"/>
        </w:rPr>
        <w:t>experience</w:t>
      </w:r>
      <w:r>
        <w:rPr>
          <w:sz w:val="22"/>
          <w:szCs w:val="22"/>
        </w:rPr>
        <w:t xml:space="preserve"> of the nominees</w:t>
      </w:r>
      <w:r w:rsidRPr="22A896FC">
        <w:rPr>
          <w:sz w:val="22"/>
          <w:szCs w:val="22"/>
        </w:rPr>
        <w:t>. The number of participants is limited. The selection of experts invited to attend will be done to ensure a balanced participation in the breakout group</w:t>
      </w:r>
      <w:r>
        <w:rPr>
          <w:sz w:val="22"/>
          <w:szCs w:val="22"/>
        </w:rPr>
        <w:t>s</w:t>
      </w:r>
      <w:r w:rsidRPr="22A896FC">
        <w:rPr>
          <w:sz w:val="22"/>
          <w:szCs w:val="22"/>
        </w:rPr>
        <w:t>, taking into account the date of rece</w:t>
      </w:r>
      <w:r>
        <w:rPr>
          <w:sz w:val="22"/>
          <w:szCs w:val="22"/>
        </w:rPr>
        <w:t>ipt</w:t>
      </w:r>
      <w:r w:rsidRPr="22A896FC">
        <w:rPr>
          <w:sz w:val="22"/>
          <w:szCs w:val="22"/>
        </w:rPr>
        <w:t xml:space="preserve"> of the nomination form. The form, </w:t>
      </w:r>
      <w:r w:rsidRPr="00901970">
        <w:rPr>
          <w:sz w:val="22"/>
          <w:szCs w:val="22"/>
        </w:rPr>
        <w:t xml:space="preserve">including full contact details, </w:t>
      </w:r>
      <w:r>
        <w:rPr>
          <w:sz w:val="22"/>
          <w:szCs w:val="22"/>
        </w:rPr>
        <w:t>should</w:t>
      </w:r>
      <w:r w:rsidRPr="22A896FC">
        <w:rPr>
          <w:sz w:val="22"/>
          <w:szCs w:val="22"/>
        </w:rPr>
        <w:t xml:space="preserve"> be </w:t>
      </w:r>
      <w:r w:rsidRPr="00901970">
        <w:rPr>
          <w:sz w:val="22"/>
          <w:szCs w:val="22"/>
        </w:rPr>
        <w:t xml:space="preserve">sent to </w:t>
      </w:r>
      <w:hyperlink r:id="rId12" w:history="1">
        <w:r w:rsidRPr="00874C85">
          <w:rPr>
            <w:rStyle w:val="Hyperlink"/>
            <w:sz w:val="22"/>
            <w:szCs w:val="22"/>
          </w:rPr>
          <w:t>secretariat@cbd.int</w:t>
        </w:r>
      </w:hyperlink>
      <w:r>
        <w:rPr>
          <w:sz w:val="22"/>
          <w:szCs w:val="22"/>
        </w:rPr>
        <w:t xml:space="preserve"> </w:t>
      </w:r>
      <w:r w:rsidRPr="00901970">
        <w:rPr>
          <w:sz w:val="22"/>
          <w:szCs w:val="22"/>
        </w:rPr>
        <w:t xml:space="preserve">as soon as possible and </w:t>
      </w:r>
      <w:r w:rsidRPr="00E34F47">
        <w:rPr>
          <w:b/>
          <w:bCs/>
          <w:sz w:val="22"/>
          <w:szCs w:val="22"/>
        </w:rPr>
        <w:t xml:space="preserve">no later than </w:t>
      </w:r>
      <w:r>
        <w:rPr>
          <w:b/>
          <w:bCs/>
          <w:sz w:val="22"/>
          <w:szCs w:val="22"/>
        </w:rPr>
        <w:t xml:space="preserve">25 June </w:t>
      </w:r>
      <w:r w:rsidRPr="00E34F47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</w:t>
      </w:r>
      <w:r w:rsidRPr="00E34F47">
        <w:rPr>
          <w:b/>
          <w:bCs/>
          <w:sz w:val="22"/>
          <w:szCs w:val="22"/>
        </w:rPr>
        <w:t>.</w:t>
      </w:r>
      <w:r w:rsidRPr="00901970">
        <w:rPr>
          <w:sz w:val="22"/>
          <w:szCs w:val="22"/>
        </w:rPr>
        <w:t xml:space="preserve"> </w:t>
      </w:r>
    </w:p>
    <w:p w14:paraId="79219A40" w14:textId="77777777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901970">
        <w:rPr>
          <w:sz w:val="22"/>
          <w:szCs w:val="22"/>
        </w:rPr>
        <w:t>Participants eligible for funding will be provided with air travel, accommodation, meals and daily subsistence allowance for incidental costs according to UN rules.</w:t>
      </w:r>
      <w:r>
        <w:rPr>
          <w:sz w:val="22"/>
          <w:szCs w:val="22"/>
        </w:rPr>
        <w:t xml:space="preserve"> </w:t>
      </w:r>
      <w:r w:rsidRPr="00901970">
        <w:rPr>
          <w:sz w:val="22"/>
          <w:szCs w:val="22"/>
        </w:rPr>
        <w:t xml:space="preserve">Information and documents relevant to the </w:t>
      </w:r>
      <w:r>
        <w:rPr>
          <w:sz w:val="22"/>
          <w:szCs w:val="22"/>
        </w:rPr>
        <w:t xml:space="preserve">Dialogue </w:t>
      </w:r>
      <w:r w:rsidRPr="00901970">
        <w:rPr>
          <w:sz w:val="22"/>
          <w:szCs w:val="22"/>
        </w:rPr>
        <w:t>will be made available in due course.</w:t>
      </w:r>
      <w:r>
        <w:rPr>
          <w:sz w:val="22"/>
          <w:szCs w:val="22"/>
        </w:rPr>
        <w:t xml:space="preserve"> Interpretation of English and Russian will be provided. </w:t>
      </w:r>
    </w:p>
    <w:p w14:paraId="19278FF9" w14:textId="097ADF1E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1970">
        <w:rPr>
          <w:sz w:val="22"/>
          <w:szCs w:val="22"/>
        </w:rPr>
        <w:t xml:space="preserve">To contribute to the </w:t>
      </w:r>
      <w:r>
        <w:rPr>
          <w:sz w:val="22"/>
          <w:szCs w:val="22"/>
        </w:rPr>
        <w:t>NBSAP Dialogue</w:t>
      </w:r>
      <w:r w:rsidRPr="00901970">
        <w:rPr>
          <w:sz w:val="22"/>
          <w:szCs w:val="22"/>
        </w:rPr>
        <w:t>, the Secretariat may also invite a limited number of representatives of United Nations agencies, organizations that represent indigenous peoples and local communities, women and youth</w:t>
      </w:r>
      <w:r>
        <w:rPr>
          <w:sz w:val="22"/>
          <w:szCs w:val="22"/>
        </w:rPr>
        <w:t>,</w:t>
      </w:r>
      <w:r w:rsidRPr="00901970">
        <w:rPr>
          <w:sz w:val="22"/>
          <w:szCs w:val="22"/>
        </w:rPr>
        <w:t xml:space="preserve"> or other stakeholders, that are relevant to</w:t>
      </w:r>
      <w:r w:rsidRPr="22A896FC">
        <w:rPr>
          <w:sz w:val="22"/>
          <w:szCs w:val="22"/>
        </w:rPr>
        <w:t xml:space="preserve"> </w:t>
      </w:r>
      <w:r>
        <w:rPr>
          <w:sz w:val="22"/>
          <w:szCs w:val="22"/>
        </w:rPr>
        <w:t>the implementation</w:t>
      </w:r>
      <w:r w:rsidR="00170536">
        <w:rPr>
          <w:sz w:val="22"/>
          <w:szCs w:val="22"/>
        </w:rPr>
        <w:t xml:space="preserve"> of the Kunming-Montreal Global Biodiversity Framework</w:t>
      </w:r>
      <w:r w:rsidRPr="22A896FC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the region.</w:t>
      </w:r>
    </w:p>
    <w:p w14:paraId="1DCB0DB7" w14:textId="77777777" w:rsidR="00560A0E" w:rsidRDefault="00560A0E" w:rsidP="00560A0E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1970">
        <w:rPr>
          <w:sz w:val="22"/>
          <w:szCs w:val="22"/>
        </w:rPr>
        <w:t xml:space="preserve">I look forward to receiving nominations from </w:t>
      </w:r>
      <w:r>
        <w:rPr>
          <w:sz w:val="22"/>
          <w:szCs w:val="22"/>
        </w:rPr>
        <w:t>Parties</w:t>
      </w:r>
      <w:r w:rsidRPr="00901970">
        <w:rPr>
          <w:sz w:val="22"/>
          <w:szCs w:val="22"/>
        </w:rPr>
        <w:t xml:space="preserve"> at the earliest opportunity. </w:t>
      </w:r>
    </w:p>
    <w:p w14:paraId="11D9D92F" w14:textId="77777777" w:rsidR="00560A0E" w:rsidRDefault="00560A0E" w:rsidP="00BE3C80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1970">
        <w:rPr>
          <w:sz w:val="22"/>
          <w:szCs w:val="22"/>
        </w:rPr>
        <w:t>Please accept, Sir,</w:t>
      </w:r>
      <w:r>
        <w:rPr>
          <w:sz w:val="22"/>
          <w:szCs w:val="22"/>
        </w:rPr>
        <w:t xml:space="preserve"> Madam,</w:t>
      </w:r>
      <w:r w:rsidRPr="00901970">
        <w:rPr>
          <w:sz w:val="22"/>
          <w:szCs w:val="22"/>
        </w:rPr>
        <w:t xml:space="preserve"> the assurances of my highest consideration.</w:t>
      </w:r>
      <w:r w:rsidRPr="00901970">
        <w:rPr>
          <w:sz w:val="22"/>
          <w:szCs w:val="22"/>
        </w:rPr>
        <w:tab/>
      </w:r>
      <w:r w:rsidRPr="00901970">
        <w:rPr>
          <w:sz w:val="22"/>
          <w:szCs w:val="22"/>
        </w:rPr>
        <w:tab/>
      </w:r>
    </w:p>
    <w:p w14:paraId="6574F36B" w14:textId="77777777" w:rsidR="007B66F9" w:rsidRDefault="007B66F9" w:rsidP="00BE3C80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</w:p>
    <w:p w14:paraId="53BA8EBA" w14:textId="77777777" w:rsidR="007B66F9" w:rsidRPr="00163335" w:rsidRDefault="007B66F9" w:rsidP="007B66F9">
      <w:pPr>
        <w:ind w:left="5103" w:right="48"/>
        <w:jc w:val="right"/>
        <w:rPr>
          <w:sz w:val="22"/>
          <w:szCs w:val="22"/>
          <w:lang w:val="en-US"/>
        </w:rPr>
      </w:pPr>
      <w:r w:rsidRPr="00163335">
        <w:rPr>
          <w:sz w:val="22"/>
          <w:szCs w:val="22"/>
          <w:lang w:val="en-US"/>
        </w:rPr>
        <w:t>(</w:t>
      </w:r>
      <w:r w:rsidRPr="00163335">
        <w:rPr>
          <w:i/>
          <w:iCs/>
          <w:sz w:val="22"/>
          <w:szCs w:val="22"/>
          <w:lang w:val="en-US"/>
        </w:rPr>
        <w:t>Signed</w:t>
      </w:r>
      <w:r w:rsidRPr="00163335">
        <w:rPr>
          <w:sz w:val="22"/>
          <w:szCs w:val="22"/>
          <w:lang w:val="en-US"/>
        </w:rPr>
        <w:t xml:space="preserve">) David </w:t>
      </w:r>
      <w:r w:rsidRPr="00163335">
        <w:rPr>
          <w:b/>
          <w:bCs/>
          <w:sz w:val="22"/>
          <w:szCs w:val="22"/>
          <w:lang w:val="en-US"/>
        </w:rPr>
        <w:t>Cooper</w:t>
      </w:r>
      <w:r w:rsidRPr="00163335">
        <w:rPr>
          <w:sz w:val="22"/>
          <w:szCs w:val="22"/>
          <w:lang w:val="en-US"/>
        </w:rPr>
        <w:t xml:space="preserve"> </w:t>
      </w:r>
    </w:p>
    <w:p w14:paraId="37025CAC" w14:textId="77777777" w:rsidR="007B66F9" w:rsidRPr="00163335" w:rsidRDefault="007B66F9" w:rsidP="007B66F9">
      <w:pPr>
        <w:ind w:left="5103" w:right="48"/>
        <w:jc w:val="right"/>
        <w:rPr>
          <w:sz w:val="22"/>
          <w:szCs w:val="22"/>
          <w:lang w:val="en-US"/>
        </w:rPr>
      </w:pPr>
      <w:r w:rsidRPr="00163335">
        <w:rPr>
          <w:sz w:val="22"/>
          <w:szCs w:val="22"/>
          <w:lang w:val="en-US"/>
        </w:rPr>
        <w:t>Acting Executive Secretary</w:t>
      </w:r>
    </w:p>
    <w:p w14:paraId="10C43F3C" w14:textId="77777777" w:rsidR="007B66F9" w:rsidRPr="007B66F9" w:rsidRDefault="007B66F9" w:rsidP="00BE3C80">
      <w:pPr>
        <w:tabs>
          <w:tab w:val="left" w:pos="720"/>
        </w:tabs>
        <w:snapToGrid w:val="0"/>
        <w:spacing w:after="120"/>
        <w:jc w:val="both"/>
        <w:rPr>
          <w:sz w:val="22"/>
          <w:szCs w:val="22"/>
          <w:lang w:val="en-US"/>
        </w:rPr>
      </w:pPr>
    </w:p>
    <w:p w14:paraId="21AB03E9" w14:textId="552F3D4B" w:rsidR="00560A0E" w:rsidRPr="00405BCC" w:rsidRDefault="00560A0E" w:rsidP="00560A0E">
      <w:pPr>
        <w:ind w:left="5103" w:right="488"/>
        <w:jc w:val="center"/>
        <w:rPr>
          <w:rFonts w:asciiTheme="majorBidi" w:hAnsiTheme="majorBidi" w:cstheme="majorBidi"/>
          <w:sz w:val="22"/>
          <w:szCs w:val="22"/>
        </w:rPr>
      </w:pPr>
      <w:r w:rsidRPr="005F5A78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               </w:t>
      </w:r>
      <w:r>
        <w:rPr>
          <w:rFonts w:asciiTheme="majorBidi" w:hAnsiTheme="majorBidi" w:cstheme="majorBidi"/>
          <w:i/>
          <w:iCs/>
          <w:sz w:val="22"/>
          <w:szCs w:val="22"/>
          <w:lang w:val="en-CA"/>
        </w:rPr>
        <w:t xml:space="preserve">                 </w:t>
      </w:r>
    </w:p>
    <w:p w14:paraId="7E7B87D2" w14:textId="5882D869" w:rsidR="00560A0E" w:rsidRPr="00405BCC" w:rsidRDefault="00560A0E" w:rsidP="00C67867">
      <w:pPr>
        <w:ind w:left="5103" w:right="488"/>
        <w:jc w:val="center"/>
        <w:rPr>
          <w:rFonts w:asciiTheme="majorBidi" w:hAnsiTheme="majorBidi" w:cstheme="majorBidi"/>
          <w:sz w:val="22"/>
          <w:szCs w:val="22"/>
        </w:rPr>
      </w:pPr>
      <w:r w:rsidRPr="008B5DB8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                                       </w:t>
      </w:r>
    </w:p>
    <w:p w14:paraId="6416848A" w14:textId="77777777" w:rsidR="00560A0E" w:rsidRDefault="00560A0E" w:rsidP="00560A0E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4EE788B6" w14:textId="77777777" w:rsidR="00560A0E" w:rsidRDefault="00560A0E" w:rsidP="00560A0E">
      <w:pPr>
        <w:tabs>
          <w:tab w:val="left" w:pos="6002"/>
        </w:tabs>
        <w:ind w:right="-46"/>
        <w:rPr>
          <w:sz w:val="22"/>
          <w:szCs w:val="22"/>
        </w:rPr>
      </w:pPr>
    </w:p>
    <w:p w14:paraId="23747B25" w14:textId="77777777" w:rsidR="00560A0E" w:rsidRDefault="00560A0E" w:rsidP="00560A0E">
      <w:pPr>
        <w:tabs>
          <w:tab w:val="left" w:pos="6002"/>
        </w:tabs>
        <w:ind w:right="48"/>
        <w:rPr>
          <w:sz w:val="22"/>
          <w:szCs w:val="22"/>
        </w:rPr>
      </w:pPr>
    </w:p>
    <w:p w14:paraId="155E5175" w14:textId="77777777" w:rsidR="0000784E" w:rsidRDefault="0000784E" w:rsidP="00560A0E">
      <w:pPr>
        <w:tabs>
          <w:tab w:val="left" w:pos="6002"/>
        </w:tabs>
        <w:ind w:right="48"/>
        <w:rPr>
          <w:sz w:val="22"/>
          <w:szCs w:val="22"/>
        </w:rPr>
      </w:pPr>
    </w:p>
    <w:p w14:paraId="46A509CA" w14:textId="77777777" w:rsidR="00560A0E" w:rsidRPr="00901970" w:rsidRDefault="00560A0E" w:rsidP="00560A0E">
      <w:pPr>
        <w:tabs>
          <w:tab w:val="left" w:pos="6002"/>
        </w:tabs>
        <w:ind w:right="48"/>
        <w:rPr>
          <w:sz w:val="22"/>
          <w:szCs w:val="22"/>
        </w:rPr>
      </w:pPr>
      <w:r>
        <w:rPr>
          <w:sz w:val="22"/>
          <w:szCs w:val="22"/>
        </w:rPr>
        <w:t>Enclosure</w:t>
      </w:r>
      <w:r w:rsidRPr="00901970">
        <w:rPr>
          <w:sz w:val="22"/>
          <w:szCs w:val="22"/>
        </w:rPr>
        <w:tab/>
      </w:r>
    </w:p>
    <w:p w14:paraId="447571EF" w14:textId="77777777" w:rsidR="00560A0E" w:rsidRPr="00901970" w:rsidRDefault="00560A0E" w:rsidP="00560A0E">
      <w:pPr>
        <w:tabs>
          <w:tab w:val="left" w:pos="6002"/>
        </w:tabs>
        <w:ind w:right="48"/>
        <w:rPr>
          <w:sz w:val="22"/>
          <w:szCs w:val="22"/>
        </w:rPr>
      </w:pPr>
    </w:p>
    <w:p w14:paraId="68A0B8B6" w14:textId="77777777" w:rsidR="00560A0E" w:rsidRDefault="00560A0E" w:rsidP="00560A0E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78DB049E" w14:textId="77777777" w:rsidR="00560A0E" w:rsidRDefault="00560A0E" w:rsidP="00560A0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4D0DD3" w14:textId="77777777" w:rsidR="00560A0E" w:rsidRPr="00901970" w:rsidRDefault="00560A0E" w:rsidP="00560A0E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781804D5" w14:textId="77777777" w:rsidR="00560A0E" w:rsidRDefault="00560A0E" w:rsidP="00560A0E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>Annex</w:t>
      </w:r>
    </w:p>
    <w:p w14:paraId="4C7E4D86" w14:textId="77777777" w:rsidR="00560A0E" w:rsidRDefault="00560A0E" w:rsidP="00560A0E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2470E81F" w14:textId="328DFE70" w:rsidR="00560A0E" w:rsidRPr="00A65BA3" w:rsidRDefault="00560A0E" w:rsidP="00BE3C80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 xml:space="preserve">Nomination Form </w:t>
      </w:r>
    </w:p>
    <w:p w14:paraId="1A85A9F5" w14:textId="77777777" w:rsidR="00560A0E" w:rsidRDefault="00560A0E" w:rsidP="00560A0E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663"/>
      </w:tblGrid>
      <w:tr w:rsidR="00560A0E" w14:paraId="2DCE903C" w14:textId="77777777" w:rsidTr="002D7332">
        <w:tc>
          <w:tcPr>
            <w:tcW w:w="4731" w:type="dxa"/>
          </w:tcPr>
          <w:p w14:paraId="14D5D46E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663" w:type="dxa"/>
          </w:tcPr>
          <w:p w14:paraId="6A432AD1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60A0E" w14:paraId="16A29DB4" w14:textId="77777777" w:rsidTr="002D7332">
        <w:tc>
          <w:tcPr>
            <w:tcW w:w="4731" w:type="dxa"/>
          </w:tcPr>
          <w:p w14:paraId="68800E62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4663" w:type="dxa"/>
          </w:tcPr>
          <w:p w14:paraId="13B4B579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60A0E" w14:paraId="3E484796" w14:textId="77777777" w:rsidTr="002D7332">
        <w:tc>
          <w:tcPr>
            <w:tcW w:w="4731" w:type="dxa"/>
          </w:tcPr>
          <w:p w14:paraId="7788C573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Institution/Organization</w:t>
            </w:r>
          </w:p>
        </w:tc>
        <w:tc>
          <w:tcPr>
            <w:tcW w:w="4663" w:type="dxa"/>
          </w:tcPr>
          <w:p w14:paraId="550BBC6B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60A0E" w14:paraId="410E588C" w14:textId="77777777" w:rsidTr="002D7332">
        <w:tc>
          <w:tcPr>
            <w:tcW w:w="4731" w:type="dxa"/>
          </w:tcPr>
          <w:p w14:paraId="75EF22DA" w14:textId="370C85A4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(e</w:t>
            </w:r>
            <w:r w:rsidR="00A27A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 address, etc.)</w:t>
            </w:r>
          </w:p>
        </w:tc>
        <w:tc>
          <w:tcPr>
            <w:tcW w:w="4663" w:type="dxa"/>
          </w:tcPr>
          <w:p w14:paraId="7218EB78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60A0E" w14:paraId="43DD6564" w14:textId="77777777" w:rsidTr="002D7332">
        <w:tc>
          <w:tcPr>
            <w:tcW w:w="4731" w:type="dxa"/>
          </w:tcPr>
          <w:p w14:paraId="5E67D9BC" w14:textId="65CB1F8B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description of technical background/working experience related to the NBSAP revision/updating, including capacity building and development and financing</w:t>
            </w:r>
          </w:p>
        </w:tc>
        <w:tc>
          <w:tcPr>
            <w:tcW w:w="4663" w:type="dxa"/>
          </w:tcPr>
          <w:p w14:paraId="5118EA32" w14:textId="77777777" w:rsidR="00560A0E" w:rsidRDefault="00560A0E" w:rsidP="002D7332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F879661" w14:textId="77777777" w:rsidR="00560A0E" w:rsidRPr="00901970" w:rsidRDefault="00560A0E" w:rsidP="00560A0E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1970">
        <w:rPr>
          <w:sz w:val="22"/>
          <w:szCs w:val="22"/>
        </w:rPr>
        <w:tab/>
      </w:r>
    </w:p>
    <w:p w14:paraId="66139CD2" w14:textId="77777777" w:rsidR="000C7569" w:rsidRPr="00560A0E" w:rsidRDefault="000C7569" w:rsidP="00560A0E"/>
    <w:sectPr w:rsidR="000C7569" w:rsidRPr="00560A0E" w:rsidSect="00CD5A38">
      <w:footerReference w:type="even" r:id="rId13"/>
      <w:headerReference w:type="first" r:id="rId14"/>
      <w:footerReference w:type="first" r:id="rId15"/>
      <w:pgSz w:w="12240" w:h="15840" w:code="1"/>
      <w:pgMar w:top="1134" w:right="1418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D741" w14:textId="77777777" w:rsidR="00343E23" w:rsidRDefault="00343E23">
      <w:r>
        <w:separator/>
      </w:r>
    </w:p>
  </w:endnote>
  <w:endnote w:type="continuationSeparator" w:id="0">
    <w:p w14:paraId="5B225A22" w14:textId="77777777" w:rsidR="00343E23" w:rsidRDefault="00343E23">
      <w:r>
        <w:continuationSeparator/>
      </w:r>
    </w:p>
  </w:endnote>
  <w:endnote w:type="continuationNotice" w:id="1">
    <w:p w14:paraId="2DE3BB76" w14:textId="77777777" w:rsidR="00343E23" w:rsidRDefault="00343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4394"/>
      <w:gridCol w:w="3969"/>
    </w:tblGrid>
    <w:tr w:rsidR="00051D35" w:rsidRPr="00BC064B" w14:paraId="7476FD0F" w14:textId="77777777" w:rsidTr="00742CC9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2B6ABCF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Name</w:t>
          </w:r>
        </w:p>
        <w:p w14:paraId="74EA0B8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Title</w:t>
          </w:r>
        </w:p>
        <w:p w14:paraId="51C9000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Department</w:t>
          </w:r>
        </w:p>
        <w:p w14:paraId="2712D932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City, Country</w:t>
          </w:r>
        </w:p>
        <w:p w14:paraId="1923260A" w14:textId="77777777" w:rsidR="00051D35" w:rsidRPr="00610130" w:rsidRDefault="00051D35" w:rsidP="00051D35">
          <w:pPr>
            <w:ind w:left="640"/>
            <w:rPr>
              <w:sz w:val="21"/>
              <w:szCs w:val="21"/>
              <w:lang w:val="es-ES"/>
            </w:rPr>
          </w:pPr>
        </w:p>
      </w:tc>
    </w:tr>
    <w:tr w:rsidR="00051D35" w:rsidRPr="0000434A" w14:paraId="3C681640" w14:textId="77777777" w:rsidTr="00742CC9">
      <w:trPr>
        <w:trHeight w:val="1139"/>
      </w:trPr>
      <w:tc>
        <w:tcPr>
          <w:tcW w:w="25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3D727D5" w14:textId="6531376D" w:rsidR="00051D35" w:rsidRPr="00333822" w:rsidRDefault="00E94156" w:rsidP="00E94156">
          <w:pPr>
            <w:rPr>
              <w:noProof/>
              <w:vertAlign w:val="subscript"/>
            </w:rPr>
          </w:pPr>
          <w:r>
            <w:rPr>
              <w:noProof/>
              <w:vertAlign w:val="subscript"/>
              <w:lang w:val="en-CA"/>
            </w:rPr>
            <w:drawing>
              <wp:anchor distT="0" distB="0" distL="114300" distR="114300" simplePos="0" relativeHeight="251658242" behindDoc="0" locked="0" layoutInCell="1" allowOverlap="1" wp14:anchorId="2C283920" wp14:editId="7BCE4F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6985" cy="585153"/>
                <wp:effectExtent l="0" t="0" r="0" b="5715"/>
                <wp:wrapSquare wrapText="bothSides"/>
                <wp:docPr id="104502369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456985" cy="585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1FC1C3" w14:textId="77777777" w:rsidR="00051D35" w:rsidRPr="00CE4AB1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D593633" w14:textId="77777777" w:rsidR="00051D35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02810CA3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BCE6EFB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29845BA5" w14:textId="77777777" w:rsidR="00051D35" w:rsidRPr="00485BEE" w:rsidRDefault="007B66F9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051D35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5BC85DB" w14:textId="7178FEF8" w:rsidR="00051D35" w:rsidRPr="0000434A" w:rsidRDefault="00E94156" w:rsidP="00813D35">
          <w:pPr>
            <w:rPr>
              <w:lang w:val="fr-CA"/>
            </w:rPr>
          </w:pPr>
          <w:r>
            <w:rPr>
              <w:noProof/>
              <w:lang w:val="en-CA"/>
            </w:rPr>
            <w:drawing>
              <wp:anchor distT="0" distB="0" distL="114300" distR="114300" simplePos="0" relativeHeight="251658243" behindDoc="0" locked="0" layoutInCell="1" allowOverlap="1" wp14:anchorId="49DA534C" wp14:editId="6EDF09EA">
                <wp:simplePos x="5377218" y="9184943"/>
                <wp:positionH relativeFrom="margin">
                  <wp:posOffset>241300</wp:posOffset>
                </wp:positionH>
                <wp:positionV relativeFrom="margin">
                  <wp:posOffset>-48260</wp:posOffset>
                </wp:positionV>
                <wp:extent cx="2149475" cy="619125"/>
                <wp:effectExtent l="0" t="0" r="3175" b="9525"/>
                <wp:wrapSquare wrapText="bothSides"/>
                <wp:docPr id="477405778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049675" name="Picture 3" descr="A logo for a company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0" t="32197" r="16318" b="33243"/>
                        <a:stretch/>
                      </pic:blipFill>
                      <pic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1B9B18" w14:textId="77777777" w:rsidR="00051D35" w:rsidRDefault="0005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4536"/>
      <w:gridCol w:w="3118"/>
    </w:tblGrid>
    <w:tr w:rsidR="0022170D" w:rsidRPr="00853F3B" w14:paraId="504FBD81" w14:textId="77777777" w:rsidTr="007C0431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0E98BEDC" w14:textId="77777777" w:rsidR="00867B14" w:rsidRDefault="00412022" w:rsidP="00DC04CF">
          <w:pPr>
            <w:autoSpaceDE w:val="0"/>
            <w:autoSpaceDN w:val="0"/>
            <w:adjustRightInd w:val="0"/>
            <w:ind w:left="630" w:right="645"/>
            <w:jc w:val="both"/>
            <w:rPr>
              <w:sz w:val="22"/>
              <w:szCs w:val="22"/>
            </w:rPr>
          </w:pPr>
          <w:r w:rsidRPr="00570EFF">
            <w:rPr>
              <w:sz w:val="22"/>
              <w:szCs w:val="22"/>
            </w:rPr>
            <w:t xml:space="preserve">To: National </w:t>
          </w:r>
          <w:r>
            <w:rPr>
              <w:sz w:val="22"/>
              <w:szCs w:val="22"/>
            </w:rPr>
            <w:t>f</w:t>
          </w:r>
          <w:r w:rsidRPr="00570EFF">
            <w:rPr>
              <w:sz w:val="22"/>
              <w:szCs w:val="22"/>
            </w:rPr>
            <w:t xml:space="preserve">ocal </w:t>
          </w:r>
          <w:r>
            <w:rPr>
              <w:sz w:val="22"/>
              <w:szCs w:val="22"/>
            </w:rPr>
            <w:t>p</w:t>
          </w:r>
          <w:r w:rsidRPr="00570EFF">
            <w:rPr>
              <w:sz w:val="22"/>
              <w:szCs w:val="22"/>
            </w:rPr>
            <w:t xml:space="preserve">oints for CBD and its Protocols of the following countries: </w:t>
          </w:r>
          <w:r>
            <w:rPr>
              <w:sz w:val="22"/>
              <w:szCs w:val="22"/>
            </w:rPr>
            <w:t>Belarus, Kazakhstan, Kyrgyzstan, Republic of Tajikistan, Russian Federation, Turkmenistan, Uzbekistan</w:t>
          </w:r>
        </w:p>
        <w:p w14:paraId="192C373C" w14:textId="6F3AE78C" w:rsidR="00857B02" w:rsidRPr="00560A0E" w:rsidRDefault="00857B02" w:rsidP="00DC04CF">
          <w:pPr>
            <w:autoSpaceDE w:val="0"/>
            <w:autoSpaceDN w:val="0"/>
            <w:adjustRightInd w:val="0"/>
            <w:ind w:left="630" w:right="645"/>
            <w:jc w:val="both"/>
            <w:rPr>
              <w:sz w:val="21"/>
              <w:szCs w:val="21"/>
              <w:lang w:val="en-US"/>
            </w:rPr>
          </w:pPr>
        </w:p>
      </w:tc>
    </w:tr>
    <w:tr w:rsidR="0022170D" w:rsidRPr="0000434A" w14:paraId="6B4DA1F2" w14:textId="77777777" w:rsidTr="007D5316">
      <w:trPr>
        <w:trHeight w:val="20"/>
      </w:trPr>
      <w:tc>
        <w:tcPr>
          <w:tcW w:w="329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E25ED5C" w14:textId="4C33BBE3" w:rsidR="0022170D" w:rsidRPr="00560A0E" w:rsidRDefault="002E7030" w:rsidP="008935FE">
          <w:pPr>
            <w:rPr>
              <w:noProof/>
              <w:vertAlign w:val="subscript"/>
              <w:lang w:val="en-US"/>
            </w:rPr>
          </w:pPr>
          <w:r>
            <w:rPr>
              <w:noProof/>
              <w:vertAlign w:val="subscript"/>
              <w:lang w:val="en-CA"/>
            </w:rPr>
            <w:drawing>
              <wp:anchor distT="0" distB="0" distL="114300" distR="114300" simplePos="0" relativeHeight="251658240" behindDoc="0" locked="0" layoutInCell="1" allowOverlap="1" wp14:anchorId="17FE889E" wp14:editId="3F685806">
                <wp:simplePos x="0" y="0"/>
                <wp:positionH relativeFrom="margin">
                  <wp:posOffset>-26670</wp:posOffset>
                </wp:positionH>
                <wp:positionV relativeFrom="margin">
                  <wp:posOffset>-283210</wp:posOffset>
                </wp:positionV>
                <wp:extent cx="1579880" cy="634365"/>
                <wp:effectExtent l="0" t="0" r="1270" b="0"/>
                <wp:wrapSquare wrapText="bothSides"/>
                <wp:docPr id="139324423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579880" cy="634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00FA0B0" w14:textId="77777777" w:rsidR="0022170D" w:rsidRPr="00CE4AB1" w:rsidRDefault="0022170D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294579A" w14:textId="77777777" w:rsidR="0022170D" w:rsidRDefault="0022170D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6FF19CB6" w14:textId="77777777" w:rsidR="0022170D" w:rsidRPr="00A90B67" w:rsidRDefault="0022170D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315F64B" w14:textId="77777777" w:rsidR="0022170D" w:rsidRPr="00A90B67" w:rsidRDefault="0022170D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1C965E9C" w14:textId="77777777" w:rsidR="0022170D" w:rsidRPr="00485BEE" w:rsidRDefault="007B66F9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22170D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FB84576" w14:textId="783256EC" w:rsidR="0022170D" w:rsidRPr="0000434A" w:rsidRDefault="00C35C20" w:rsidP="00051D35">
          <w:pPr>
            <w:jc w:val="center"/>
            <w:rPr>
              <w:lang w:val="fr-CA"/>
            </w:rPr>
          </w:pPr>
          <w:r>
            <w:rPr>
              <w:noProof/>
              <w:lang w:val="en-CA"/>
            </w:rPr>
            <w:drawing>
              <wp:anchor distT="0" distB="0" distL="114300" distR="114300" simplePos="0" relativeHeight="251658241" behindDoc="0" locked="0" layoutInCell="1" allowOverlap="1" wp14:anchorId="532E3823" wp14:editId="228466BA">
                <wp:simplePos x="0" y="0"/>
                <wp:positionH relativeFrom="margin">
                  <wp:posOffset>397510</wp:posOffset>
                </wp:positionH>
                <wp:positionV relativeFrom="margin">
                  <wp:posOffset>-216535</wp:posOffset>
                </wp:positionV>
                <wp:extent cx="1501775" cy="728345"/>
                <wp:effectExtent l="0" t="0" r="3175" b="0"/>
                <wp:wrapSquare wrapText="bothSides"/>
                <wp:docPr id="63139235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392357" name="Picture 1" descr="A screenshot of a computer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76" t="35368" r="31916" b="34092"/>
                        <a:stretch/>
                      </pic:blipFill>
                      <pic:spPr bwMode="auto">
                        <a:xfrm>
                          <a:off x="0" y="0"/>
                          <a:ext cx="1501775" cy="728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C4AB834" w14:textId="1D930641" w:rsidR="0022170D" w:rsidRPr="00D72B8D" w:rsidRDefault="0022170D" w:rsidP="007D5316">
    <w:pPr>
      <w:pStyle w:val="Footer"/>
      <w:tabs>
        <w:tab w:val="clear" w:pos="4320"/>
        <w:tab w:val="clear" w:pos="8640"/>
        <w:tab w:val="left" w:pos="346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3DDE" w14:textId="77777777" w:rsidR="00343E23" w:rsidRDefault="00343E23">
      <w:r>
        <w:separator/>
      </w:r>
    </w:p>
  </w:footnote>
  <w:footnote w:type="continuationSeparator" w:id="0">
    <w:p w14:paraId="14E2D8CA" w14:textId="77777777" w:rsidR="00343E23" w:rsidRDefault="00343E23">
      <w:r>
        <w:continuationSeparator/>
      </w:r>
    </w:p>
  </w:footnote>
  <w:footnote w:type="continuationNotice" w:id="1">
    <w:p w14:paraId="653E3649" w14:textId="77777777" w:rsidR="00343E23" w:rsidRDefault="00343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F2C2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CA"/>
      </w:rPr>
      <w:drawing>
        <wp:inline distT="0" distB="0" distL="0" distR="0" wp14:anchorId="55C32935" wp14:editId="3B10AD06">
          <wp:extent cx="1695450" cy="638175"/>
          <wp:effectExtent l="0" t="0" r="0" b="0"/>
          <wp:docPr id="451294224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328"/>
    <w:multiLevelType w:val="hybridMultilevel"/>
    <w:tmpl w:val="D5BACD5C"/>
    <w:lvl w:ilvl="0" w:tplc="CE96E4BA">
      <w:start w:val="1"/>
      <w:numFmt w:val="decimal"/>
      <w:lvlText w:val="%1."/>
      <w:lvlJc w:val="left"/>
      <w:pPr>
        <w:ind w:left="720" w:hanging="360"/>
      </w:pPr>
    </w:lvl>
    <w:lvl w:ilvl="1" w:tplc="C6C8797A">
      <w:start w:val="1"/>
      <w:numFmt w:val="lowerLetter"/>
      <w:lvlText w:val="%2)"/>
      <w:lvlJc w:val="left"/>
      <w:pPr>
        <w:ind w:left="720" w:hanging="360"/>
      </w:pPr>
    </w:lvl>
    <w:lvl w:ilvl="2" w:tplc="4F00135C">
      <w:start w:val="1"/>
      <w:numFmt w:val="decimal"/>
      <w:lvlText w:val="%3."/>
      <w:lvlJc w:val="left"/>
      <w:pPr>
        <w:ind w:left="720" w:hanging="360"/>
      </w:pPr>
    </w:lvl>
    <w:lvl w:ilvl="3" w:tplc="1D92C3E0">
      <w:start w:val="1"/>
      <w:numFmt w:val="decimal"/>
      <w:lvlText w:val="%4."/>
      <w:lvlJc w:val="left"/>
      <w:pPr>
        <w:ind w:left="720" w:hanging="360"/>
      </w:pPr>
    </w:lvl>
    <w:lvl w:ilvl="4" w:tplc="F0A0EB40">
      <w:start w:val="1"/>
      <w:numFmt w:val="decimal"/>
      <w:lvlText w:val="%5."/>
      <w:lvlJc w:val="left"/>
      <w:pPr>
        <w:ind w:left="720" w:hanging="360"/>
      </w:pPr>
    </w:lvl>
    <w:lvl w:ilvl="5" w:tplc="7A92CA52">
      <w:start w:val="1"/>
      <w:numFmt w:val="decimal"/>
      <w:lvlText w:val="%6."/>
      <w:lvlJc w:val="left"/>
      <w:pPr>
        <w:ind w:left="720" w:hanging="360"/>
      </w:pPr>
    </w:lvl>
    <w:lvl w:ilvl="6" w:tplc="690E9422">
      <w:start w:val="1"/>
      <w:numFmt w:val="decimal"/>
      <w:lvlText w:val="%7."/>
      <w:lvlJc w:val="left"/>
      <w:pPr>
        <w:ind w:left="720" w:hanging="360"/>
      </w:pPr>
    </w:lvl>
    <w:lvl w:ilvl="7" w:tplc="8B3843BC">
      <w:start w:val="1"/>
      <w:numFmt w:val="decimal"/>
      <w:lvlText w:val="%8."/>
      <w:lvlJc w:val="left"/>
      <w:pPr>
        <w:ind w:left="720" w:hanging="360"/>
      </w:pPr>
    </w:lvl>
    <w:lvl w:ilvl="8" w:tplc="0DDADF5C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767454657">
    <w:abstractNumId w:val="3"/>
  </w:num>
  <w:num w:numId="2" w16cid:durableId="1974601321">
    <w:abstractNumId w:val="1"/>
  </w:num>
  <w:num w:numId="3" w16cid:durableId="726075957">
    <w:abstractNumId w:val="2"/>
  </w:num>
  <w:num w:numId="4" w16cid:durableId="662853676">
    <w:abstractNumId w:val="4"/>
  </w:num>
  <w:num w:numId="5" w16cid:durableId="257179199">
    <w:abstractNumId w:val="0"/>
  </w:num>
  <w:num w:numId="6" w16cid:durableId="2041321499">
    <w:abstractNumId w:val="3"/>
  </w:num>
  <w:num w:numId="7" w16cid:durableId="630668349">
    <w:abstractNumId w:val="3"/>
  </w:num>
  <w:num w:numId="8" w16cid:durableId="1202746294">
    <w:abstractNumId w:val="3"/>
  </w:num>
  <w:num w:numId="9" w16cid:durableId="246352819">
    <w:abstractNumId w:val="3"/>
  </w:num>
  <w:num w:numId="10" w16cid:durableId="52513016">
    <w:abstractNumId w:val="3"/>
  </w:num>
  <w:num w:numId="11" w16cid:durableId="1176774931">
    <w:abstractNumId w:val="3"/>
  </w:num>
  <w:num w:numId="12" w16cid:durableId="123766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22"/>
    <w:rsid w:val="0000434A"/>
    <w:rsid w:val="00004B11"/>
    <w:rsid w:val="0000784E"/>
    <w:rsid w:val="000128F0"/>
    <w:rsid w:val="0001509D"/>
    <w:rsid w:val="00015CAD"/>
    <w:rsid w:val="0001655B"/>
    <w:rsid w:val="00020CB7"/>
    <w:rsid w:val="00023CD8"/>
    <w:rsid w:val="00030E67"/>
    <w:rsid w:val="00031253"/>
    <w:rsid w:val="00031B69"/>
    <w:rsid w:val="000320A2"/>
    <w:rsid w:val="00033EE7"/>
    <w:rsid w:val="00036557"/>
    <w:rsid w:val="000405C8"/>
    <w:rsid w:val="00041003"/>
    <w:rsid w:val="000442E7"/>
    <w:rsid w:val="00044CA5"/>
    <w:rsid w:val="0004509F"/>
    <w:rsid w:val="00051099"/>
    <w:rsid w:val="00051D35"/>
    <w:rsid w:val="00053222"/>
    <w:rsid w:val="00053583"/>
    <w:rsid w:val="00060F26"/>
    <w:rsid w:val="00061873"/>
    <w:rsid w:val="000676BD"/>
    <w:rsid w:val="00070682"/>
    <w:rsid w:val="00081AF1"/>
    <w:rsid w:val="00082816"/>
    <w:rsid w:val="00090581"/>
    <w:rsid w:val="000A16FA"/>
    <w:rsid w:val="000A1EAF"/>
    <w:rsid w:val="000A33F7"/>
    <w:rsid w:val="000A43B2"/>
    <w:rsid w:val="000B1BA7"/>
    <w:rsid w:val="000B4B5B"/>
    <w:rsid w:val="000B6228"/>
    <w:rsid w:val="000C271C"/>
    <w:rsid w:val="000C7569"/>
    <w:rsid w:val="000D6A28"/>
    <w:rsid w:val="000E7F17"/>
    <w:rsid w:val="000F0BB8"/>
    <w:rsid w:val="000F7436"/>
    <w:rsid w:val="00100488"/>
    <w:rsid w:val="0011369D"/>
    <w:rsid w:val="001162D6"/>
    <w:rsid w:val="001208DE"/>
    <w:rsid w:val="00122FD5"/>
    <w:rsid w:val="0012431A"/>
    <w:rsid w:val="0013029D"/>
    <w:rsid w:val="00133A1F"/>
    <w:rsid w:val="00140D6C"/>
    <w:rsid w:val="00145BAE"/>
    <w:rsid w:val="00145C6D"/>
    <w:rsid w:val="00147485"/>
    <w:rsid w:val="00156E1A"/>
    <w:rsid w:val="00166C0B"/>
    <w:rsid w:val="00167FF3"/>
    <w:rsid w:val="00170536"/>
    <w:rsid w:val="00170A3F"/>
    <w:rsid w:val="00171CE9"/>
    <w:rsid w:val="0017357A"/>
    <w:rsid w:val="001771FC"/>
    <w:rsid w:val="00184470"/>
    <w:rsid w:val="0019013D"/>
    <w:rsid w:val="00193162"/>
    <w:rsid w:val="00195F78"/>
    <w:rsid w:val="00197192"/>
    <w:rsid w:val="001A104A"/>
    <w:rsid w:val="001A301D"/>
    <w:rsid w:val="001A47BA"/>
    <w:rsid w:val="001A52CB"/>
    <w:rsid w:val="001A7B51"/>
    <w:rsid w:val="001B3B25"/>
    <w:rsid w:val="001B502E"/>
    <w:rsid w:val="001B7642"/>
    <w:rsid w:val="001D3754"/>
    <w:rsid w:val="001D5B4A"/>
    <w:rsid w:val="001D6374"/>
    <w:rsid w:val="001D6800"/>
    <w:rsid w:val="001E3E11"/>
    <w:rsid w:val="001F2335"/>
    <w:rsid w:val="001F6AC7"/>
    <w:rsid w:val="001F6D70"/>
    <w:rsid w:val="00203867"/>
    <w:rsid w:val="0020535E"/>
    <w:rsid w:val="002159F6"/>
    <w:rsid w:val="00216DA9"/>
    <w:rsid w:val="0022170D"/>
    <w:rsid w:val="00224986"/>
    <w:rsid w:val="002260F0"/>
    <w:rsid w:val="002324A3"/>
    <w:rsid w:val="00233094"/>
    <w:rsid w:val="00234B31"/>
    <w:rsid w:val="00244FE0"/>
    <w:rsid w:val="00247402"/>
    <w:rsid w:val="00252928"/>
    <w:rsid w:val="0025443E"/>
    <w:rsid w:val="00256301"/>
    <w:rsid w:val="00256402"/>
    <w:rsid w:val="00256F23"/>
    <w:rsid w:val="00264BCA"/>
    <w:rsid w:val="002678CB"/>
    <w:rsid w:val="00267F55"/>
    <w:rsid w:val="00270003"/>
    <w:rsid w:val="002729DF"/>
    <w:rsid w:val="002812F9"/>
    <w:rsid w:val="00287938"/>
    <w:rsid w:val="00290379"/>
    <w:rsid w:val="00291853"/>
    <w:rsid w:val="00294BC4"/>
    <w:rsid w:val="0029518C"/>
    <w:rsid w:val="002A22C2"/>
    <w:rsid w:val="002A6DA8"/>
    <w:rsid w:val="002A7111"/>
    <w:rsid w:val="002B2E44"/>
    <w:rsid w:val="002B5527"/>
    <w:rsid w:val="002C067C"/>
    <w:rsid w:val="002C137A"/>
    <w:rsid w:val="002D065D"/>
    <w:rsid w:val="002D18CA"/>
    <w:rsid w:val="002E3AEB"/>
    <w:rsid w:val="002E7030"/>
    <w:rsid w:val="002F1070"/>
    <w:rsid w:val="00300760"/>
    <w:rsid w:val="0030554C"/>
    <w:rsid w:val="00312042"/>
    <w:rsid w:val="003135DA"/>
    <w:rsid w:val="00314B87"/>
    <w:rsid w:val="00315D84"/>
    <w:rsid w:val="00317932"/>
    <w:rsid w:val="0032071B"/>
    <w:rsid w:val="00325E08"/>
    <w:rsid w:val="00330E6F"/>
    <w:rsid w:val="00332A6E"/>
    <w:rsid w:val="00332E9D"/>
    <w:rsid w:val="00333822"/>
    <w:rsid w:val="00333F18"/>
    <w:rsid w:val="00336C7B"/>
    <w:rsid w:val="0034023B"/>
    <w:rsid w:val="00340F95"/>
    <w:rsid w:val="00342659"/>
    <w:rsid w:val="00342DD3"/>
    <w:rsid w:val="00343E23"/>
    <w:rsid w:val="003469EF"/>
    <w:rsid w:val="0036255A"/>
    <w:rsid w:val="003666F3"/>
    <w:rsid w:val="00372216"/>
    <w:rsid w:val="0038536F"/>
    <w:rsid w:val="00395128"/>
    <w:rsid w:val="003C5FCF"/>
    <w:rsid w:val="003D2CCD"/>
    <w:rsid w:val="003E054D"/>
    <w:rsid w:val="003E375E"/>
    <w:rsid w:val="003E4430"/>
    <w:rsid w:val="003E4B52"/>
    <w:rsid w:val="003F3469"/>
    <w:rsid w:val="003F3E6C"/>
    <w:rsid w:val="003F4EB3"/>
    <w:rsid w:val="003F5D0D"/>
    <w:rsid w:val="003F5EC1"/>
    <w:rsid w:val="003F6E37"/>
    <w:rsid w:val="003F7C4F"/>
    <w:rsid w:val="0040420E"/>
    <w:rsid w:val="00404BD3"/>
    <w:rsid w:val="00410DE4"/>
    <w:rsid w:val="00412022"/>
    <w:rsid w:val="00414F22"/>
    <w:rsid w:val="004207E8"/>
    <w:rsid w:val="0042080A"/>
    <w:rsid w:val="00421DB9"/>
    <w:rsid w:val="00424D3D"/>
    <w:rsid w:val="00426055"/>
    <w:rsid w:val="0043164D"/>
    <w:rsid w:val="004541AB"/>
    <w:rsid w:val="00454CE8"/>
    <w:rsid w:val="004570EF"/>
    <w:rsid w:val="00460DB0"/>
    <w:rsid w:val="00471AB8"/>
    <w:rsid w:val="0047451A"/>
    <w:rsid w:val="004758F1"/>
    <w:rsid w:val="00481E2E"/>
    <w:rsid w:val="00485BEE"/>
    <w:rsid w:val="004874C9"/>
    <w:rsid w:val="00487C28"/>
    <w:rsid w:val="004911D9"/>
    <w:rsid w:val="00494B93"/>
    <w:rsid w:val="004A04EF"/>
    <w:rsid w:val="004B0306"/>
    <w:rsid w:val="004B1481"/>
    <w:rsid w:val="004B630C"/>
    <w:rsid w:val="004C1E3E"/>
    <w:rsid w:val="004C735A"/>
    <w:rsid w:val="004C7E69"/>
    <w:rsid w:val="004D4109"/>
    <w:rsid w:val="004D50DC"/>
    <w:rsid w:val="004E0928"/>
    <w:rsid w:val="004E4BCF"/>
    <w:rsid w:val="004F4CCD"/>
    <w:rsid w:val="004F7AE1"/>
    <w:rsid w:val="00504B8E"/>
    <w:rsid w:val="005101D8"/>
    <w:rsid w:val="00511909"/>
    <w:rsid w:val="00513EB2"/>
    <w:rsid w:val="00516A48"/>
    <w:rsid w:val="005170CE"/>
    <w:rsid w:val="005178A7"/>
    <w:rsid w:val="005237D7"/>
    <w:rsid w:val="005242F3"/>
    <w:rsid w:val="00524C0D"/>
    <w:rsid w:val="0052764E"/>
    <w:rsid w:val="00532476"/>
    <w:rsid w:val="00533CE0"/>
    <w:rsid w:val="00537813"/>
    <w:rsid w:val="00546819"/>
    <w:rsid w:val="005469ED"/>
    <w:rsid w:val="00550D40"/>
    <w:rsid w:val="00552829"/>
    <w:rsid w:val="0055668B"/>
    <w:rsid w:val="005567C0"/>
    <w:rsid w:val="00560A0E"/>
    <w:rsid w:val="005650A7"/>
    <w:rsid w:val="005824FC"/>
    <w:rsid w:val="00583FA8"/>
    <w:rsid w:val="00584B19"/>
    <w:rsid w:val="00584C2A"/>
    <w:rsid w:val="005853C4"/>
    <w:rsid w:val="005932D5"/>
    <w:rsid w:val="00596A92"/>
    <w:rsid w:val="00597E27"/>
    <w:rsid w:val="005A44D6"/>
    <w:rsid w:val="005A73BC"/>
    <w:rsid w:val="005A77F2"/>
    <w:rsid w:val="005B3764"/>
    <w:rsid w:val="005C3F60"/>
    <w:rsid w:val="005C5312"/>
    <w:rsid w:val="005D1173"/>
    <w:rsid w:val="005D1DEA"/>
    <w:rsid w:val="005E2407"/>
    <w:rsid w:val="005E4B23"/>
    <w:rsid w:val="005F3C1E"/>
    <w:rsid w:val="005F5797"/>
    <w:rsid w:val="00600804"/>
    <w:rsid w:val="006056FD"/>
    <w:rsid w:val="00610130"/>
    <w:rsid w:val="00610681"/>
    <w:rsid w:val="00610ECF"/>
    <w:rsid w:val="00616839"/>
    <w:rsid w:val="00624C82"/>
    <w:rsid w:val="00626CE8"/>
    <w:rsid w:val="00633284"/>
    <w:rsid w:val="006339AB"/>
    <w:rsid w:val="00634FD3"/>
    <w:rsid w:val="00650CE1"/>
    <w:rsid w:val="00661157"/>
    <w:rsid w:val="006618C3"/>
    <w:rsid w:val="006636FB"/>
    <w:rsid w:val="00676A1A"/>
    <w:rsid w:val="006836A4"/>
    <w:rsid w:val="00687F86"/>
    <w:rsid w:val="0069034C"/>
    <w:rsid w:val="0069341E"/>
    <w:rsid w:val="006952C4"/>
    <w:rsid w:val="00695314"/>
    <w:rsid w:val="00697E87"/>
    <w:rsid w:val="006A4BD5"/>
    <w:rsid w:val="006B2C28"/>
    <w:rsid w:val="006B3B91"/>
    <w:rsid w:val="006B5CC4"/>
    <w:rsid w:val="006C5038"/>
    <w:rsid w:val="006D5291"/>
    <w:rsid w:val="006D7EDB"/>
    <w:rsid w:val="006F33D8"/>
    <w:rsid w:val="006F40ED"/>
    <w:rsid w:val="006F6398"/>
    <w:rsid w:val="006F7A2D"/>
    <w:rsid w:val="00700F25"/>
    <w:rsid w:val="00700F40"/>
    <w:rsid w:val="00701B5D"/>
    <w:rsid w:val="007035F3"/>
    <w:rsid w:val="00706AEF"/>
    <w:rsid w:val="00706F49"/>
    <w:rsid w:val="0071154D"/>
    <w:rsid w:val="00712390"/>
    <w:rsid w:val="00716310"/>
    <w:rsid w:val="007364F0"/>
    <w:rsid w:val="00737066"/>
    <w:rsid w:val="0074022B"/>
    <w:rsid w:val="00742CC9"/>
    <w:rsid w:val="00744991"/>
    <w:rsid w:val="007504A4"/>
    <w:rsid w:val="0075286D"/>
    <w:rsid w:val="007538E9"/>
    <w:rsid w:val="00753AA9"/>
    <w:rsid w:val="00756471"/>
    <w:rsid w:val="00757BFB"/>
    <w:rsid w:val="007604F0"/>
    <w:rsid w:val="0076084F"/>
    <w:rsid w:val="00761034"/>
    <w:rsid w:val="00770213"/>
    <w:rsid w:val="00770A6C"/>
    <w:rsid w:val="00771586"/>
    <w:rsid w:val="00776FD7"/>
    <w:rsid w:val="00777CDA"/>
    <w:rsid w:val="0079159B"/>
    <w:rsid w:val="0079367D"/>
    <w:rsid w:val="007A0ABF"/>
    <w:rsid w:val="007A0EB9"/>
    <w:rsid w:val="007A17F9"/>
    <w:rsid w:val="007A24E9"/>
    <w:rsid w:val="007A260D"/>
    <w:rsid w:val="007B2B66"/>
    <w:rsid w:val="007B464D"/>
    <w:rsid w:val="007B66F9"/>
    <w:rsid w:val="007C0431"/>
    <w:rsid w:val="007C0C1B"/>
    <w:rsid w:val="007C3A14"/>
    <w:rsid w:val="007C4BC3"/>
    <w:rsid w:val="007C7CF9"/>
    <w:rsid w:val="007D00B8"/>
    <w:rsid w:val="007D13B8"/>
    <w:rsid w:val="007D487C"/>
    <w:rsid w:val="007D4D41"/>
    <w:rsid w:val="007D5316"/>
    <w:rsid w:val="007D61EE"/>
    <w:rsid w:val="007E027C"/>
    <w:rsid w:val="007F6910"/>
    <w:rsid w:val="007F7888"/>
    <w:rsid w:val="00801D1A"/>
    <w:rsid w:val="00804363"/>
    <w:rsid w:val="00813D35"/>
    <w:rsid w:val="00824623"/>
    <w:rsid w:val="00831720"/>
    <w:rsid w:val="00832E1E"/>
    <w:rsid w:val="0083724E"/>
    <w:rsid w:val="00837961"/>
    <w:rsid w:val="00840313"/>
    <w:rsid w:val="008405F4"/>
    <w:rsid w:val="0085221C"/>
    <w:rsid w:val="00853F3B"/>
    <w:rsid w:val="008542AB"/>
    <w:rsid w:val="00855DF3"/>
    <w:rsid w:val="00857B02"/>
    <w:rsid w:val="00864864"/>
    <w:rsid w:val="00866220"/>
    <w:rsid w:val="00866517"/>
    <w:rsid w:val="00866A6D"/>
    <w:rsid w:val="00866F20"/>
    <w:rsid w:val="00867B14"/>
    <w:rsid w:val="00867CC0"/>
    <w:rsid w:val="00870C82"/>
    <w:rsid w:val="00870F5D"/>
    <w:rsid w:val="0087333E"/>
    <w:rsid w:val="00875535"/>
    <w:rsid w:val="008758C9"/>
    <w:rsid w:val="00884219"/>
    <w:rsid w:val="008911E7"/>
    <w:rsid w:val="008935FE"/>
    <w:rsid w:val="0089549A"/>
    <w:rsid w:val="00897531"/>
    <w:rsid w:val="008B0551"/>
    <w:rsid w:val="008B0624"/>
    <w:rsid w:val="008B0D9B"/>
    <w:rsid w:val="008B1136"/>
    <w:rsid w:val="008B5DB8"/>
    <w:rsid w:val="008D08D5"/>
    <w:rsid w:val="008D5BB6"/>
    <w:rsid w:val="008E5267"/>
    <w:rsid w:val="008E7923"/>
    <w:rsid w:val="008F0216"/>
    <w:rsid w:val="008F1CA5"/>
    <w:rsid w:val="008F6D05"/>
    <w:rsid w:val="008F7063"/>
    <w:rsid w:val="00900929"/>
    <w:rsid w:val="009045A8"/>
    <w:rsid w:val="00904AC9"/>
    <w:rsid w:val="009127D6"/>
    <w:rsid w:val="00913CE8"/>
    <w:rsid w:val="00913F64"/>
    <w:rsid w:val="00927993"/>
    <w:rsid w:val="00935D54"/>
    <w:rsid w:val="00940608"/>
    <w:rsid w:val="00942DD2"/>
    <w:rsid w:val="009440AB"/>
    <w:rsid w:val="00945444"/>
    <w:rsid w:val="00947C2D"/>
    <w:rsid w:val="0095015E"/>
    <w:rsid w:val="00954101"/>
    <w:rsid w:val="00955498"/>
    <w:rsid w:val="009554AB"/>
    <w:rsid w:val="0096181A"/>
    <w:rsid w:val="0096201D"/>
    <w:rsid w:val="00962733"/>
    <w:rsid w:val="00963151"/>
    <w:rsid w:val="009664FE"/>
    <w:rsid w:val="0097755A"/>
    <w:rsid w:val="00982910"/>
    <w:rsid w:val="009836D7"/>
    <w:rsid w:val="00983CDC"/>
    <w:rsid w:val="00985B44"/>
    <w:rsid w:val="00994D82"/>
    <w:rsid w:val="009A0DDB"/>
    <w:rsid w:val="009A5BB4"/>
    <w:rsid w:val="009A7B94"/>
    <w:rsid w:val="009B4E5B"/>
    <w:rsid w:val="009B6820"/>
    <w:rsid w:val="009B71F9"/>
    <w:rsid w:val="009C02AE"/>
    <w:rsid w:val="009D0254"/>
    <w:rsid w:val="009D2A46"/>
    <w:rsid w:val="009D2DFE"/>
    <w:rsid w:val="009E1991"/>
    <w:rsid w:val="009E296B"/>
    <w:rsid w:val="009E4028"/>
    <w:rsid w:val="009E443B"/>
    <w:rsid w:val="009E5874"/>
    <w:rsid w:val="009F2277"/>
    <w:rsid w:val="009F28E0"/>
    <w:rsid w:val="009F6092"/>
    <w:rsid w:val="009F7CE6"/>
    <w:rsid w:val="00A040F8"/>
    <w:rsid w:val="00A0569E"/>
    <w:rsid w:val="00A064B8"/>
    <w:rsid w:val="00A06B58"/>
    <w:rsid w:val="00A078D1"/>
    <w:rsid w:val="00A10218"/>
    <w:rsid w:val="00A12CCF"/>
    <w:rsid w:val="00A1456D"/>
    <w:rsid w:val="00A16711"/>
    <w:rsid w:val="00A209B1"/>
    <w:rsid w:val="00A21618"/>
    <w:rsid w:val="00A22CA3"/>
    <w:rsid w:val="00A27A6F"/>
    <w:rsid w:val="00A312D8"/>
    <w:rsid w:val="00A31A86"/>
    <w:rsid w:val="00A341E5"/>
    <w:rsid w:val="00A35A86"/>
    <w:rsid w:val="00A37EC6"/>
    <w:rsid w:val="00A44093"/>
    <w:rsid w:val="00A5092B"/>
    <w:rsid w:val="00A53991"/>
    <w:rsid w:val="00A54E86"/>
    <w:rsid w:val="00A57FDB"/>
    <w:rsid w:val="00A62047"/>
    <w:rsid w:val="00A65039"/>
    <w:rsid w:val="00A6701E"/>
    <w:rsid w:val="00A73FB6"/>
    <w:rsid w:val="00A74CD4"/>
    <w:rsid w:val="00A750FF"/>
    <w:rsid w:val="00A7616F"/>
    <w:rsid w:val="00A76CF4"/>
    <w:rsid w:val="00A76EA8"/>
    <w:rsid w:val="00A77ACA"/>
    <w:rsid w:val="00A80795"/>
    <w:rsid w:val="00A81B7F"/>
    <w:rsid w:val="00A8207D"/>
    <w:rsid w:val="00A86502"/>
    <w:rsid w:val="00A87FA7"/>
    <w:rsid w:val="00A90735"/>
    <w:rsid w:val="00A90B67"/>
    <w:rsid w:val="00AA45C5"/>
    <w:rsid w:val="00AA500B"/>
    <w:rsid w:val="00AA6626"/>
    <w:rsid w:val="00AA6D6A"/>
    <w:rsid w:val="00AB3012"/>
    <w:rsid w:val="00AB3719"/>
    <w:rsid w:val="00AB45DA"/>
    <w:rsid w:val="00AB4A5A"/>
    <w:rsid w:val="00AB4FD9"/>
    <w:rsid w:val="00AC4F76"/>
    <w:rsid w:val="00AC73F7"/>
    <w:rsid w:val="00AE1009"/>
    <w:rsid w:val="00AE6FEC"/>
    <w:rsid w:val="00AF3D80"/>
    <w:rsid w:val="00AF5037"/>
    <w:rsid w:val="00AF5DD8"/>
    <w:rsid w:val="00AF67BA"/>
    <w:rsid w:val="00B01FA5"/>
    <w:rsid w:val="00B02B94"/>
    <w:rsid w:val="00B06B2E"/>
    <w:rsid w:val="00B06C83"/>
    <w:rsid w:val="00B154AD"/>
    <w:rsid w:val="00B3359F"/>
    <w:rsid w:val="00B40741"/>
    <w:rsid w:val="00B411D0"/>
    <w:rsid w:val="00B50D68"/>
    <w:rsid w:val="00B571E3"/>
    <w:rsid w:val="00B5769A"/>
    <w:rsid w:val="00B61B0A"/>
    <w:rsid w:val="00B61BD5"/>
    <w:rsid w:val="00B64489"/>
    <w:rsid w:val="00B65D31"/>
    <w:rsid w:val="00B70A0C"/>
    <w:rsid w:val="00B76BE3"/>
    <w:rsid w:val="00B77924"/>
    <w:rsid w:val="00B85BA8"/>
    <w:rsid w:val="00B865BE"/>
    <w:rsid w:val="00B93D50"/>
    <w:rsid w:val="00B9484C"/>
    <w:rsid w:val="00B97B13"/>
    <w:rsid w:val="00BA2ADB"/>
    <w:rsid w:val="00BA4027"/>
    <w:rsid w:val="00BA47B0"/>
    <w:rsid w:val="00BA7408"/>
    <w:rsid w:val="00BA76A8"/>
    <w:rsid w:val="00BB3040"/>
    <w:rsid w:val="00BB6F33"/>
    <w:rsid w:val="00BC064B"/>
    <w:rsid w:val="00BC09B3"/>
    <w:rsid w:val="00BC3D9A"/>
    <w:rsid w:val="00BE3C80"/>
    <w:rsid w:val="00BE5960"/>
    <w:rsid w:val="00BF098E"/>
    <w:rsid w:val="00BF192C"/>
    <w:rsid w:val="00C0100A"/>
    <w:rsid w:val="00C01772"/>
    <w:rsid w:val="00C06EC7"/>
    <w:rsid w:val="00C11527"/>
    <w:rsid w:val="00C13391"/>
    <w:rsid w:val="00C2020B"/>
    <w:rsid w:val="00C23FC5"/>
    <w:rsid w:val="00C35C20"/>
    <w:rsid w:val="00C36F10"/>
    <w:rsid w:val="00C4152A"/>
    <w:rsid w:val="00C43008"/>
    <w:rsid w:val="00C441F7"/>
    <w:rsid w:val="00C54BF8"/>
    <w:rsid w:val="00C61E68"/>
    <w:rsid w:val="00C64124"/>
    <w:rsid w:val="00C655F4"/>
    <w:rsid w:val="00C65852"/>
    <w:rsid w:val="00C658EC"/>
    <w:rsid w:val="00C65EF1"/>
    <w:rsid w:val="00C67867"/>
    <w:rsid w:val="00C73F78"/>
    <w:rsid w:val="00C76272"/>
    <w:rsid w:val="00C80994"/>
    <w:rsid w:val="00C86A24"/>
    <w:rsid w:val="00C86C63"/>
    <w:rsid w:val="00C913D3"/>
    <w:rsid w:val="00C91641"/>
    <w:rsid w:val="00C923EC"/>
    <w:rsid w:val="00C9464F"/>
    <w:rsid w:val="00C94853"/>
    <w:rsid w:val="00C97C2D"/>
    <w:rsid w:val="00CA3CDA"/>
    <w:rsid w:val="00CA7F43"/>
    <w:rsid w:val="00CB0005"/>
    <w:rsid w:val="00CB243E"/>
    <w:rsid w:val="00CB31A6"/>
    <w:rsid w:val="00CB39D6"/>
    <w:rsid w:val="00CC0EF2"/>
    <w:rsid w:val="00CC7281"/>
    <w:rsid w:val="00CC74E2"/>
    <w:rsid w:val="00CC7E93"/>
    <w:rsid w:val="00CD08C3"/>
    <w:rsid w:val="00CD5A38"/>
    <w:rsid w:val="00CE206A"/>
    <w:rsid w:val="00CE42B6"/>
    <w:rsid w:val="00CE4AB1"/>
    <w:rsid w:val="00CE4CED"/>
    <w:rsid w:val="00CE602C"/>
    <w:rsid w:val="00CF16C6"/>
    <w:rsid w:val="00CF3A29"/>
    <w:rsid w:val="00CF63C3"/>
    <w:rsid w:val="00D00CDE"/>
    <w:rsid w:val="00D0277B"/>
    <w:rsid w:val="00D035F0"/>
    <w:rsid w:val="00D079F0"/>
    <w:rsid w:val="00D16790"/>
    <w:rsid w:val="00D17C13"/>
    <w:rsid w:val="00D24B25"/>
    <w:rsid w:val="00D26FBD"/>
    <w:rsid w:val="00D359B9"/>
    <w:rsid w:val="00D40821"/>
    <w:rsid w:val="00D40EE9"/>
    <w:rsid w:val="00D41835"/>
    <w:rsid w:val="00D45BE9"/>
    <w:rsid w:val="00D5253A"/>
    <w:rsid w:val="00D62808"/>
    <w:rsid w:val="00D6644C"/>
    <w:rsid w:val="00D675FD"/>
    <w:rsid w:val="00D70CF2"/>
    <w:rsid w:val="00D72B8D"/>
    <w:rsid w:val="00D8033C"/>
    <w:rsid w:val="00D81CE5"/>
    <w:rsid w:val="00D84704"/>
    <w:rsid w:val="00D903AA"/>
    <w:rsid w:val="00D92725"/>
    <w:rsid w:val="00D9405B"/>
    <w:rsid w:val="00D95C47"/>
    <w:rsid w:val="00D96BC3"/>
    <w:rsid w:val="00DA71A0"/>
    <w:rsid w:val="00DB7F26"/>
    <w:rsid w:val="00DC04CF"/>
    <w:rsid w:val="00DC0FE9"/>
    <w:rsid w:val="00DC2823"/>
    <w:rsid w:val="00DC30CE"/>
    <w:rsid w:val="00DC466F"/>
    <w:rsid w:val="00DC4AE9"/>
    <w:rsid w:val="00DC7317"/>
    <w:rsid w:val="00DD16E7"/>
    <w:rsid w:val="00DD269E"/>
    <w:rsid w:val="00DD43D1"/>
    <w:rsid w:val="00DD4B8A"/>
    <w:rsid w:val="00DD5326"/>
    <w:rsid w:val="00DE1EB5"/>
    <w:rsid w:val="00DF46E9"/>
    <w:rsid w:val="00DF4C06"/>
    <w:rsid w:val="00DF5F75"/>
    <w:rsid w:val="00E00037"/>
    <w:rsid w:val="00E00738"/>
    <w:rsid w:val="00E034BA"/>
    <w:rsid w:val="00E04CE3"/>
    <w:rsid w:val="00E0577A"/>
    <w:rsid w:val="00E0752D"/>
    <w:rsid w:val="00E11F23"/>
    <w:rsid w:val="00E13C4C"/>
    <w:rsid w:val="00E14C4F"/>
    <w:rsid w:val="00E155AD"/>
    <w:rsid w:val="00E1671F"/>
    <w:rsid w:val="00E17216"/>
    <w:rsid w:val="00E26F45"/>
    <w:rsid w:val="00E31F33"/>
    <w:rsid w:val="00E37BAF"/>
    <w:rsid w:val="00E47EE6"/>
    <w:rsid w:val="00E526C7"/>
    <w:rsid w:val="00E54D42"/>
    <w:rsid w:val="00E55F98"/>
    <w:rsid w:val="00E5775A"/>
    <w:rsid w:val="00E6426D"/>
    <w:rsid w:val="00E74017"/>
    <w:rsid w:val="00E74140"/>
    <w:rsid w:val="00E80F46"/>
    <w:rsid w:val="00E87F23"/>
    <w:rsid w:val="00E94156"/>
    <w:rsid w:val="00EA18E2"/>
    <w:rsid w:val="00EA74C1"/>
    <w:rsid w:val="00EB3268"/>
    <w:rsid w:val="00EB49A7"/>
    <w:rsid w:val="00EC305C"/>
    <w:rsid w:val="00EC43EF"/>
    <w:rsid w:val="00ED13F5"/>
    <w:rsid w:val="00ED3A97"/>
    <w:rsid w:val="00EE314F"/>
    <w:rsid w:val="00EE7242"/>
    <w:rsid w:val="00EE74B8"/>
    <w:rsid w:val="00EF1C35"/>
    <w:rsid w:val="00EF1ECF"/>
    <w:rsid w:val="00EF3E46"/>
    <w:rsid w:val="00EF489E"/>
    <w:rsid w:val="00EF5A1B"/>
    <w:rsid w:val="00F01BC0"/>
    <w:rsid w:val="00F02904"/>
    <w:rsid w:val="00F0373F"/>
    <w:rsid w:val="00F06DC2"/>
    <w:rsid w:val="00F16BB3"/>
    <w:rsid w:val="00F2097A"/>
    <w:rsid w:val="00F211F5"/>
    <w:rsid w:val="00F2401F"/>
    <w:rsid w:val="00F33D09"/>
    <w:rsid w:val="00F35F42"/>
    <w:rsid w:val="00F42365"/>
    <w:rsid w:val="00F45491"/>
    <w:rsid w:val="00F52493"/>
    <w:rsid w:val="00F5301C"/>
    <w:rsid w:val="00F55E0E"/>
    <w:rsid w:val="00F60126"/>
    <w:rsid w:val="00F67183"/>
    <w:rsid w:val="00F67B00"/>
    <w:rsid w:val="00F724F4"/>
    <w:rsid w:val="00F76944"/>
    <w:rsid w:val="00F776E4"/>
    <w:rsid w:val="00F87C3E"/>
    <w:rsid w:val="00F90985"/>
    <w:rsid w:val="00F94CF6"/>
    <w:rsid w:val="00F9675F"/>
    <w:rsid w:val="00F97708"/>
    <w:rsid w:val="00FA4AA1"/>
    <w:rsid w:val="00FA7E16"/>
    <w:rsid w:val="00FB4176"/>
    <w:rsid w:val="00FB7892"/>
    <w:rsid w:val="00FC087A"/>
    <w:rsid w:val="00FC1A69"/>
    <w:rsid w:val="00FD269E"/>
    <w:rsid w:val="00FD292D"/>
    <w:rsid w:val="00FD48ED"/>
    <w:rsid w:val="00FD6110"/>
    <w:rsid w:val="00FD7120"/>
    <w:rsid w:val="00FE07B9"/>
    <w:rsid w:val="00FE0B76"/>
    <w:rsid w:val="00FE157B"/>
    <w:rsid w:val="00FF02DB"/>
    <w:rsid w:val="00FF191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ACF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Body Text" w:uiPriority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A69"/>
    <w:rPr>
      <w:sz w:val="24"/>
      <w:szCs w:val="24"/>
      <w:lang w:val="en-GB"/>
    </w:rPr>
  </w:style>
  <w:style w:type="paragraph" w:styleId="Heading1">
    <w:name w:val="heading 1"/>
    <w:next w:val="Normal"/>
    <w:link w:val="Heading1Char"/>
    <w:uiPriority w:val="9"/>
    <w:qFormat/>
    <w:locked/>
    <w:rsid w:val="000C7569"/>
    <w:pPr>
      <w:keepNext/>
      <w:keepLines/>
      <w:ind w:left="28"/>
      <w:jc w:val="center"/>
      <w:outlineLvl w:val="0"/>
    </w:pPr>
    <w:rPr>
      <w:rFonts w:ascii="Calibri" w:eastAsia="Calibri" w:hAnsi="Calibri" w:cs="Calibri"/>
      <w:b/>
      <w:color w:val="000000"/>
      <w:kern w:val="2"/>
      <w:sz w:val="28"/>
      <w:szCs w:val="22"/>
      <w:lang w:eastAsia="zh-CN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0C7569"/>
    <w:pPr>
      <w:keepNext/>
      <w:keepLines/>
      <w:spacing w:line="265" w:lineRule="auto"/>
      <w:ind w:left="10" w:hanging="10"/>
      <w:outlineLvl w:val="1"/>
    </w:pPr>
    <w:rPr>
      <w:rFonts w:ascii="Calibri" w:eastAsia="Calibri" w:hAnsi="Calibri" w:cs="Calibri"/>
      <w:b/>
      <w:color w:val="000000"/>
      <w:kern w:val="2"/>
      <w:sz w:val="22"/>
      <w:szCs w:val="2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qFormat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qFormat/>
    <w:locked/>
    <w:rsid w:val="006636FB"/>
    <w:rPr>
      <w:rFonts w:eastAsia="Malgun Gothic"/>
      <w:sz w:val="22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305C"/>
    <w:rPr>
      <w:lang w:val="en-GB"/>
    </w:rPr>
  </w:style>
  <w:style w:type="character" w:styleId="FootnoteReference">
    <w:name w:val="footnote reference"/>
    <w:basedOn w:val="DefaultParagraphFont"/>
    <w:uiPriority w:val="99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FooterChar">
    <w:name w:val="Footer Char"/>
    <w:basedOn w:val="DefaultParagraphFont"/>
    <w:link w:val="Footer"/>
    <w:rsid w:val="00051D35"/>
    <w:rPr>
      <w:sz w:val="24"/>
      <w:szCs w:val="24"/>
      <w:lang w:val="en-GB"/>
    </w:rPr>
  </w:style>
  <w:style w:type="paragraph" w:customStyle="1" w:styleId="paragraph">
    <w:name w:val="paragraph"/>
    <w:basedOn w:val="Normal"/>
    <w:rsid w:val="00AE100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E1009"/>
  </w:style>
  <w:style w:type="character" w:customStyle="1" w:styleId="eop">
    <w:name w:val="eop"/>
    <w:basedOn w:val="DefaultParagraphFont"/>
    <w:rsid w:val="00AE1009"/>
  </w:style>
  <w:style w:type="character" w:customStyle="1" w:styleId="Heading1Char">
    <w:name w:val="Heading 1 Char"/>
    <w:basedOn w:val="DefaultParagraphFont"/>
    <w:link w:val="Heading1"/>
    <w:uiPriority w:val="9"/>
    <w:rsid w:val="000C7569"/>
    <w:rPr>
      <w:rFonts w:ascii="Calibri" w:eastAsia="Calibri" w:hAnsi="Calibri" w:cs="Calibri"/>
      <w:b/>
      <w:color w:val="000000"/>
      <w:kern w:val="2"/>
      <w:sz w:val="28"/>
      <w:szCs w:val="22"/>
      <w:lang w:eastAsia="zh-CN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C7569"/>
    <w:rPr>
      <w:rFonts w:ascii="Calibri" w:eastAsia="Calibri" w:hAnsi="Calibri" w:cs="Calibri"/>
      <w:b/>
      <w:color w:val="000000"/>
      <w:kern w:val="2"/>
      <w:sz w:val="22"/>
      <w:szCs w:val="22"/>
      <w:lang w:eastAsia="zh-CN"/>
      <w14:ligatures w14:val="standardContextual"/>
    </w:rPr>
  </w:style>
  <w:style w:type="character" w:customStyle="1" w:styleId="ui-provider">
    <w:name w:val="ui-provider"/>
    <w:basedOn w:val="DefaultParagraphFont"/>
    <w:rsid w:val="00FC1A69"/>
  </w:style>
  <w:style w:type="paragraph" w:styleId="BodyText">
    <w:name w:val="Body Text"/>
    <w:basedOn w:val="Normal"/>
    <w:link w:val="BodyTextChar"/>
    <w:uiPriority w:val="1"/>
    <w:qFormat/>
    <w:rsid w:val="00560A0E"/>
    <w:pPr>
      <w:widowControl w:val="0"/>
      <w:autoSpaceDE w:val="0"/>
      <w:autoSpaceDN w:val="0"/>
      <w:ind w:left="420"/>
      <w:jc w:val="both"/>
    </w:pPr>
    <w:rPr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0A0E"/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bd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5/cop-15-dec-06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e.sednaoui\AppData\Local\Microsoft\Windows\INetCache\Content.Outlook\LM6AO27R\cbd-letterhead-2023-cop15-en-d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7a2647-6c4b-493f-824b-6e54ba8ebb89">
      <UserInfo>
        <DisplayName>Johan Hedlund</DisplayName>
        <AccountId>19</AccountId>
        <AccountType/>
      </UserInfo>
    </SharedWithUsers>
    <lcf76f155ced4ddcb4097134ff3c332f xmlns="347fbd1b-5dbb-43c4-877f-4e35393ba244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E5E714CBF84EA4157B6B02DC9C0B" ma:contentTypeVersion="18" ma:contentTypeDescription="Create a new document." ma:contentTypeScope="" ma:versionID="c994a20652d5ad8c94885e484529ce07">
  <xsd:schema xmlns:xsd="http://www.w3.org/2001/XMLSchema" xmlns:xs="http://www.w3.org/2001/XMLSchema" xmlns:p="http://schemas.microsoft.com/office/2006/metadata/properties" xmlns:ns2="347fbd1b-5dbb-43c4-877f-4e35393ba244" xmlns:ns3="567a2647-6c4b-493f-824b-6e54ba8ebb89" xmlns:ns4="985ec44e-1bab-4c0b-9df0-6ba128686fc9" targetNamespace="http://schemas.microsoft.com/office/2006/metadata/properties" ma:root="true" ma:fieldsID="c3bf5698004faec18020f2a2aad569ef" ns2:_="" ns3:_="" ns4:_="">
    <xsd:import namespace="347fbd1b-5dbb-43c4-877f-4e35393ba244"/>
    <xsd:import namespace="567a2647-6c4b-493f-824b-6e54ba8ebb8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bd1b-5dbb-43c4-877f-4e35393b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2647-6c4b-493f-824b-6e54ba8eb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73bc6d1-6582-480b-8929-2ce7b799b883}" ma:internalName="TaxCatchAll" ma:showField="CatchAllData" ma:web="567a2647-6c4b-493f-824b-6e54ba8e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593A-AC7F-4D0B-9B28-3E759619A01E}">
  <ds:schemaRefs>
    <ds:schemaRef ds:uri="http://schemas.microsoft.com/office/infopath/2007/PartnerControls"/>
    <ds:schemaRef ds:uri="http://schemas.microsoft.com/office/2006/documentManagement/types"/>
    <ds:schemaRef ds:uri="567a2647-6c4b-493f-824b-6e54ba8ebb89"/>
    <ds:schemaRef ds:uri="http://purl.org/dc/elements/1.1/"/>
    <ds:schemaRef ds:uri="http://schemas.microsoft.com/office/2006/metadata/properties"/>
    <ds:schemaRef ds:uri="985ec44e-1bab-4c0b-9df0-6ba128686fc9"/>
    <ds:schemaRef ds:uri="http://schemas.openxmlformats.org/package/2006/metadata/core-properties"/>
    <ds:schemaRef ds:uri="http://purl.org/dc/terms/"/>
    <ds:schemaRef ds:uri="347fbd1b-5dbb-43c4-877f-4e35393ba2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9FFF2-A80E-4111-865D-AE81C6161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fbd1b-5dbb-43c4-877f-4e35393ba244"/>
    <ds:schemaRef ds:uri="567a2647-6c4b-493f-824b-6e54ba8ebb8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507C9-1698-4665-8E16-7DA3D48F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cbd-letterhead-2023-cop15-en-dc.dotx</Template>
  <TotalTime>0</TotalTime>
  <Pages>3</Pages>
  <Words>653</Words>
  <Characters>4082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4726</CharactersWithSpaces>
  <SharedDoc>false</SharedDoc>
  <HLinks>
    <vt:vector size="24" baseType="variant"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https://www.cbd.int/conferences/indicators-ahteg/webinars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https://chm.cbd.int/submit/submission/new?notification=2024-XXX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2024-06-06T16:24:00Z</dcterms:created>
  <dcterms:modified xsi:type="dcterms:W3CDTF">2024-06-06T16:32:00Z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0x01010056A3E5E714CBF84EA4157B6B02DC9C0B</vt:lpwstr>
  </property>
  <property fmtid="{D5CDD505-2E9C-101B-9397-08002B2CF9AE}" pid="3" name="MediaServiceImageTags">
    <vt:lpwstr/>
  </property>
</Properties>
</file>