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0EFF" w14:textId="77777777" w:rsidR="00BB4A29" w:rsidRPr="00BA5A04" w:rsidRDefault="00BB4A29" w:rsidP="00BA5A04">
      <w:pPr>
        <w:jc w:val="both"/>
        <w:rPr>
          <w:rFonts w:ascii="Verdana" w:hAnsi="Verdana"/>
          <w:b/>
          <w:sz w:val="20"/>
        </w:rPr>
      </w:pPr>
      <w:bookmarkStart w:id="0" w:name="_GoBack"/>
      <w:bookmarkEnd w:id="0"/>
    </w:p>
    <w:p w14:paraId="45C3311E" w14:textId="77777777" w:rsidR="00BB4A29" w:rsidRPr="00BA5A04" w:rsidRDefault="008E14E0" w:rsidP="00D03A7F">
      <w:pPr>
        <w:jc w:val="center"/>
        <w:rPr>
          <w:rFonts w:ascii="Verdana" w:hAnsi="Verdana"/>
          <w:b/>
          <w:sz w:val="20"/>
        </w:rPr>
      </w:pPr>
      <w:r w:rsidRPr="00BA5A04">
        <w:rPr>
          <w:rFonts w:ascii="Verdana" w:hAnsi="Verdana" w:cs="Arial"/>
          <w:noProof/>
          <w:sz w:val="20"/>
        </w:rPr>
        <w:drawing>
          <wp:inline distT="0" distB="0" distL="0" distR="0" wp14:anchorId="28298EB1" wp14:editId="5D53E98D">
            <wp:extent cx="1582420" cy="659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659765"/>
                    </a:xfrm>
                    <a:prstGeom prst="rect">
                      <a:avLst/>
                    </a:prstGeom>
                    <a:noFill/>
                    <a:ln>
                      <a:noFill/>
                    </a:ln>
                  </pic:spPr>
                </pic:pic>
              </a:graphicData>
            </a:graphic>
          </wp:inline>
        </w:drawing>
      </w:r>
    </w:p>
    <w:p w14:paraId="6C4015B3" w14:textId="77777777" w:rsidR="000E0E7A" w:rsidRPr="00BA5A04" w:rsidRDefault="00BB4A29" w:rsidP="00BA5A04">
      <w:pPr>
        <w:jc w:val="both"/>
        <w:rPr>
          <w:rFonts w:ascii="Verdana" w:hAnsi="Verdana"/>
          <w:b/>
          <w:sz w:val="20"/>
        </w:rPr>
      </w:pPr>
      <w:r w:rsidRPr="00BA5A04">
        <w:rPr>
          <w:rFonts w:ascii="Verdana" w:hAnsi="Verdana"/>
          <w:b/>
          <w:sz w:val="20"/>
        </w:rPr>
        <w:t xml:space="preserve">KKR Income Opportunities Fund </w:t>
      </w:r>
      <w:r w:rsidR="0061244E" w:rsidRPr="00BA5A04">
        <w:rPr>
          <w:rFonts w:ascii="Verdana" w:hAnsi="Verdana"/>
          <w:b/>
          <w:sz w:val="20"/>
        </w:rPr>
        <w:t xml:space="preserve">Declares </w:t>
      </w:r>
      <w:r w:rsidR="00C51E1F" w:rsidRPr="00BA5A04">
        <w:rPr>
          <w:rFonts w:ascii="Verdana" w:hAnsi="Verdana"/>
          <w:b/>
          <w:sz w:val="20"/>
        </w:rPr>
        <w:t>Monthly Distributions of $0.1</w:t>
      </w:r>
      <w:r w:rsidR="00C64398" w:rsidRPr="00BA5A04">
        <w:rPr>
          <w:rFonts w:ascii="Verdana" w:hAnsi="Verdana"/>
          <w:b/>
          <w:sz w:val="20"/>
        </w:rPr>
        <w:t>0</w:t>
      </w:r>
      <w:r w:rsidR="00D03A7F">
        <w:rPr>
          <w:rFonts w:ascii="Verdana" w:hAnsi="Verdana"/>
          <w:b/>
          <w:sz w:val="20"/>
        </w:rPr>
        <w:t>5</w:t>
      </w:r>
      <w:r w:rsidR="0041422B" w:rsidRPr="00BA5A04">
        <w:rPr>
          <w:rFonts w:ascii="Verdana" w:hAnsi="Verdana"/>
          <w:b/>
          <w:sz w:val="20"/>
        </w:rPr>
        <w:t xml:space="preserve"> </w:t>
      </w:r>
      <w:proofErr w:type="gramStart"/>
      <w:r w:rsidR="00C51E1F" w:rsidRPr="00BA5A04">
        <w:rPr>
          <w:rFonts w:ascii="Verdana" w:hAnsi="Verdana"/>
          <w:b/>
          <w:sz w:val="20"/>
        </w:rPr>
        <w:t>Per</w:t>
      </w:r>
      <w:proofErr w:type="gramEnd"/>
      <w:r w:rsidR="00C51E1F" w:rsidRPr="00BA5A04">
        <w:rPr>
          <w:rFonts w:ascii="Verdana" w:hAnsi="Verdana"/>
          <w:b/>
          <w:sz w:val="20"/>
        </w:rPr>
        <w:t xml:space="preserve"> Share</w:t>
      </w:r>
      <w:r w:rsidR="00C83F3A" w:rsidRPr="00BA5A04">
        <w:rPr>
          <w:rFonts w:ascii="Verdana" w:hAnsi="Verdana"/>
          <w:b/>
          <w:sz w:val="20"/>
        </w:rPr>
        <w:t xml:space="preserve"> </w:t>
      </w:r>
    </w:p>
    <w:p w14:paraId="718D7101" w14:textId="103A6AC2" w:rsidR="00D67170" w:rsidRPr="008703A2" w:rsidRDefault="001B398D" w:rsidP="00BA5A04">
      <w:pPr>
        <w:spacing w:line="240" w:lineRule="auto"/>
        <w:jc w:val="both"/>
        <w:rPr>
          <w:rFonts w:ascii="Verdana" w:hAnsi="Verdana"/>
          <w:sz w:val="20"/>
        </w:rPr>
      </w:pPr>
      <w:r w:rsidRPr="00372BC2">
        <w:rPr>
          <w:rFonts w:ascii="Verdana" w:hAnsi="Verdana"/>
          <w:sz w:val="20"/>
        </w:rPr>
        <w:t>New York, NY</w:t>
      </w:r>
      <w:r w:rsidR="00D11C9B" w:rsidRPr="00372BC2">
        <w:rPr>
          <w:rFonts w:ascii="Verdana" w:hAnsi="Verdana"/>
          <w:sz w:val="20"/>
        </w:rPr>
        <w:t xml:space="preserve">, </w:t>
      </w:r>
      <w:r w:rsidR="00834EA0" w:rsidRPr="00372BC2">
        <w:rPr>
          <w:rFonts w:ascii="Verdana" w:hAnsi="Verdana"/>
          <w:sz w:val="20"/>
        </w:rPr>
        <w:t>(</w:t>
      </w:r>
      <w:r w:rsidR="00372BC2" w:rsidRPr="00372BC2">
        <w:rPr>
          <w:rFonts w:ascii="Verdana" w:hAnsi="Verdana"/>
          <w:sz w:val="20"/>
        </w:rPr>
        <w:t>October 24</w:t>
      </w:r>
      <w:r w:rsidR="00A26F96" w:rsidRPr="00372BC2">
        <w:rPr>
          <w:rFonts w:ascii="Verdana" w:hAnsi="Verdana"/>
          <w:sz w:val="20"/>
        </w:rPr>
        <w:t>, 2022</w:t>
      </w:r>
      <w:r w:rsidR="00C67311" w:rsidRPr="00372BC2">
        <w:rPr>
          <w:rFonts w:ascii="Verdana" w:hAnsi="Verdana"/>
          <w:sz w:val="20"/>
        </w:rPr>
        <w:t>)</w:t>
      </w:r>
      <w:r w:rsidR="000E0E7A" w:rsidRPr="00372BC2">
        <w:rPr>
          <w:rFonts w:ascii="Verdana" w:hAnsi="Verdana"/>
          <w:sz w:val="20"/>
        </w:rPr>
        <w:t xml:space="preserve"> </w:t>
      </w:r>
      <w:r w:rsidR="00F95C08" w:rsidRPr="00372BC2">
        <w:rPr>
          <w:rFonts w:ascii="Verdana" w:hAnsi="Verdana"/>
          <w:sz w:val="20"/>
        </w:rPr>
        <w:t>—</w:t>
      </w:r>
      <w:r w:rsidR="00BB4A29" w:rsidRPr="00372BC2">
        <w:rPr>
          <w:rFonts w:ascii="Verdana" w:hAnsi="Verdana"/>
          <w:sz w:val="20"/>
        </w:rPr>
        <w:t xml:space="preserve">KKR Income Opportunities Fund (the “Fund”) (NYSE: KIO) today </w:t>
      </w:r>
      <w:r w:rsidR="004E28F0" w:rsidRPr="00372BC2">
        <w:rPr>
          <w:rFonts w:ascii="Verdana" w:hAnsi="Verdana"/>
          <w:sz w:val="20"/>
        </w:rPr>
        <w:t>announced its</w:t>
      </w:r>
      <w:r w:rsidR="001B2674" w:rsidRPr="00372BC2">
        <w:rPr>
          <w:rFonts w:ascii="Verdana" w:hAnsi="Verdana"/>
          <w:sz w:val="20"/>
        </w:rPr>
        <w:t xml:space="preserve"> monthly distributions of $0.1</w:t>
      </w:r>
      <w:r w:rsidR="00C64398" w:rsidRPr="00372BC2">
        <w:rPr>
          <w:rFonts w:ascii="Verdana" w:hAnsi="Verdana"/>
          <w:sz w:val="20"/>
        </w:rPr>
        <w:t>0</w:t>
      </w:r>
      <w:r w:rsidR="00D03A7F" w:rsidRPr="00372BC2">
        <w:rPr>
          <w:rFonts w:ascii="Verdana" w:hAnsi="Verdana"/>
          <w:sz w:val="20"/>
        </w:rPr>
        <w:t>5</w:t>
      </w:r>
      <w:r w:rsidR="001B2674" w:rsidRPr="00372BC2">
        <w:rPr>
          <w:rFonts w:ascii="Verdana" w:hAnsi="Verdana"/>
          <w:sz w:val="20"/>
        </w:rPr>
        <w:t xml:space="preserve"> per common share, payable on the dates below.</w:t>
      </w:r>
      <w:r w:rsidR="00D67170" w:rsidRPr="00372BC2">
        <w:rPr>
          <w:rFonts w:ascii="Verdana" w:hAnsi="Verdana"/>
          <w:sz w:val="20"/>
        </w:rPr>
        <w:t xml:space="preserve"> </w:t>
      </w:r>
      <w:r w:rsidR="001B2674" w:rsidRPr="00372BC2">
        <w:rPr>
          <w:rFonts w:ascii="Verdana" w:hAnsi="Verdana"/>
          <w:sz w:val="20"/>
        </w:rPr>
        <w:t xml:space="preserve"> Based on the Fund’s initial public offering price of $20.00 per share and current share price of </w:t>
      </w:r>
      <w:r w:rsidR="00E05813" w:rsidRPr="00372BC2">
        <w:rPr>
          <w:rFonts w:ascii="Verdana" w:hAnsi="Verdana"/>
          <w:sz w:val="20"/>
        </w:rPr>
        <w:t>$</w:t>
      </w:r>
      <w:r w:rsidR="00372BC2" w:rsidRPr="00372BC2">
        <w:rPr>
          <w:rFonts w:ascii="Verdana" w:hAnsi="Verdana"/>
          <w:sz w:val="20"/>
        </w:rPr>
        <w:t>10.84</w:t>
      </w:r>
      <w:r w:rsidR="00A26F96" w:rsidRPr="00372BC2">
        <w:rPr>
          <w:rFonts w:ascii="Verdana" w:hAnsi="Verdana"/>
          <w:sz w:val="20"/>
        </w:rPr>
        <w:t xml:space="preserve"> </w:t>
      </w:r>
      <w:r w:rsidR="000A00BE" w:rsidRPr="00372BC2">
        <w:rPr>
          <w:rFonts w:ascii="Verdana" w:hAnsi="Verdana"/>
          <w:sz w:val="20"/>
        </w:rPr>
        <w:t>per share</w:t>
      </w:r>
      <w:r w:rsidR="00FD1021" w:rsidRPr="00372BC2">
        <w:rPr>
          <w:rFonts w:ascii="Verdana" w:hAnsi="Verdana"/>
          <w:sz w:val="20"/>
        </w:rPr>
        <w:t xml:space="preserve"> </w:t>
      </w:r>
      <w:r w:rsidR="002C54DD" w:rsidRPr="00372BC2">
        <w:rPr>
          <w:rFonts w:ascii="Verdana" w:hAnsi="Verdana"/>
          <w:sz w:val="20"/>
        </w:rPr>
        <w:t xml:space="preserve">(as of </w:t>
      </w:r>
      <w:r w:rsidR="000A00BE" w:rsidRPr="00372BC2">
        <w:rPr>
          <w:rFonts w:ascii="Verdana" w:hAnsi="Verdana"/>
          <w:sz w:val="20"/>
        </w:rPr>
        <w:t xml:space="preserve">market </w:t>
      </w:r>
      <w:r w:rsidR="002C54DD" w:rsidRPr="00372BC2">
        <w:rPr>
          <w:rFonts w:ascii="Verdana" w:hAnsi="Verdana"/>
          <w:sz w:val="20"/>
        </w:rPr>
        <w:t>close</w:t>
      </w:r>
      <w:r w:rsidR="001B2674" w:rsidRPr="00372BC2">
        <w:rPr>
          <w:rFonts w:ascii="Verdana" w:hAnsi="Verdana"/>
          <w:sz w:val="20"/>
        </w:rPr>
        <w:t xml:space="preserve"> </w:t>
      </w:r>
      <w:r w:rsidR="00995C21" w:rsidRPr="00372BC2">
        <w:rPr>
          <w:rFonts w:ascii="Verdana" w:hAnsi="Verdana"/>
          <w:sz w:val="20"/>
        </w:rPr>
        <w:t xml:space="preserve">on </w:t>
      </w:r>
      <w:r w:rsidR="00372BC2" w:rsidRPr="00372BC2">
        <w:rPr>
          <w:rFonts w:ascii="Verdana" w:hAnsi="Verdana"/>
          <w:sz w:val="20"/>
        </w:rPr>
        <w:t>October 21</w:t>
      </w:r>
      <w:r w:rsidR="00DD48AD" w:rsidRPr="00372BC2">
        <w:rPr>
          <w:rFonts w:ascii="Verdana" w:hAnsi="Verdana"/>
          <w:sz w:val="20"/>
        </w:rPr>
        <w:t>, 2022</w:t>
      </w:r>
      <w:r w:rsidR="001B2674" w:rsidRPr="00372BC2">
        <w:rPr>
          <w:rFonts w:ascii="Verdana" w:hAnsi="Verdana"/>
          <w:sz w:val="20"/>
        </w:rPr>
        <w:t xml:space="preserve">), the distributions represent an annualized distribution rate of </w:t>
      </w:r>
      <w:r w:rsidR="00D03A7F" w:rsidRPr="00372BC2">
        <w:rPr>
          <w:rFonts w:ascii="Verdana" w:hAnsi="Verdana"/>
          <w:sz w:val="20"/>
        </w:rPr>
        <w:t>6.3</w:t>
      </w:r>
      <w:r w:rsidR="00A222D5" w:rsidRPr="00372BC2">
        <w:rPr>
          <w:rFonts w:ascii="Verdana" w:hAnsi="Verdana"/>
          <w:sz w:val="20"/>
        </w:rPr>
        <w:t>0</w:t>
      </w:r>
      <w:r w:rsidR="001B2674" w:rsidRPr="00372BC2">
        <w:rPr>
          <w:rFonts w:ascii="Verdana" w:hAnsi="Verdana"/>
          <w:sz w:val="20"/>
        </w:rPr>
        <w:t xml:space="preserve">% and </w:t>
      </w:r>
      <w:r w:rsidR="00372BC2" w:rsidRPr="00372BC2">
        <w:rPr>
          <w:rFonts w:ascii="Verdana" w:hAnsi="Verdana"/>
          <w:sz w:val="20"/>
        </w:rPr>
        <w:t>11.62</w:t>
      </w:r>
      <w:r w:rsidR="008703A2" w:rsidRPr="00372BC2">
        <w:rPr>
          <w:rFonts w:ascii="Verdana" w:hAnsi="Verdana"/>
          <w:sz w:val="20"/>
        </w:rPr>
        <w:t>%</w:t>
      </w:r>
      <w:r w:rsidR="00F025B7" w:rsidRPr="00372BC2">
        <w:rPr>
          <w:rFonts w:ascii="Verdana" w:hAnsi="Verdana"/>
          <w:sz w:val="20"/>
        </w:rPr>
        <w:t>,</w:t>
      </w:r>
      <w:r w:rsidR="001B2674" w:rsidRPr="00372BC2">
        <w:rPr>
          <w:rFonts w:ascii="Verdana" w:hAnsi="Verdana"/>
          <w:sz w:val="20"/>
        </w:rPr>
        <w:t xml:space="preserve"> respectively (calculated by annualizing the distribution amount and dividing it by the IPO share</w:t>
      </w:r>
      <w:r w:rsidR="001B2674" w:rsidRPr="008703A2">
        <w:rPr>
          <w:rFonts w:ascii="Verdana" w:hAnsi="Verdana"/>
          <w:sz w:val="20"/>
        </w:rPr>
        <w:t xml:space="preserve"> price </w:t>
      </w:r>
      <w:r w:rsidR="008B2996" w:rsidRPr="008703A2">
        <w:rPr>
          <w:rFonts w:ascii="Verdana" w:hAnsi="Verdana"/>
          <w:sz w:val="20"/>
        </w:rPr>
        <w:t>and</w:t>
      </w:r>
      <w:r w:rsidR="001B2674" w:rsidRPr="008703A2">
        <w:rPr>
          <w:rFonts w:ascii="Verdana" w:hAnsi="Verdana"/>
          <w:sz w:val="20"/>
        </w:rPr>
        <w:t xml:space="preserve"> current price</w:t>
      </w:r>
      <w:r w:rsidR="00F025B7" w:rsidRPr="008703A2">
        <w:rPr>
          <w:rFonts w:ascii="Verdana" w:hAnsi="Verdana"/>
          <w:sz w:val="20"/>
        </w:rPr>
        <w:t>,</w:t>
      </w:r>
      <w:r w:rsidR="008B2996" w:rsidRPr="008703A2">
        <w:rPr>
          <w:rFonts w:ascii="Verdana" w:hAnsi="Verdana"/>
          <w:sz w:val="20"/>
        </w:rPr>
        <w:t xml:space="preserve"> respectively</w:t>
      </w:r>
      <w:r w:rsidR="001B2674" w:rsidRPr="008703A2">
        <w:rPr>
          <w:rFonts w:ascii="Verdana" w:hAnsi="Verdana"/>
          <w:sz w:val="20"/>
        </w:rPr>
        <w:t>).</w:t>
      </w:r>
      <w:r w:rsidR="006B6201" w:rsidRPr="008703A2">
        <w:rPr>
          <w:rFonts w:ascii="Verdana" w:hAnsi="Verdana"/>
          <w:sz w:val="20"/>
        </w:rPr>
        <w:t xml:space="preserve"> </w:t>
      </w:r>
    </w:p>
    <w:p w14:paraId="5A3532AA" w14:textId="091EBA35" w:rsidR="00552120" w:rsidRPr="00DF3FF2" w:rsidRDefault="00552120" w:rsidP="00BA5A04">
      <w:pPr>
        <w:spacing w:after="0"/>
        <w:jc w:val="both"/>
        <w:rPr>
          <w:rFonts w:ascii="Verdana" w:hAnsi="Verdana"/>
          <w:sz w:val="20"/>
        </w:rPr>
      </w:pPr>
      <w:r w:rsidRPr="008703A2">
        <w:rPr>
          <w:rFonts w:ascii="Verdana" w:hAnsi="Verdana"/>
          <w:sz w:val="20"/>
        </w:rPr>
        <w:t xml:space="preserve">The monthly distribution schedule is as follows for the months of </w:t>
      </w:r>
      <w:r w:rsidR="0059006E">
        <w:rPr>
          <w:rFonts w:ascii="Verdana" w:hAnsi="Verdana"/>
          <w:sz w:val="20"/>
        </w:rPr>
        <w:t>November, December, and January</w:t>
      </w:r>
      <w:r w:rsidRPr="008703A2">
        <w:rPr>
          <w:rFonts w:ascii="Verdana" w:hAnsi="Verdana"/>
          <w:sz w:val="20"/>
        </w:rPr>
        <w:t>:</w:t>
      </w:r>
      <w:r w:rsidRPr="00DF3FF2">
        <w:rPr>
          <w:rFonts w:ascii="Verdana" w:hAnsi="Verdana"/>
          <w:sz w:val="20"/>
        </w:rPr>
        <w:t xml:space="preserve"> </w:t>
      </w:r>
    </w:p>
    <w:p w14:paraId="45E594F9" w14:textId="77777777" w:rsidR="00552120" w:rsidRPr="00DF3FF2" w:rsidRDefault="00552120" w:rsidP="00BA5A04">
      <w:pPr>
        <w:spacing w:after="0"/>
        <w:jc w:val="both"/>
        <w:rPr>
          <w:rFonts w:ascii="Verdana" w:hAnsi="Verdana"/>
          <w:sz w:val="20"/>
        </w:rPr>
      </w:pPr>
    </w:p>
    <w:p w14:paraId="1390FFE8" w14:textId="2A889F39" w:rsidR="00552120" w:rsidRPr="00DA193A" w:rsidRDefault="00552120" w:rsidP="00BA5A04">
      <w:pPr>
        <w:spacing w:after="0"/>
        <w:jc w:val="both"/>
        <w:rPr>
          <w:rFonts w:ascii="Verdana" w:hAnsi="Verdana"/>
          <w:sz w:val="20"/>
        </w:rPr>
      </w:pPr>
      <w:r w:rsidRPr="00DF3FF2">
        <w:rPr>
          <w:rFonts w:ascii="Verdana" w:hAnsi="Verdana"/>
          <w:sz w:val="20"/>
        </w:rPr>
        <w:t xml:space="preserve">Ex-Date:    </w:t>
      </w:r>
      <w:r w:rsidRPr="00DF3FF2">
        <w:rPr>
          <w:rFonts w:ascii="Verdana" w:hAnsi="Verdana"/>
          <w:sz w:val="20"/>
        </w:rPr>
        <w:tab/>
      </w:r>
      <w:r w:rsidR="00BA5A04" w:rsidRPr="00DF3FF2">
        <w:rPr>
          <w:rFonts w:ascii="Verdana" w:hAnsi="Verdana"/>
          <w:sz w:val="20"/>
        </w:rPr>
        <w:tab/>
      </w:r>
      <w:r w:rsidR="0059006E" w:rsidRPr="00DA193A">
        <w:rPr>
          <w:rFonts w:ascii="Verdana" w:hAnsi="Verdana"/>
          <w:sz w:val="20"/>
        </w:rPr>
        <w:t>November 9</w:t>
      </w:r>
      <w:r w:rsidR="00EC201E" w:rsidRPr="00DA193A">
        <w:rPr>
          <w:rFonts w:ascii="Verdana" w:hAnsi="Verdana"/>
          <w:sz w:val="20"/>
        </w:rPr>
        <w:t>, 2022</w:t>
      </w:r>
    </w:p>
    <w:p w14:paraId="3CB62CE4" w14:textId="23C04C78" w:rsidR="00552120" w:rsidRPr="00DA193A" w:rsidRDefault="00552120" w:rsidP="00BA5A04">
      <w:pPr>
        <w:spacing w:after="0"/>
        <w:jc w:val="both"/>
        <w:rPr>
          <w:rFonts w:ascii="Verdana" w:hAnsi="Verdana"/>
          <w:sz w:val="20"/>
        </w:rPr>
      </w:pPr>
      <w:r w:rsidRPr="00DA193A">
        <w:rPr>
          <w:rFonts w:ascii="Verdana" w:hAnsi="Verdana"/>
          <w:sz w:val="20"/>
        </w:rPr>
        <w:t xml:space="preserve">Record Date:  </w:t>
      </w:r>
      <w:r w:rsidRPr="00DA193A">
        <w:rPr>
          <w:rFonts w:ascii="Verdana" w:hAnsi="Verdana"/>
          <w:sz w:val="20"/>
        </w:rPr>
        <w:tab/>
      </w:r>
      <w:r w:rsidR="0059006E" w:rsidRPr="00DA193A">
        <w:rPr>
          <w:rFonts w:ascii="Verdana" w:hAnsi="Verdana"/>
          <w:sz w:val="20"/>
        </w:rPr>
        <w:t>November 10</w:t>
      </w:r>
      <w:r w:rsidR="00EC201E" w:rsidRPr="00DA193A">
        <w:rPr>
          <w:rFonts w:ascii="Verdana" w:hAnsi="Verdana"/>
          <w:sz w:val="20"/>
        </w:rPr>
        <w:t>, 2022</w:t>
      </w:r>
    </w:p>
    <w:p w14:paraId="33E4F6DA" w14:textId="0328D40C" w:rsidR="00552120" w:rsidRPr="00DA193A" w:rsidRDefault="00B75A3A" w:rsidP="00BA5A04">
      <w:pPr>
        <w:spacing w:after="0"/>
        <w:jc w:val="both"/>
        <w:rPr>
          <w:rFonts w:ascii="Verdana" w:hAnsi="Verdana"/>
          <w:sz w:val="20"/>
        </w:rPr>
      </w:pPr>
      <w:r w:rsidRPr="00DA193A">
        <w:rPr>
          <w:rFonts w:ascii="Verdana" w:hAnsi="Verdana"/>
          <w:sz w:val="20"/>
        </w:rPr>
        <w:t xml:space="preserve">Payable Date: </w:t>
      </w:r>
      <w:r w:rsidRPr="00DA193A">
        <w:rPr>
          <w:rFonts w:ascii="Verdana" w:hAnsi="Verdana"/>
          <w:sz w:val="20"/>
        </w:rPr>
        <w:tab/>
      </w:r>
      <w:r w:rsidR="0059006E" w:rsidRPr="00DA193A">
        <w:rPr>
          <w:rFonts w:ascii="Verdana" w:hAnsi="Verdana"/>
          <w:sz w:val="20"/>
        </w:rPr>
        <w:t>November 30</w:t>
      </w:r>
      <w:r w:rsidR="00EC201E" w:rsidRPr="00DA193A">
        <w:rPr>
          <w:rFonts w:ascii="Verdana" w:hAnsi="Verdana"/>
          <w:sz w:val="20"/>
        </w:rPr>
        <w:t>, 2022</w:t>
      </w:r>
    </w:p>
    <w:p w14:paraId="71DEE2BB" w14:textId="77777777" w:rsidR="00552120" w:rsidRPr="00DA193A" w:rsidRDefault="00552120" w:rsidP="00BA5A04">
      <w:pPr>
        <w:spacing w:after="0"/>
        <w:jc w:val="both"/>
        <w:rPr>
          <w:rFonts w:ascii="Verdana" w:hAnsi="Verdana"/>
          <w:sz w:val="20"/>
        </w:rPr>
      </w:pPr>
      <w:r w:rsidRPr="00DA193A">
        <w:rPr>
          <w:rFonts w:ascii="Verdana" w:hAnsi="Verdana"/>
          <w:sz w:val="20"/>
        </w:rPr>
        <w:t xml:space="preserve">Amount: </w:t>
      </w:r>
      <w:r w:rsidRPr="00DA193A">
        <w:rPr>
          <w:rFonts w:ascii="Verdana" w:hAnsi="Verdana"/>
          <w:sz w:val="20"/>
        </w:rPr>
        <w:tab/>
      </w:r>
      <w:r w:rsidR="00BA5A04" w:rsidRPr="00DA193A">
        <w:rPr>
          <w:rFonts w:ascii="Verdana" w:hAnsi="Verdana"/>
          <w:sz w:val="20"/>
        </w:rPr>
        <w:tab/>
      </w:r>
      <w:r w:rsidRPr="00DA193A">
        <w:rPr>
          <w:rFonts w:ascii="Verdana" w:hAnsi="Verdana"/>
          <w:sz w:val="20"/>
        </w:rPr>
        <w:t>$0.1</w:t>
      </w:r>
      <w:r w:rsidR="00C64398" w:rsidRPr="00DA193A">
        <w:rPr>
          <w:rFonts w:ascii="Verdana" w:hAnsi="Verdana"/>
          <w:sz w:val="20"/>
        </w:rPr>
        <w:t>0</w:t>
      </w:r>
      <w:r w:rsidR="00D03A7F" w:rsidRPr="00DA193A">
        <w:rPr>
          <w:rFonts w:ascii="Verdana" w:hAnsi="Verdana"/>
          <w:sz w:val="20"/>
        </w:rPr>
        <w:t>5</w:t>
      </w:r>
      <w:r w:rsidRPr="00DA193A">
        <w:rPr>
          <w:rFonts w:ascii="Verdana" w:hAnsi="Verdana"/>
          <w:sz w:val="20"/>
        </w:rPr>
        <w:t xml:space="preserve"> per share</w:t>
      </w:r>
    </w:p>
    <w:p w14:paraId="0EAD2276" w14:textId="77777777" w:rsidR="00552120" w:rsidRPr="00DA193A" w:rsidRDefault="00552120" w:rsidP="00BA5A04">
      <w:pPr>
        <w:spacing w:after="0"/>
        <w:jc w:val="both"/>
        <w:rPr>
          <w:rFonts w:ascii="Verdana" w:hAnsi="Verdana"/>
          <w:sz w:val="20"/>
        </w:rPr>
      </w:pPr>
    </w:p>
    <w:p w14:paraId="230FCC88" w14:textId="404DF1CC" w:rsidR="00552120" w:rsidRPr="00DA193A" w:rsidRDefault="00552120" w:rsidP="00BA5A04">
      <w:pPr>
        <w:spacing w:after="0"/>
        <w:jc w:val="both"/>
        <w:rPr>
          <w:rFonts w:ascii="Verdana" w:hAnsi="Verdana"/>
          <w:sz w:val="20"/>
        </w:rPr>
      </w:pPr>
      <w:r w:rsidRPr="00DA193A">
        <w:rPr>
          <w:rFonts w:ascii="Verdana" w:hAnsi="Verdana"/>
          <w:sz w:val="20"/>
        </w:rPr>
        <w:t xml:space="preserve">Ex-Date:    </w:t>
      </w:r>
      <w:r w:rsidR="00C56854" w:rsidRPr="00DA193A">
        <w:rPr>
          <w:rFonts w:ascii="Verdana" w:hAnsi="Verdana"/>
          <w:sz w:val="20"/>
        </w:rPr>
        <w:tab/>
      </w:r>
      <w:r w:rsidR="00BA5A04" w:rsidRPr="00DA193A">
        <w:rPr>
          <w:rFonts w:ascii="Verdana" w:hAnsi="Verdana"/>
          <w:sz w:val="20"/>
        </w:rPr>
        <w:tab/>
      </w:r>
      <w:r w:rsidR="0059006E" w:rsidRPr="00DA193A">
        <w:rPr>
          <w:rFonts w:ascii="Verdana" w:hAnsi="Verdana"/>
          <w:sz w:val="20"/>
        </w:rPr>
        <w:t>December 8</w:t>
      </w:r>
      <w:r w:rsidR="00EC201E" w:rsidRPr="00DA193A">
        <w:rPr>
          <w:rFonts w:ascii="Verdana" w:hAnsi="Verdana"/>
          <w:sz w:val="20"/>
        </w:rPr>
        <w:t>, 2022</w:t>
      </w:r>
    </w:p>
    <w:p w14:paraId="302631B5" w14:textId="078742AB" w:rsidR="00552120" w:rsidRPr="00DA193A" w:rsidRDefault="00C56854" w:rsidP="00BA5A04">
      <w:pPr>
        <w:spacing w:after="0"/>
        <w:jc w:val="both"/>
        <w:rPr>
          <w:rFonts w:ascii="Verdana" w:hAnsi="Verdana"/>
          <w:sz w:val="20"/>
        </w:rPr>
      </w:pPr>
      <w:r w:rsidRPr="00DA193A">
        <w:rPr>
          <w:rFonts w:ascii="Verdana" w:hAnsi="Verdana"/>
          <w:sz w:val="20"/>
        </w:rPr>
        <w:t xml:space="preserve">Record Date:  </w:t>
      </w:r>
      <w:r w:rsidRPr="00DA193A">
        <w:rPr>
          <w:rFonts w:ascii="Verdana" w:hAnsi="Verdana"/>
          <w:sz w:val="20"/>
        </w:rPr>
        <w:tab/>
      </w:r>
      <w:r w:rsidR="0059006E" w:rsidRPr="00DA193A">
        <w:rPr>
          <w:rFonts w:ascii="Verdana" w:hAnsi="Verdana"/>
          <w:sz w:val="20"/>
        </w:rPr>
        <w:t>December 9</w:t>
      </w:r>
      <w:r w:rsidR="00EC201E" w:rsidRPr="00DA193A">
        <w:rPr>
          <w:rFonts w:ascii="Verdana" w:hAnsi="Verdana"/>
          <w:sz w:val="20"/>
        </w:rPr>
        <w:t>, 2022</w:t>
      </w:r>
    </w:p>
    <w:p w14:paraId="444DBE5A" w14:textId="5081BA6E" w:rsidR="00552120" w:rsidRPr="00DA193A" w:rsidRDefault="00552120" w:rsidP="00BA5A04">
      <w:pPr>
        <w:spacing w:after="0"/>
        <w:jc w:val="both"/>
        <w:rPr>
          <w:rFonts w:ascii="Verdana" w:hAnsi="Verdana"/>
          <w:sz w:val="20"/>
        </w:rPr>
      </w:pPr>
      <w:r w:rsidRPr="00DA193A">
        <w:rPr>
          <w:rFonts w:ascii="Verdana" w:hAnsi="Verdana"/>
          <w:sz w:val="20"/>
        </w:rPr>
        <w:t xml:space="preserve">Payable Date: </w:t>
      </w:r>
      <w:r w:rsidRPr="00DA193A">
        <w:rPr>
          <w:rFonts w:ascii="Verdana" w:hAnsi="Verdana"/>
          <w:sz w:val="20"/>
        </w:rPr>
        <w:tab/>
      </w:r>
      <w:r w:rsidR="0059006E" w:rsidRPr="00DA193A">
        <w:rPr>
          <w:rFonts w:ascii="Verdana" w:hAnsi="Verdana"/>
          <w:sz w:val="20"/>
        </w:rPr>
        <w:t>December 30</w:t>
      </w:r>
      <w:r w:rsidR="00EC201E" w:rsidRPr="00DA193A">
        <w:rPr>
          <w:rFonts w:ascii="Verdana" w:hAnsi="Verdana"/>
          <w:sz w:val="20"/>
        </w:rPr>
        <w:t>, 2022</w:t>
      </w:r>
    </w:p>
    <w:p w14:paraId="758C551D" w14:textId="77777777" w:rsidR="00552120" w:rsidRPr="00DA193A" w:rsidRDefault="00C64398" w:rsidP="00BA5A04">
      <w:pPr>
        <w:spacing w:after="0"/>
        <w:jc w:val="both"/>
        <w:rPr>
          <w:rFonts w:ascii="Verdana" w:hAnsi="Verdana"/>
          <w:sz w:val="20"/>
        </w:rPr>
      </w:pPr>
      <w:r w:rsidRPr="00DA193A">
        <w:rPr>
          <w:rFonts w:ascii="Verdana" w:hAnsi="Verdana"/>
          <w:sz w:val="20"/>
        </w:rPr>
        <w:t xml:space="preserve">Amount: </w:t>
      </w:r>
      <w:r w:rsidRPr="00DA193A">
        <w:rPr>
          <w:rFonts w:ascii="Verdana" w:hAnsi="Verdana"/>
          <w:sz w:val="20"/>
        </w:rPr>
        <w:tab/>
      </w:r>
      <w:r w:rsidR="00BA5A04" w:rsidRPr="00DA193A">
        <w:rPr>
          <w:rFonts w:ascii="Verdana" w:hAnsi="Verdana"/>
          <w:sz w:val="20"/>
        </w:rPr>
        <w:tab/>
      </w:r>
      <w:r w:rsidRPr="00DA193A">
        <w:rPr>
          <w:rFonts w:ascii="Verdana" w:hAnsi="Verdana"/>
          <w:sz w:val="20"/>
        </w:rPr>
        <w:t>$0.10</w:t>
      </w:r>
      <w:r w:rsidR="00D03A7F" w:rsidRPr="00DA193A">
        <w:rPr>
          <w:rFonts w:ascii="Verdana" w:hAnsi="Verdana"/>
          <w:sz w:val="20"/>
        </w:rPr>
        <w:t>5</w:t>
      </w:r>
      <w:r w:rsidR="00552120" w:rsidRPr="00DA193A">
        <w:rPr>
          <w:rFonts w:ascii="Verdana" w:hAnsi="Verdana"/>
          <w:sz w:val="20"/>
        </w:rPr>
        <w:t xml:space="preserve"> per share</w:t>
      </w:r>
    </w:p>
    <w:p w14:paraId="23AA323F" w14:textId="77777777" w:rsidR="00552120" w:rsidRPr="00DA193A" w:rsidRDefault="00552120" w:rsidP="00BA5A04">
      <w:pPr>
        <w:spacing w:after="0"/>
        <w:jc w:val="both"/>
        <w:rPr>
          <w:rFonts w:ascii="Verdana" w:hAnsi="Verdana"/>
          <w:sz w:val="20"/>
        </w:rPr>
      </w:pPr>
    </w:p>
    <w:p w14:paraId="53566657" w14:textId="6A970538" w:rsidR="00552120" w:rsidRPr="00DA193A" w:rsidRDefault="00552120" w:rsidP="00BA5A04">
      <w:pPr>
        <w:spacing w:after="0"/>
        <w:jc w:val="both"/>
        <w:rPr>
          <w:rFonts w:ascii="Verdana" w:hAnsi="Verdana"/>
          <w:sz w:val="20"/>
        </w:rPr>
      </w:pPr>
      <w:r w:rsidRPr="00DA193A">
        <w:rPr>
          <w:rFonts w:ascii="Verdana" w:hAnsi="Verdana"/>
          <w:sz w:val="20"/>
        </w:rPr>
        <w:t xml:space="preserve">Ex-Date:    </w:t>
      </w:r>
      <w:r w:rsidR="002C48D1" w:rsidRPr="00DA193A">
        <w:rPr>
          <w:rFonts w:ascii="Verdana" w:hAnsi="Verdana"/>
          <w:sz w:val="20"/>
        </w:rPr>
        <w:tab/>
      </w:r>
      <w:r w:rsidR="00BA5A04" w:rsidRPr="00DA193A">
        <w:rPr>
          <w:rFonts w:ascii="Verdana" w:hAnsi="Verdana"/>
          <w:sz w:val="20"/>
        </w:rPr>
        <w:tab/>
      </w:r>
      <w:r w:rsidR="0059006E" w:rsidRPr="00DA193A">
        <w:rPr>
          <w:rFonts w:ascii="Verdana" w:hAnsi="Verdana"/>
          <w:sz w:val="20"/>
        </w:rPr>
        <w:t>January 12</w:t>
      </w:r>
      <w:r w:rsidR="007A575F" w:rsidRPr="00DA193A">
        <w:rPr>
          <w:rFonts w:ascii="Verdana" w:hAnsi="Verdana"/>
          <w:sz w:val="20"/>
        </w:rPr>
        <w:t>, 2023</w:t>
      </w:r>
    </w:p>
    <w:p w14:paraId="34A0EE13" w14:textId="10C710F6" w:rsidR="00552120" w:rsidRPr="00DA193A" w:rsidRDefault="00657DC5" w:rsidP="00BA5A04">
      <w:pPr>
        <w:spacing w:after="0"/>
        <w:jc w:val="both"/>
        <w:rPr>
          <w:rFonts w:ascii="Verdana" w:hAnsi="Verdana"/>
          <w:sz w:val="20"/>
        </w:rPr>
      </w:pPr>
      <w:r w:rsidRPr="00DA193A">
        <w:rPr>
          <w:rFonts w:ascii="Verdana" w:hAnsi="Verdana"/>
          <w:sz w:val="20"/>
        </w:rPr>
        <w:t xml:space="preserve">Record Date:  </w:t>
      </w:r>
      <w:r w:rsidRPr="00DA193A">
        <w:rPr>
          <w:rFonts w:ascii="Verdana" w:hAnsi="Verdana"/>
          <w:sz w:val="20"/>
        </w:rPr>
        <w:tab/>
      </w:r>
      <w:r w:rsidR="0059006E" w:rsidRPr="00DA193A">
        <w:rPr>
          <w:rFonts w:ascii="Verdana" w:hAnsi="Verdana"/>
          <w:sz w:val="20"/>
        </w:rPr>
        <w:t>January 13</w:t>
      </w:r>
      <w:r w:rsidR="007A575F" w:rsidRPr="00DA193A">
        <w:rPr>
          <w:rFonts w:ascii="Verdana" w:hAnsi="Verdana"/>
          <w:sz w:val="20"/>
        </w:rPr>
        <w:t>, 2023</w:t>
      </w:r>
    </w:p>
    <w:p w14:paraId="1CDA19E8" w14:textId="251FDB48" w:rsidR="00552120" w:rsidRPr="00DF3FF2" w:rsidRDefault="00657DC5" w:rsidP="00BA5A04">
      <w:pPr>
        <w:spacing w:after="0"/>
        <w:jc w:val="both"/>
        <w:rPr>
          <w:rFonts w:ascii="Verdana" w:hAnsi="Verdana"/>
          <w:sz w:val="20"/>
        </w:rPr>
      </w:pPr>
      <w:r w:rsidRPr="00DA193A">
        <w:rPr>
          <w:rFonts w:ascii="Verdana" w:hAnsi="Verdana"/>
          <w:sz w:val="20"/>
        </w:rPr>
        <w:t xml:space="preserve">Payable Date: </w:t>
      </w:r>
      <w:r w:rsidRPr="00DA193A">
        <w:rPr>
          <w:rFonts w:ascii="Verdana" w:hAnsi="Verdana"/>
          <w:sz w:val="20"/>
        </w:rPr>
        <w:tab/>
      </w:r>
      <w:r w:rsidR="0059006E" w:rsidRPr="00DA193A">
        <w:rPr>
          <w:rFonts w:ascii="Verdana" w:hAnsi="Verdana"/>
          <w:sz w:val="20"/>
        </w:rPr>
        <w:t>January 31</w:t>
      </w:r>
      <w:r w:rsidR="007A575F" w:rsidRPr="00DA193A">
        <w:rPr>
          <w:rFonts w:ascii="Verdana" w:hAnsi="Verdana"/>
          <w:sz w:val="20"/>
        </w:rPr>
        <w:t>, 2023</w:t>
      </w:r>
    </w:p>
    <w:p w14:paraId="7620AC4C" w14:textId="77777777" w:rsidR="001964FB" w:rsidRPr="00BA5A04" w:rsidRDefault="00C64398" w:rsidP="00BA5A04">
      <w:pPr>
        <w:spacing w:after="0"/>
        <w:jc w:val="both"/>
        <w:rPr>
          <w:rFonts w:ascii="Verdana" w:hAnsi="Verdana"/>
          <w:sz w:val="20"/>
        </w:rPr>
      </w:pPr>
      <w:r w:rsidRPr="00DF3FF2">
        <w:rPr>
          <w:rFonts w:ascii="Verdana" w:hAnsi="Verdana"/>
          <w:sz w:val="20"/>
        </w:rPr>
        <w:t xml:space="preserve">Amount: </w:t>
      </w:r>
      <w:r w:rsidRPr="00DF3FF2">
        <w:rPr>
          <w:rFonts w:ascii="Verdana" w:hAnsi="Verdana"/>
          <w:sz w:val="20"/>
        </w:rPr>
        <w:tab/>
      </w:r>
      <w:r w:rsidR="00BA5A04" w:rsidRPr="00DF3FF2">
        <w:rPr>
          <w:rFonts w:ascii="Verdana" w:hAnsi="Verdana"/>
          <w:sz w:val="20"/>
        </w:rPr>
        <w:tab/>
      </w:r>
      <w:r w:rsidRPr="00DF3FF2">
        <w:rPr>
          <w:rFonts w:ascii="Verdana" w:hAnsi="Verdana"/>
          <w:sz w:val="20"/>
        </w:rPr>
        <w:t>$0.10</w:t>
      </w:r>
      <w:r w:rsidR="00D03A7F" w:rsidRPr="00DF3FF2">
        <w:rPr>
          <w:rFonts w:ascii="Verdana" w:hAnsi="Verdana"/>
          <w:sz w:val="20"/>
        </w:rPr>
        <w:t>5</w:t>
      </w:r>
      <w:r w:rsidR="00552120" w:rsidRPr="00DF3FF2">
        <w:rPr>
          <w:rFonts w:ascii="Verdana" w:hAnsi="Verdana"/>
          <w:sz w:val="20"/>
        </w:rPr>
        <w:t xml:space="preserve"> per share</w:t>
      </w:r>
    </w:p>
    <w:p w14:paraId="5E7EE9B3" w14:textId="77777777" w:rsidR="00552120" w:rsidRPr="00BA5A04" w:rsidRDefault="00552120" w:rsidP="00BA5A04">
      <w:pPr>
        <w:spacing w:after="0"/>
        <w:jc w:val="both"/>
        <w:rPr>
          <w:rFonts w:ascii="Verdana" w:hAnsi="Verdana"/>
          <w:sz w:val="20"/>
        </w:rPr>
      </w:pPr>
    </w:p>
    <w:p w14:paraId="45D86F3D" w14:textId="77777777" w:rsidR="00C51E1F" w:rsidRPr="00BA5A04" w:rsidRDefault="00C51E1F" w:rsidP="00BA5A04">
      <w:pPr>
        <w:spacing w:line="240" w:lineRule="auto"/>
        <w:jc w:val="both"/>
        <w:rPr>
          <w:rFonts w:ascii="Verdana" w:hAnsi="Verdana"/>
          <w:i/>
          <w:sz w:val="20"/>
        </w:rPr>
      </w:pPr>
      <w:r w:rsidRPr="00BA5A04">
        <w:rPr>
          <w:rStyle w:val="Emphasis"/>
          <w:rFonts w:ascii="Verdana" w:hAnsi="Verdana"/>
          <w:i w:val="0"/>
          <w:sz w:val="20"/>
        </w:rPr>
        <w:t>Information regarding the distribution rate is included for informational purposes only and is not necessarily indicative of future results, the achievement of which cannot be assured. The distribution rate should not be considered the yield or total return on an investment in the Fund</w:t>
      </w:r>
      <w:r w:rsidRPr="00BA5A04">
        <w:rPr>
          <w:rFonts w:ascii="Verdana" w:hAnsi="Verdana"/>
          <w:i/>
          <w:sz w:val="20"/>
        </w:rPr>
        <w:t>.</w:t>
      </w:r>
      <w:r w:rsidR="00A85FCA" w:rsidRPr="00BA5A04">
        <w:rPr>
          <w:rFonts w:ascii="Verdana" w:hAnsi="Verdana"/>
          <w:i/>
          <w:sz w:val="20"/>
        </w:rPr>
        <w:t xml:space="preserve">  </w:t>
      </w:r>
    </w:p>
    <w:p w14:paraId="1B3050A1" w14:textId="0AC63591" w:rsidR="002A3775" w:rsidRPr="00BA5A04" w:rsidRDefault="00954E15" w:rsidP="00BA5A04">
      <w:pPr>
        <w:spacing w:line="240" w:lineRule="auto"/>
        <w:jc w:val="both"/>
        <w:rPr>
          <w:rFonts w:ascii="Verdana" w:hAnsi="Verdana"/>
          <w:sz w:val="20"/>
        </w:rPr>
      </w:pPr>
      <w:r w:rsidRPr="00BA5A04">
        <w:rPr>
          <w:rFonts w:ascii="Verdana" w:hAnsi="Verdana"/>
          <w:sz w:val="20"/>
        </w:rPr>
        <w:t>In compliance with Section 19 of the Investment Company Act of 1940, a notice will be provided to shareholders for any distribution that does not consist solely of net investment income.</w:t>
      </w:r>
      <w:r w:rsidR="00A85FCA" w:rsidRPr="00BA5A04">
        <w:rPr>
          <w:rFonts w:ascii="Verdana" w:hAnsi="Verdana"/>
          <w:sz w:val="20"/>
        </w:rPr>
        <w:t xml:space="preserve">  A portion of each distribution may be treated as paid from sources other than net investment income, including but not limited to short-term capital gain</w:t>
      </w:r>
      <w:r w:rsidR="00F025B7">
        <w:rPr>
          <w:rFonts w:ascii="Verdana" w:hAnsi="Verdana"/>
          <w:sz w:val="20"/>
        </w:rPr>
        <w:t>s</w:t>
      </w:r>
      <w:r w:rsidR="00A85FCA" w:rsidRPr="00BA5A04">
        <w:rPr>
          <w:rFonts w:ascii="Verdana" w:hAnsi="Verdana"/>
          <w:sz w:val="20"/>
        </w:rPr>
        <w:t>, long-term capital gain</w:t>
      </w:r>
      <w:r w:rsidR="00F025B7">
        <w:rPr>
          <w:rFonts w:ascii="Verdana" w:hAnsi="Verdana"/>
          <w:sz w:val="20"/>
        </w:rPr>
        <w:t>s</w:t>
      </w:r>
      <w:r w:rsidR="00A85FCA" w:rsidRPr="00BA5A04">
        <w:rPr>
          <w:rFonts w:ascii="Verdana" w:hAnsi="Verdana"/>
          <w:sz w:val="20"/>
        </w:rPr>
        <w:t xml:space="preserve"> or return of capital.</w:t>
      </w:r>
    </w:p>
    <w:p w14:paraId="2791DF52" w14:textId="5A0B6E87" w:rsidR="00C952D7" w:rsidRPr="00BA5A04" w:rsidRDefault="00C952D7" w:rsidP="00BA5A04">
      <w:pPr>
        <w:spacing w:line="240" w:lineRule="auto"/>
        <w:jc w:val="both"/>
        <w:rPr>
          <w:rFonts w:ascii="Verdana" w:hAnsi="Verdana"/>
          <w:sz w:val="20"/>
        </w:rPr>
      </w:pPr>
      <w:r w:rsidRPr="00BA5A04">
        <w:rPr>
          <w:rFonts w:ascii="Verdana" w:hAnsi="Verdana"/>
          <w:sz w:val="20"/>
        </w:rPr>
        <w:t xml:space="preserve">The amounts and sources of distributions reported in this notice are only estimates and are not being provided for tax reporting purposes. The final determination of the source of all distributions in </w:t>
      </w:r>
      <w:r w:rsidR="00F025B7" w:rsidRPr="00BA5A04">
        <w:rPr>
          <w:rFonts w:ascii="Verdana" w:hAnsi="Verdana"/>
          <w:sz w:val="20"/>
        </w:rPr>
        <w:t>202</w:t>
      </w:r>
      <w:r w:rsidR="00F025B7">
        <w:rPr>
          <w:rFonts w:ascii="Verdana" w:hAnsi="Verdana"/>
          <w:sz w:val="20"/>
        </w:rPr>
        <w:t>2</w:t>
      </w:r>
      <w:r w:rsidR="00F025B7" w:rsidRPr="00BA5A04">
        <w:rPr>
          <w:rFonts w:ascii="Verdana" w:hAnsi="Verdana"/>
          <w:sz w:val="20"/>
        </w:rPr>
        <w:t xml:space="preserve"> </w:t>
      </w:r>
      <w:r w:rsidRPr="00BA5A04">
        <w:rPr>
          <w:rFonts w:ascii="Verdana" w:hAnsi="Verdana"/>
          <w:sz w:val="20"/>
        </w:rPr>
        <w:t xml:space="preserve">will be made after year-end. The Fund will send you a Form 1099-DIV </w:t>
      </w:r>
      <w:r w:rsidRPr="00BA5A04">
        <w:rPr>
          <w:rFonts w:ascii="Verdana" w:hAnsi="Verdana"/>
          <w:sz w:val="20"/>
        </w:rPr>
        <w:lastRenderedPageBreak/>
        <w:t>for the calendar year that will tell you how to report these distributions for federal income tax purposes.</w:t>
      </w:r>
    </w:p>
    <w:p w14:paraId="2231146C" w14:textId="77777777" w:rsidR="00BB4A29" w:rsidRPr="00BA5A04" w:rsidRDefault="00D11C9B" w:rsidP="00BA5A04">
      <w:pPr>
        <w:spacing w:line="240" w:lineRule="auto"/>
        <w:jc w:val="both"/>
        <w:rPr>
          <w:rFonts w:ascii="Verdana" w:hAnsi="Verdana"/>
          <w:sz w:val="20"/>
        </w:rPr>
      </w:pPr>
      <w:r w:rsidRPr="00BA5A04">
        <w:rPr>
          <w:rFonts w:ascii="Verdana" w:hAnsi="Verdana"/>
          <w:sz w:val="20"/>
        </w:rPr>
        <w:t xml:space="preserve">The Fund is a </w:t>
      </w:r>
      <w:r w:rsidR="00BB4A29" w:rsidRPr="00BA5A04">
        <w:rPr>
          <w:rFonts w:ascii="Verdana" w:hAnsi="Verdana"/>
          <w:sz w:val="20"/>
        </w:rPr>
        <w:t xml:space="preserve">diversified, closed-end </w:t>
      </w:r>
      <w:r w:rsidR="00347E20" w:rsidRPr="00BA5A04">
        <w:rPr>
          <w:rFonts w:ascii="Verdana" w:hAnsi="Verdana"/>
          <w:sz w:val="20"/>
        </w:rPr>
        <w:t>fund</w:t>
      </w:r>
      <w:r w:rsidR="00BB4A29" w:rsidRPr="00BA5A04">
        <w:rPr>
          <w:rFonts w:ascii="Verdana" w:hAnsi="Verdana"/>
          <w:sz w:val="20"/>
        </w:rPr>
        <w:t xml:space="preserve">. Investors should consider the Fund’s investment objectives, risks, charges and expenses carefully before investing. </w:t>
      </w:r>
    </w:p>
    <w:p w14:paraId="4FE93F96" w14:textId="77777777" w:rsidR="00BB4A29" w:rsidRPr="00BA5A04" w:rsidRDefault="00BB4A29" w:rsidP="00BA5A04">
      <w:pPr>
        <w:spacing w:line="240" w:lineRule="auto"/>
        <w:jc w:val="both"/>
        <w:rPr>
          <w:rFonts w:ascii="Verdana" w:hAnsi="Verdana"/>
          <w:sz w:val="20"/>
        </w:rPr>
      </w:pPr>
      <w:r w:rsidRPr="00BA5A04">
        <w:rPr>
          <w:rFonts w:ascii="Verdana" w:hAnsi="Verdana"/>
          <w:sz w:val="20"/>
        </w:rPr>
        <w:t>The investment return, price, yields, ma</w:t>
      </w:r>
      <w:r w:rsidR="00521877" w:rsidRPr="00BA5A04">
        <w:rPr>
          <w:rFonts w:ascii="Verdana" w:hAnsi="Verdana"/>
          <w:sz w:val="20"/>
        </w:rPr>
        <w:t xml:space="preserve">rket value and net asset value </w:t>
      </w:r>
      <w:r w:rsidR="0045070D" w:rsidRPr="00BA5A04">
        <w:rPr>
          <w:rFonts w:ascii="Verdana" w:hAnsi="Verdana"/>
          <w:sz w:val="20"/>
        </w:rPr>
        <w:t>(</w:t>
      </w:r>
      <w:r w:rsidR="00521877" w:rsidRPr="00BA5A04">
        <w:rPr>
          <w:rFonts w:ascii="Verdana" w:hAnsi="Verdana"/>
          <w:sz w:val="20"/>
        </w:rPr>
        <w:t>“NAV”</w:t>
      </w:r>
      <w:r w:rsidR="0045070D" w:rsidRPr="00BA5A04">
        <w:rPr>
          <w:rFonts w:ascii="Verdana" w:hAnsi="Verdana"/>
          <w:sz w:val="20"/>
        </w:rPr>
        <w:t>)</w:t>
      </w:r>
      <w:r w:rsidRPr="00BA5A04">
        <w:rPr>
          <w:rFonts w:ascii="Verdana" w:hAnsi="Verdana"/>
          <w:sz w:val="20"/>
        </w:rPr>
        <w:t xml:space="preserve"> of a fund's shares will fluctuate with market conditions. Closed-end funds frequently trade at a discount to their NAV, which may increase an investor’s risk of loss.  There is no assurance that the Fund will meet its investment objective. </w:t>
      </w:r>
      <w:r w:rsidR="00A85FCA" w:rsidRPr="00BA5A04">
        <w:rPr>
          <w:rFonts w:ascii="Verdana" w:hAnsi="Verdana"/>
          <w:sz w:val="20"/>
        </w:rPr>
        <w:t xml:space="preserve"> The Fund’s distribution rate may be affected by numerous factors, including changes in realized and projected market returns, Fund performance, and other factors. There can be no assurance that a change in market conditions or other factors will not result in a change in a Fund distribution rate at a future time.</w:t>
      </w:r>
    </w:p>
    <w:p w14:paraId="42393ADA" w14:textId="77777777" w:rsidR="00BB4A29" w:rsidRPr="00BA5A04" w:rsidRDefault="00BB4A29" w:rsidP="00BA5A04">
      <w:pPr>
        <w:spacing w:line="240" w:lineRule="auto"/>
        <w:jc w:val="both"/>
        <w:rPr>
          <w:rFonts w:ascii="Verdana" w:hAnsi="Verdana"/>
          <w:sz w:val="20"/>
        </w:rPr>
      </w:pPr>
      <w:r w:rsidRPr="00BA5A04">
        <w:rPr>
          <w:rFonts w:ascii="Verdana" w:hAnsi="Verdana"/>
          <w:sz w:val="20"/>
        </w:rPr>
        <w:t xml:space="preserve">An investment in the Fund is not appropriate for all investors and is not intended to be a complete investment program. The Fund is designed as a long-term investment and not as a trading vehicle. Investors should carefully review and consider the Fund’s investment objective, risk, charges and expenses before investing. </w:t>
      </w:r>
    </w:p>
    <w:p w14:paraId="2893A379" w14:textId="77777777" w:rsidR="003E2AF2" w:rsidRPr="00BA5A04" w:rsidRDefault="00BB4A29" w:rsidP="00BA5A04">
      <w:pPr>
        <w:spacing w:line="240" w:lineRule="auto"/>
        <w:jc w:val="both"/>
        <w:rPr>
          <w:rFonts w:ascii="Verdana" w:hAnsi="Verdana"/>
          <w:sz w:val="20"/>
        </w:rPr>
      </w:pPr>
      <w:r w:rsidRPr="00BA5A04">
        <w:rPr>
          <w:rFonts w:ascii="Verdana" w:hAnsi="Verdana"/>
          <w:sz w:val="20"/>
        </w:rPr>
        <w:t xml:space="preserve">Investment return and principal value will fluctuate, and it is possible to lose money by investing in the Fund. Past performance is not a guarantee of future results. </w:t>
      </w:r>
    </w:p>
    <w:p w14:paraId="42F33079" w14:textId="77777777" w:rsidR="00BB4A29" w:rsidRPr="00BA5A04" w:rsidRDefault="00BB4A29" w:rsidP="00BA5A04">
      <w:pPr>
        <w:jc w:val="both"/>
        <w:rPr>
          <w:rFonts w:ascii="Verdana" w:hAnsi="Verdana"/>
          <w:sz w:val="20"/>
        </w:rPr>
      </w:pPr>
      <w:r w:rsidRPr="00BA5A04">
        <w:rPr>
          <w:rFonts w:ascii="Verdana" w:hAnsi="Verdana"/>
          <w:b/>
          <w:bCs/>
          <w:i/>
          <w:iCs/>
          <w:sz w:val="20"/>
        </w:rPr>
        <w:t>Forward Looking Statements</w:t>
      </w:r>
      <w:r w:rsidRPr="00BA5A04">
        <w:rPr>
          <w:rFonts w:ascii="Verdana" w:hAnsi="Verdana"/>
          <w:sz w:val="20"/>
        </w:rPr>
        <w:t xml:space="preserve"> </w:t>
      </w:r>
    </w:p>
    <w:p w14:paraId="069771CB" w14:textId="77777777" w:rsidR="00BB4A29" w:rsidRPr="00BA5A04" w:rsidRDefault="00BB4A29" w:rsidP="00BA5A04">
      <w:pPr>
        <w:spacing w:line="240" w:lineRule="auto"/>
        <w:jc w:val="both"/>
        <w:rPr>
          <w:rFonts w:ascii="Verdana" w:hAnsi="Verdana"/>
          <w:sz w:val="20"/>
        </w:rPr>
      </w:pPr>
      <w:r w:rsidRPr="00BA5A04">
        <w:rPr>
          <w:rFonts w:ascii="Verdana" w:hAnsi="Verdana"/>
          <w:sz w:val="20"/>
        </w:rPr>
        <w:t xml:space="preserve">This press release contains certain statements that may include "forward-looking statements" within the meaning of the federal securities laws. All statements, other than statements of historical fact, included herein are "forward-looking statements." The forward-looking statements are based on the Fund’s and KKR's beliefs, assumptions and expectations of its future performance, taking into account all information currently available to it. These beliefs, assumptions and expectations can change as a result of many possible events or factors, not all of which are known to the Fund or KKR or are within their control. The Fund and KKR do not undertake any obligation to update any forward-looking statements to reflect circumstances or events that occur after the date on which such statements were made except as required by law. </w:t>
      </w:r>
    </w:p>
    <w:p w14:paraId="7AF5386F" w14:textId="77777777" w:rsidR="008D3B9B" w:rsidRPr="00BA5A04" w:rsidRDefault="00BB4A29" w:rsidP="00BA5A04">
      <w:pPr>
        <w:spacing w:line="240" w:lineRule="auto"/>
        <w:jc w:val="both"/>
        <w:rPr>
          <w:rFonts w:ascii="Verdana" w:hAnsi="Verdana"/>
          <w:i/>
          <w:iCs/>
          <w:sz w:val="20"/>
        </w:rPr>
      </w:pPr>
      <w:r w:rsidRPr="00BA5A04">
        <w:rPr>
          <w:rFonts w:ascii="Verdana" w:hAnsi="Verdana"/>
          <w:i/>
          <w:iCs/>
          <w:sz w:val="20"/>
        </w:rPr>
        <w:t>This document is not an offer to sell securities and is not soliciting an offer to buy securities in any jurisdiction where the offer or sale is not permitted.</w:t>
      </w:r>
      <w:r w:rsidRPr="00BA5A04">
        <w:rPr>
          <w:rFonts w:ascii="Verdana" w:hAnsi="Verdana"/>
          <w:sz w:val="20"/>
        </w:rPr>
        <w:t xml:space="preserve">  </w:t>
      </w:r>
      <w:r w:rsidRPr="00BA5A04">
        <w:rPr>
          <w:rFonts w:ascii="Verdana" w:hAnsi="Verdana"/>
          <w:i/>
          <w:iCs/>
          <w:sz w:val="20"/>
        </w:rPr>
        <w:t>Investors should consider the Fund’s investment objectives, risks, charges and expenses carefully before investing. An investment in the Fund should not constitute a complete investment program.</w:t>
      </w:r>
    </w:p>
    <w:p w14:paraId="2C82E34D" w14:textId="77777777" w:rsidR="00BB4A29" w:rsidRPr="00BA5A04" w:rsidRDefault="00BB4A29" w:rsidP="00BA5A04">
      <w:pPr>
        <w:jc w:val="both"/>
        <w:rPr>
          <w:rFonts w:ascii="Verdana" w:hAnsi="Verdana"/>
          <w:b/>
          <w:sz w:val="20"/>
        </w:rPr>
      </w:pPr>
      <w:r w:rsidRPr="00BA5A04">
        <w:rPr>
          <w:rFonts w:ascii="Verdana" w:hAnsi="Verdana"/>
          <w:b/>
          <w:sz w:val="20"/>
        </w:rPr>
        <w:t xml:space="preserve">KKR Income Opportunities Fund </w:t>
      </w:r>
    </w:p>
    <w:p w14:paraId="3456C6E2" w14:textId="0A511281" w:rsidR="00593057" w:rsidRPr="00BF24E0" w:rsidRDefault="00377C47" w:rsidP="00BA5A04">
      <w:pPr>
        <w:autoSpaceDE w:val="0"/>
        <w:autoSpaceDN w:val="0"/>
        <w:adjustRightInd w:val="0"/>
        <w:spacing w:after="0" w:line="240" w:lineRule="auto"/>
        <w:jc w:val="both"/>
        <w:rPr>
          <w:rFonts w:ascii="Verdana" w:hAnsi="Verdana"/>
          <w:sz w:val="20"/>
          <w:szCs w:val="20"/>
        </w:rPr>
      </w:pPr>
      <w:r w:rsidRPr="00BA5A04">
        <w:rPr>
          <w:rFonts w:ascii="Verdana" w:hAnsi="Verdana"/>
          <w:sz w:val="20"/>
        </w:rPr>
        <w:t>KKR Income Opportun</w:t>
      </w:r>
      <w:r w:rsidR="00D5623B" w:rsidRPr="00BA5A04">
        <w:rPr>
          <w:rFonts w:ascii="Verdana" w:hAnsi="Verdana"/>
          <w:sz w:val="20"/>
        </w:rPr>
        <w:t xml:space="preserve">ities Fund is a </w:t>
      </w:r>
      <w:r w:rsidRPr="00BA5A04">
        <w:rPr>
          <w:rFonts w:ascii="Verdana" w:hAnsi="Verdana"/>
          <w:sz w:val="20"/>
        </w:rPr>
        <w:t>diversified, closed-end management i</w:t>
      </w:r>
      <w:r w:rsidR="00A97A1C" w:rsidRPr="00BA5A04">
        <w:rPr>
          <w:rFonts w:ascii="Verdana" w:hAnsi="Verdana"/>
          <w:sz w:val="20"/>
        </w:rPr>
        <w:t xml:space="preserve">nvestment company managed by </w:t>
      </w:r>
      <w:r w:rsidR="00EF21A9" w:rsidRPr="00BA5A04">
        <w:rPr>
          <w:rFonts w:ascii="Verdana" w:hAnsi="Verdana"/>
          <w:sz w:val="20"/>
        </w:rPr>
        <w:t>KKR Credit Advisors (US) LLC (“</w:t>
      </w:r>
      <w:r w:rsidRPr="00BA5A04">
        <w:rPr>
          <w:rFonts w:ascii="Verdana" w:hAnsi="Verdana"/>
          <w:sz w:val="20"/>
        </w:rPr>
        <w:t>KKR Credit</w:t>
      </w:r>
      <w:r w:rsidR="00EF21A9" w:rsidRPr="00BA5A04">
        <w:rPr>
          <w:rFonts w:ascii="Verdana" w:hAnsi="Verdana"/>
          <w:sz w:val="20"/>
        </w:rPr>
        <w:t>”)</w:t>
      </w:r>
      <w:r w:rsidRPr="00BA5A04">
        <w:rPr>
          <w:rFonts w:ascii="Verdana" w:hAnsi="Verdana"/>
          <w:sz w:val="20"/>
        </w:rPr>
        <w:t>, a</w:t>
      </w:r>
      <w:r w:rsidR="000A00BE" w:rsidRPr="00BA5A04">
        <w:rPr>
          <w:rFonts w:ascii="Verdana" w:hAnsi="Verdana"/>
          <w:sz w:val="20"/>
        </w:rPr>
        <w:t>n indirect</w:t>
      </w:r>
      <w:r w:rsidRPr="00BA5A04">
        <w:rPr>
          <w:rFonts w:ascii="Verdana" w:hAnsi="Verdana"/>
          <w:sz w:val="20"/>
        </w:rPr>
        <w:t xml:space="preserve"> subsidiary of KKR</w:t>
      </w:r>
      <w:r w:rsidR="000A00BE" w:rsidRPr="00BA5A04">
        <w:rPr>
          <w:rFonts w:ascii="Verdana" w:hAnsi="Verdana"/>
          <w:sz w:val="20"/>
        </w:rPr>
        <w:t xml:space="preserve"> &amp; Co. Inc. (“KKR”)</w:t>
      </w:r>
      <w:r w:rsidRPr="00BA5A04">
        <w:rPr>
          <w:rFonts w:ascii="Verdana" w:hAnsi="Verdana"/>
          <w:sz w:val="20"/>
        </w:rPr>
        <w:t xml:space="preserve">.  The Fund’s primary investment objective is to seek a high level of current income with a secondary objective of capital appreciation.  The Fund will seek to achieve its investment objective by investing primarily in first- and second-lien secured loans, unsecured loans and high yield corporate debt instruments.  It </w:t>
      </w:r>
      <w:r w:rsidR="007F59DC" w:rsidRPr="00BA5A04">
        <w:rPr>
          <w:rFonts w:ascii="Verdana" w:hAnsi="Verdana"/>
          <w:sz w:val="20"/>
        </w:rPr>
        <w:t xml:space="preserve">expects to </w:t>
      </w:r>
      <w:r w:rsidRPr="00BA5A04">
        <w:rPr>
          <w:rFonts w:ascii="Verdana" w:hAnsi="Verdana"/>
          <w:sz w:val="20"/>
        </w:rPr>
        <w:t>employ a dynamic strategy of investing in a targeted portfolio of loans and fixed-income instruments of U.S. and non-U.S. issuers and implementing hedging strategies in order to achieve attractive risk-adjusted returns</w:t>
      </w:r>
      <w:r w:rsidR="007F59DC" w:rsidRPr="00BA5A04">
        <w:rPr>
          <w:rFonts w:ascii="Verdana" w:hAnsi="Verdana"/>
          <w:sz w:val="20"/>
        </w:rPr>
        <w:t>.</w:t>
      </w:r>
      <w:r w:rsidR="00BF24E0">
        <w:rPr>
          <w:rFonts w:ascii="Verdana" w:hAnsi="Verdana"/>
          <w:sz w:val="20"/>
        </w:rPr>
        <w:t xml:space="preserve"> </w:t>
      </w:r>
      <w:r w:rsidR="009D78CF">
        <w:rPr>
          <w:rFonts w:ascii="Verdana" w:hAnsi="Verdana"/>
          <w:sz w:val="20"/>
        </w:rPr>
        <w:t xml:space="preserve"> </w:t>
      </w:r>
      <w:r w:rsidR="00BF24E0" w:rsidRPr="00BF24E0">
        <w:rPr>
          <w:rFonts w:ascii="Verdana" w:hAnsi="Verdana"/>
          <w:sz w:val="20"/>
          <w:szCs w:val="20"/>
        </w:rPr>
        <w:t>Please visit www.kkrfunds.com/kio for additional information.</w:t>
      </w:r>
    </w:p>
    <w:p w14:paraId="001891A4" w14:textId="77777777" w:rsidR="006D6D8C" w:rsidRPr="00BA5A04" w:rsidRDefault="006D6D8C" w:rsidP="00BA5A04">
      <w:pPr>
        <w:autoSpaceDE w:val="0"/>
        <w:autoSpaceDN w:val="0"/>
        <w:adjustRightInd w:val="0"/>
        <w:spacing w:after="0" w:line="240" w:lineRule="auto"/>
        <w:jc w:val="both"/>
        <w:rPr>
          <w:rFonts w:ascii="Verdana" w:hAnsi="Verdana"/>
          <w:b/>
          <w:color w:val="000000"/>
          <w:szCs w:val="23"/>
        </w:rPr>
      </w:pPr>
    </w:p>
    <w:p w14:paraId="4997E345" w14:textId="77777777" w:rsidR="005640DB" w:rsidRPr="00244C2A" w:rsidRDefault="005640DB" w:rsidP="00B33633">
      <w:pPr>
        <w:keepNext/>
        <w:autoSpaceDE w:val="0"/>
        <w:autoSpaceDN w:val="0"/>
        <w:adjustRightInd w:val="0"/>
        <w:spacing w:after="0" w:line="240" w:lineRule="auto"/>
        <w:jc w:val="both"/>
        <w:rPr>
          <w:rFonts w:ascii="Verdana" w:hAnsi="Verdana"/>
          <w:b/>
          <w:color w:val="000000"/>
          <w:szCs w:val="23"/>
        </w:rPr>
      </w:pPr>
      <w:r w:rsidRPr="00244C2A">
        <w:rPr>
          <w:rFonts w:ascii="Verdana" w:hAnsi="Verdana"/>
          <w:b/>
          <w:color w:val="000000"/>
          <w:szCs w:val="23"/>
        </w:rPr>
        <w:lastRenderedPageBreak/>
        <w:t>About KKR Credit</w:t>
      </w:r>
    </w:p>
    <w:p w14:paraId="62F6ABBA" w14:textId="77777777" w:rsidR="005640DB" w:rsidRPr="00244C2A" w:rsidRDefault="005640DB" w:rsidP="00BA5A04">
      <w:pPr>
        <w:autoSpaceDE w:val="0"/>
        <w:autoSpaceDN w:val="0"/>
        <w:adjustRightInd w:val="0"/>
        <w:spacing w:after="0" w:line="240" w:lineRule="auto"/>
        <w:jc w:val="both"/>
        <w:rPr>
          <w:rFonts w:ascii="Verdana" w:hAnsi="Verdana"/>
          <w:b/>
          <w:color w:val="000000"/>
          <w:szCs w:val="23"/>
        </w:rPr>
      </w:pPr>
    </w:p>
    <w:p w14:paraId="6B9EEAEA" w14:textId="7126F855" w:rsidR="00D566EE" w:rsidRDefault="003A44DC" w:rsidP="00BA5A04">
      <w:pPr>
        <w:autoSpaceDE w:val="0"/>
        <w:autoSpaceDN w:val="0"/>
        <w:adjustRightInd w:val="0"/>
        <w:spacing w:after="0" w:line="240" w:lineRule="auto"/>
        <w:jc w:val="both"/>
        <w:rPr>
          <w:rFonts w:ascii="Verdana" w:hAnsi="Verdana"/>
          <w:sz w:val="20"/>
        </w:rPr>
      </w:pPr>
      <w:r w:rsidRPr="003A44DC">
        <w:rPr>
          <w:rFonts w:ascii="Verdana" w:hAnsi="Verdana"/>
          <w:sz w:val="20"/>
        </w:rPr>
        <w:t xml:space="preserve">Launched by KKR in 2004, KKR Credit invests on behalf of its managed funds, clients and accounts across the corporate credit spectrum, including secured credit, bank loans and high yield securities and alternative assets such as mezzanine financing, strategic investments and structured finance. With over </w:t>
      </w:r>
      <w:r w:rsidR="00917734">
        <w:rPr>
          <w:rFonts w:ascii="Verdana" w:hAnsi="Verdana"/>
          <w:sz w:val="20"/>
        </w:rPr>
        <w:t>410 employees, including over 18</w:t>
      </w:r>
      <w:r w:rsidRPr="003A44DC">
        <w:rPr>
          <w:rFonts w:ascii="Verdana" w:hAnsi="Verdana"/>
          <w:sz w:val="20"/>
        </w:rPr>
        <w:t>0 investment professionals, KKR Credit’s investment teams are closely aligned with KKR’s wealth of private equity investment and industry resources.</w:t>
      </w:r>
    </w:p>
    <w:p w14:paraId="6A21A6D8" w14:textId="77777777" w:rsidR="003A44DC" w:rsidRPr="00244C2A" w:rsidRDefault="003A44DC" w:rsidP="00BA5A04">
      <w:pPr>
        <w:autoSpaceDE w:val="0"/>
        <w:autoSpaceDN w:val="0"/>
        <w:adjustRightInd w:val="0"/>
        <w:spacing w:after="0" w:line="240" w:lineRule="auto"/>
        <w:jc w:val="both"/>
        <w:rPr>
          <w:rFonts w:ascii="Verdana" w:hAnsi="Verdana"/>
          <w:b/>
          <w:color w:val="000000"/>
          <w:szCs w:val="23"/>
        </w:rPr>
      </w:pPr>
    </w:p>
    <w:p w14:paraId="4AA70593" w14:textId="77777777" w:rsidR="00BA5A04" w:rsidRPr="00244C2A" w:rsidRDefault="00BB4A29" w:rsidP="00BA5A04">
      <w:pPr>
        <w:autoSpaceDE w:val="0"/>
        <w:autoSpaceDN w:val="0"/>
        <w:adjustRightInd w:val="0"/>
        <w:spacing w:after="0" w:line="240" w:lineRule="auto"/>
        <w:jc w:val="both"/>
        <w:rPr>
          <w:rFonts w:ascii="Verdana" w:hAnsi="Verdana"/>
          <w:b/>
          <w:color w:val="000000"/>
          <w:szCs w:val="23"/>
        </w:rPr>
      </w:pPr>
      <w:r w:rsidRPr="00244C2A">
        <w:rPr>
          <w:rFonts w:ascii="Verdana" w:hAnsi="Verdana"/>
          <w:b/>
          <w:color w:val="000000"/>
          <w:szCs w:val="23"/>
        </w:rPr>
        <w:t>About KKR</w:t>
      </w:r>
    </w:p>
    <w:p w14:paraId="048DA7E8" w14:textId="4E4B57EF" w:rsidR="00244C2A" w:rsidRDefault="00BB4A29" w:rsidP="00244C2A">
      <w:pPr>
        <w:autoSpaceDE w:val="0"/>
        <w:autoSpaceDN w:val="0"/>
        <w:adjustRightInd w:val="0"/>
        <w:spacing w:after="0" w:line="240" w:lineRule="auto"/>
        <w:jc w:val="both"/>
        <w:rPr>
          <w:color w:val="404040"/>
        </w:rPr>
      </w:pPr>
      <w:r w:rsidRPr="002C3C4D">
        <w:rPr>
          <w:rFonts w:ascii="Verdana" w:hAnsi="Verdana"/>
          <w:b/>
          <w:color w:val="000000"/>
          <w:szCs w:val="23"/>
          <w:highlight w:val="yellow"/>
        </w:rPr>
        <w:br/>
      </w:r>
      <w:r w:rsidR="00D86A01" w:rsidRPr="00D86A01">
        <w:rPr>
          <w:rFonts w:ascii="Verdana" w:hAnsi="Verdana"/>
          <w:sz w:val="20"/>
        </w:rPr>
        <w:t>KKR is a leading global investment firm that offers alternative asset management as well as capital markets and insurance solutions. KKR aims to generate attractive investment returns by following a patient and disciplined investment approach, employing world-class people, and supporting growth in its portfolio companies and communities. KKR sponsors investment funds that invest in private equity, credit and real assets and has strategic partners that manage hedge funds. KKR’s insurance subsidiaries offer retirement, life and reinsurance products under the management of Global Atlantic Financial Group. References to KKR’s investments may include the activities of its sponsored funds and insurance subsidiaries. For additional information about KKR &amp; Co. Inc. (NYSE: KKR), please visit KKR’s website at www.kkr.com and on Twitter @</w:t>
      </w:r>
      <w:proofErr w:type="spellStart"/>
      <w:r w:rsidR="00D86A01" w:rsidRPr="00D86A01">
        <w:rPr>
          <w:rFonts w:ascii="Verdana" w:hAnsi="Verdana"/>
          <w:sz w:val="20"/>
        </w:rPr>
        <w:t>KKR_Co</w:t>
      </w:r>
      <w:proofErr w:type="spellEnd"/>
      <w:r w:rsidR="00D86A01" w:rsidRPr="00D86A01">
        <w:rPr>
          <w:rFonts w:ascii="Verdana" w:hAnsi="Verdana"/>
          <w:sz w:val="20"/>
        </w:rPr>
        <w:t>.</w:t>
      </w:r>
    </w:p>
    <w:p w14:paraId="496F180B" w14:textId="77777777" w:rsidR="00BB4A29" w:rsidRPr="00BA5A04" w:rsidRDefault="00BB4A29" w:rsidP="007A55D3">
      <w:pPr>
        <w:autoSpaceDE w:val="0"/>
        <w:autoSpaceDN w:val="0"/>
        <w:adjustRightInd w:val="0"/>
        <w:spacing w:after="0" w:line="240" w:lineRule="auto"/>
        <w:jc w:val="both"/>
        <w:rPr>
          <w:rFonts w:ascii="Verdana" w:hAnsi="Verdana"/>
          <w:b/>
          <w:color w:val="000000"/>
          <w:szCs w:val="23"/>
        </w:rPr>
      </w:pPr>
    </w:p>
    <w:p w14:paraId="45FA30A4" w14:textId="77777777" w:rsidR="00BB4A29" w:rsidRPr="00BA5A04" w:rsidRDefault="00BB4A29" w:rsidP="00BA5A04">
      <w:pPr>
        <w:jc w:val="both"/>
        <w:rPr>
          <w:rFonts w:ascii="Verdana" w:hAnsi="Verdana"/>
          <w:b/>
          <w:sz w:val="20"/>
        </w:rPr>
      </w:pPr>
      <w:r w:rsidRPr="00BA5A04">
        <w:rPr>
          <w:rFonts w:ascii="Verdana" w:hAnsi="Verdana"/>
          <w:b/>
          <w:sz w:val="20"/>
        </w:rPr>
        <w:t xml:space="preserve">Contact the Fund at (855) </w:t>
      </w:r>
      <w:r w:rsidR="00544D03" w:rsidRPr="00BA5A04">
        <w:rPr>
          <w:rFonts w:ascii="Verdana" w:hAnsi="Verdana"/>
          <w:b/>
          <w:sz w:val="20"/>
        </w:rPr>
        <w:t>330</w:t>
      </w:r>
      <w:r w:rsidRPr="00BA5A04">
        <w:rPr>
          <w:rFonts w:ascii="Verdana" w:hAnsi="Verdana"/>
          <w:b/>
          <w:sz w:val="20"/>
        </w:rPr>
        <w:t>-</w:t>
      </w:r>
      <w:r w:rsidR="00544D03" w:rsidRPr="00BA5A04">
        <w:rPr>
          <w:rFonts w:ascii="Verdana" w:hAnsi="Verdana"/>
          <w:b/>
          <w:sz w:val="20"/>
        </w:rPr>
        <w:t>3927</w:t>
      </w:r>
      <w:r w:rsidRPr="00BA5A04">
        <w:rPr>
          <w:rFonts w:ascii="Verdana" w:hAnsi="Verdana"/>
          <w:b/>
          <w:sz w:val="20"/>
        </w:rPr>
        <w:t xml:space="preserve"> or visit the Fund’s website at </w:t>
      </w:r>
      <w:r w:rsidR="00D03A7F">
        <w:rPr>
          <w:rFonts w:ascii="Verdana" w:hAnsi="Verdana"/>
          <w:b/>
          <w:sz w:val="20"/>
        </w:rPr>
        <w:t>https://</w:t>
      </w:r>
      <w:r w:rsidRPr="00BA5A04">
        <w:rPr>
          <w:rFonts w:ascii="Verdana" w:hAnsi="Verdana"/>
          <w:b/>
          <w:sz w:val="20"/>
        </w:rPr>
        <w:t xml:space="preserve">www.kkrfunds.com/kio for additional information. </w:t>
      </w:r>
    </w:p>
    <w:p w14:paraId="2A28EAD5" w14:textId="77777777" w:rsidR="00BB4A29" w:rsidRPr="00BA5A04" w:rsidRDefault="00BB4A29" w:rsidP="00BA5A04">
      <w:pPr>
        <w:autoSpaceDE w:val="0"/>
        <w:autoSpaceDN w:val="0"/>
        <w:adjustRightInd w:val="0"/>
        <w:spacing w:after="0" w:line="240" w:lineRule="auto"/>
        <w:jc w:val="both"/>
        <w:rPr>
          <w:rFonts w:ascii="Verdana" w:hAnsi="Verdana"/>
          <w:color w:val="000000"/>
          <w:szCs w:val="24"/>
        </w:rPr>
      </w:pPr>
    </w:p>
    <w:p w14:paraId="7EC5AC64" w14:textId="77777777" w:rsidR="00BB4A29" w:rsidRPr="00BA5A04" w:rsidRDefault="00BB4A29" w:rsidP="00BA5A04">
      <w:pPr>
        <w:autoSpaceDE w:val="0"/>
        <w:autoSpaceDN w:val="0"/>
        <w:adjustRightInd w:val="0"/>
        <w:spacing w:after="0" w:line="240" w:lineRule="auto"/>
        <w:jc w:val="both"/>
        <w:rPr>
          <w:rFonts w:ascii="Verdana" w:hAnsi="Verdana"/>
          <w:b/>
          <w:color w:val="000000"/>
          <w:szCs w:val="24"/>
        </w:rPr>
      </w:pPr>
      <w:r w:rsidRPr="00BA5A04">
        <w:rPr>
          <w:rFonts w:ascii="Verdana" w:hAnsi="Verdana"/>
          <w:b/>
          <w:color w:val="000000"/>
          <w:szCs w:val="24"/>
        </w:rPr>
        <w:t>Media Contacts</w:t>
      </w:r>
    </w:p>
    <w:p w14:paraId="00736F52" w14:textId="06A8EEE8" w:rsidR="00BB4A29" w:rsidRPr="00BA5A04" w:rsidRDefault="00812BE4" w:rsidP="00BA5A04">
      <w:pPr>
        <w:autoSpaceDE w:val="0"/>
        <w:autoSpaceDN w:val="0"/>
        <w:adjustRightInd w:val="0"/>
        <w:spacing w:after="0" w:line="240" w:lineRule="auto"/>
        <w:rPr>
          <w:rFonts w:ascii="Verdana" w:hAnsi="Verdana"/>
          <w:color w:val="000000"/>
          <w:szCs w:val="23"/>
        </w:rPr>
      </w:pPr>
      <w:r w:rsidRPr="00BA5A04">
        <w:rPr>
          <w:rFonts w:ascii="Verdana" w:hAnsi="Verdana"/>
          <w:color w:val="000000"/>
          <w:szCs w:val="24"/>
        </w:rPr>
        <w:t>Miles Radcliffe-Trenner</w:t>
      </w:r>
      <w:r w:rsidR="00BB4A29" w:rsidRPr="00BA5A04">
        <w:rPr>
          <w:rFonts w:ascii="Verdana" w:hAnsi="Verdana"/>
          <w:color w:val="000000"/>
          <w:szCs w:val="24"/>
        </w:rPr>
        <w:br/>
      </w:r>
      <w:r w:rsidR="00BB4A29" w:rsidRPr="00BA5A04">
        <w:rPr>
          <w:rFonts w:ascii="Verdana" w:hAnsi="Verdana"/>
          <w:color w:val="000000"/>
          <w:szCs w:val="23"/>
        </w:rPr>
        <w:t>212.</w:t>
      </w:r>
      <w:r w:rsidR="00462699" w:rsidRPr="00BA5A04">
        <w:rPr>
          <w:rFonts w:ascii="Verdana" w:hAnsi="Verdana"/>
          <w:color w:val="000000"/>
          <w:szCs w:val="23"/>
        </w:rPr>
        <w:t>750.8300</w:t>
      </w:r>
      <w:r w:rsidR="00BB4A29" w:rsidRPr="00BA5A04">
        <w:rPr>
          <w:rFonts w:ascii="Verdana" w:hAnsi="Verdana"/>
          <w:color w:val="000000"/>
          <w:szCs w:val="23"/>
        </w:rPr>
        <w:br/>
      </w:r>
      <w:r w:rsidR="00462699" w:rsidRPr="00BA5A04">
        <w:rPr>
          <w:rFonts w:ascii="Verdana" w:hAnsi="Verdana"/>
          <w:color w:val="000000"/>
          <w:szCs w:val="23"/>
        </w:rPr>
        <w:t>media</w:t>
      </w:r>
      <w:r w:rsidR="00BB4A29" w:rsidRPr="00BA5A04">
        <w:rPr>
          <w:rFonts w:ascii="Verdana" w:hAnsi="Verdana"/>
          <w:color w:val="000000"/>
          <w:szCs w:val="23"/>
        </w:rPr>
        <w:t xml:space="preserve">@kkr.com </w:t>
      </w:r>
    </w:p>
    <w:p w14:paraId="67823AFC" w14:textId="77777777" w:rsidR="00BB4A29" w:rsidRPr="00BA5A04" w:rsidRDefault="00BB4A29" w:rsidP="00BA5A04">
      <w:pPr>
        <w:jc w:val="both"/>
        <w:rPr>
          <w:rFonts w:ascii="Verdana" w:hAnsi="Verdana"/>
          <w:sz w:val="20"/>
        </w:rPr>
      </w:pPr>
    </w:p>
    <w:p w14:paraId="0A1DB71C" w14:textId="77777777" w:rsidR="00BB4A29" w:rsidRPr="00BA5A04" w:rsidRDefault="00BB4A29" w:rsidP="00BA5A04">
      <w:pPr>
        <w:pStyle w:val="Default"/>
        <w:spacing w:after="200"/>
        <w:jc w:val="both"/>
        <w:rPr>
          <w:rFonts w:ascii="Verdana" w:hAnsi="Verdana"/>
          <w:b/>
          <w:bCs/>
          <w:sz w:val="14"/>
          <w:szCs w:val="16"/>
        </w:rPr>
      </w:pPr>
      <w:r w:rsidRPr="00BA5A04">
        <w:rPr>
          <w:rFonts w:ascii="Verdana" w:hAnsi="Verdana"/>
          <w:b/>
          <w:bCs/>
          <w:sz w:val="14"/>
          <w:szCs w:val="16"/>
        </w:rPr>
        <w:t>The Fund will invest in loans and other types of fixed</w:t>
      </w:r>
      <w:r w:rsidRPr="00BA5A04">
        <w:rPr>
          <w:rFonts w:ascii="Cambria Math" w:hAnsi="Cambria Math" w:cs="Cambria Math"/>
          <w:b/>
          <w:bCs/>
          <w:sz w:val="14"/>
          <w:szCs w:val="16"/>
        </w:rPr>
        <w:t>‐</w:t>
      </w:r>
      <w:r w:rsidRPr="00BA5A04">
        <w:rPr>
          <w:rFonts w:ascii="Verdana" w:hAnsi="Verdana"/>
          <w:b/>
          <w:bCs/>
          <w:sz w:val="14"/>
          <w:szCs w:val="16"/>
        </w:rPr>
        <w:t>income instruments and securities. Such investments may be secured, partially secured or unsecured and may be unrated, and whether or not rated, may have speculative characteristics. The market price of the Fund’s investments will change in response to changes in interest rates and other factors. Generally, when interest rates rise, the values of fixed</w:t>
      </w:r>
      <w:r w:rsidRPr="00BA5A04">
        <w:rPr>
          <w:rFonts w:ascii="Cambria Math" w:hAnsi="Cambria Math" w:cs="Cambria Math"/>
          <w:b/>
          <w:bCs/>
          <w:sz w:val="14"/>
          <w:szCs w:val="16"/>
        </w:rPr>
        <w:t>‐</w:t>
      </w:r>
      <w:r w:rsidRPr="00BA5A04">
        <w:rPr>
          <w:rFonts w:ascii="Verdana" w:hAnsi="Verdana"/>
          <w:b/>
          <w:bCs/>
          <w:sz w:val="14"/>
          <w:szCs w:val="16"/>
        </w:rPr>
        <w:t xml:space="preserve">income instruments fall, and vice versa. </w:t>
      </w:r>
    </w:p>
    <w:p w14:paraId="310658C8" w14:textId="77777777" w:rsidR="00BB4A29" w:rsidRPr="00BA5A04" w:rsidRDefault="00BB4A29" w:rsidP="00BA5A04">
      <w:pPr>
        <w:pStyle w:val="Default"/>
        <w:spacing w:after="200"/>
        <w:jc w:val="both"/>
        <w:rPr>
          <w:rFonts w:ascii="Verdana" w:hAnsi="Verdana"/>
          <w:b/>
          <w:bCs/>
          <w:sz w:val="14"/>
          <w:szCs w:val="16"/>
        </w:rPr>
      </w:pPr>
      <w:r w:rsidRPr="00BA5A04">
        <w:rPr>
          <w:rFonts w:ascii="Verdana" w:hAnsi="Verdana"/>
          <w:b/>
          <w:bCs/>
          <w:sz w:val="14"/>
          <w:szCs w:val="16"/>
        </w:rPr>
        <w:t xml:space="preserve">Use of leverage creates an opportunity for increased income and return for Common Shareholders but, at the same time, creates risks, including the likelihood of greater volatility in the NAV and market price of, and distributions on, the Common Shares. In particular, leverage may magnify interest rate risk, which is the risk that the prices of portfolio securities will fall (or rise) if market interest rates for those types of securities rise (or fall). As a result, leverage may cause greater changes in the Fund’s NAV, which will be borne entirely by the Fund’s Common Shareholders. </w:t>
      </w:r>
    </w:p>
    <w:p w14:paraId="5B88BF8E" w14:textId="77777777" w:rsidR="00BB4A29" w:rsidRPr="00BA5A04" w:rsidRDefault="00BB4A29" w:rsidP="00BA5A04">
      <w:pPr>
        <w:pStyle w:val="Default"/>
        <w:spacing w:after="200"/>
        <w:jc w:val="both"/>
        <w:rPr>
          <w:rFonts w:ascii="Verdana" w:hAnsi="Verdana"/>
          <w:b/>
          <w:bCs/>
          <w:sz w:val="14"/>
          <w:szCs w:val="16"/>
        </w:rPr>
      </w:pPr>
      <w:r w:rsidRPr="00BA5A04">
        <w:rPr>
          <w:rFonts w:ascii="Verdana" w:hAnsi="Verdana"/>
          <w:b/>
          <w:bCs/>
          <w:sz w:val="14"/>
          <w:szCs w:val="16"/>
        </w:rPr>
        <w:t>Derivative investments have risks, including the imperfect correlation between the value of such instruments and the underlying assets of the Fund. The risk of loss from a short sale is unlimited because the Fund must purchase the shorted security at a higher price to complete the transaction and there is no upper limit for the security price. The use of options, swaps, and derivatives by the Fund has the potential to significantly increase the Fund’s volatility. In addition to the normal risks associated with investing, international investments may involve risk of capital loss from unfavorable fluctuation in currency values, from differences in generally accepted accounting principles or from social, economic or political instability in other nations. The Fund’s investments in securities or other instruments of non</w:t>
      </w:r>
      <w:r w:rsidRPr="00BA5A04">
        <w:rPr>
          <w:rFonts w:ascii="Cambria Math" w:hAnsi="Cambria Math" w:cs="Cambria Math"/>
          <w:b/>
          <w:bCs/>
          <w:sz w:val="14"/>
          <w:szCs w:val="16"/>
        </w:rPr>
        <w:t>‐</w:t>
      </w:r>
      <w:r w:rsidRPr="00BA5A04">
        <w:rPr>
          <w:rFonts w:ascii="Verdana" w:hAnsi="Verdana"/>
          <w:b/>
          <w:bCs/>
          <w:sz w:val="14"/>
          <w:szCs w:val="16"/>
        </w:rPr>
        <w:t>U.S. issuers or borrowers may be traded in undeveloped, inefficient and less liquid markets and may experience greater price volatility and changes in value.</w:t>
      </w:r>
    </w:p>
    <w:sectPr w:rsidR="00BB4A29" w:rsidRPr="00BA5A04" w:rsidSect="0095119E">
      <w:headerReference w:type="even" r:id="rId8"/>
      <w:headerReference w:type="default" r:id="rId9"/>
      <w:footerReference w:type="even" r:id="rId10"/>
      <w:footerReference w:type="default" r:id="rId11"/>
      <w:headerReference w:type="first" r:id="rId12"/>
      <w:footerReference w:type="first" r:id="rId13"/>
      <w:pgSz w:w="12240" w:h="15840"/>
      <w:pgMar w:top="153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FBEA1" w14:textId="77777777" w:rsidR="00611C69" w:rsidRDefault="00611C69" w:rsidP="00FA685B">
      <w:pPr>
        <w:spacing w:after="0" w:line="240" w:lineRule="auto"/>
      </w:pPr>
      <w:r>
        <w:separator/>
      </w:r>
    </w:p>
  </w:endnote>
  <w:endnote w:type="continuationSeparator" w:id="0">
    <w:p w14:paraId="1A876719" w14:textId="77777777" w:rsidR="00611C69" w:rsidRDefault="00611C69" w:rsidP="00FA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0D6A" w14:textId="77777777" w:rsidR="00453775" w:rsidRDefault="00453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627B" w14:textId="77777777" w:rsidR="00453775" w:rsidRDefault="00453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77FB" w14:textId="77777777" w:rsidR="00453775" w:rsidRDefault="00453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60FE" w14:textId="77777777" w:rsidR="00611C69" w:rsidRDefault="00611C69" w:rsidP="00FA685B">
      <w:pPr>
        <w:spacing w:after="0" w:line="240" w:lineRule="auto"/>
      </w:pPr>
      <w:r>
        <w:separator/>
      </w:r>
    </w:p>
  </w:footnote>
  <w:footnote w:type="continuationSeparator" w:id="0">
    <w:p w14:paraId="53B8056D" w14:textId="77777777" w:rsidR="00611C69" w:rsidRDefault="00611C69" w:rsidP="00FA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5420" w14:textId="77777777" w:rsidR="00453775" w:rsidRDefault="00453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C3D4" w14:textId="77777777" w:rsidR="00FA685B" w:rsidRPr="00183E7E" w:rsidRDefault="00FA685B" w:rsidP="00F50BB0">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5664" w14:textId="77777777" w:rsidR="00453775" w:rsidRDefault="00453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7E"/>
    <w:rsid w:val="000138C6"/>
    <w:rsid w:val="00014AD2"/>
    <w:rsid w:val="00017ACB"/>
    <w:rsid w:val="00020DFA"/>
    <w:rsid w:val="00022E47"/>
    <w:rsid w:val="00023679"/>
    <w:rsid w:val="00025813"/>
    <w:rsid w:val="00027759"/>
    <w:rsid w:val="00033C29"/>
    <w:rsid w:val="00036796"/>
    <w:rsid w:val="00036884"/>
    <w:rsid w:val="00037C83"/>
    <w:rsid w:val="00040452"/>
    <w:rsid w:val="00042CA6"/>
    <w:rsid w:val="00047AA0"/>
    <w:rsid w:val="00051CF6"/>
    <w:rsid w:val="000545EE"/>
    <w:rsid w:val="000810B6"/>
    <w:rsid w:val="00083DB1"/>
    <w:rsid w:val="000868D6"/>
    <w:rsid w:val="00092526"/>
    <w:rsid w:val="00094808"/>
    <w:rsid w:val="000A00BE"/>
    <w:rsid w:val="000A4867"/>
    <w:rsid w:val="000A6F71"/>
    <w:rsid w:val="000B4E2D"/>
    <w:rsid w:val="000C7632"/>
    <w:rsid w:val="000E014A"/>
    <w:rsid w:val="000E0E7A"/>
    <w:rsid w:val="000E70C6"/>
    <w:rsid w:val="000F2906"/>
    <w:rsid w:val="00127892"/>
    <w:rsid w:val="0013078D"/>
    <w:rsid w:val="0013239D"/>
    <w:rsid w:val="0013681F"/>
    <w:rsid w:val="0014094C"/>
    <w:rsid w:val="00150BD1"/>
    <w:rsid w:val="00156951"/>
    <w:rsid w:val="0018001F"/>
    <w:rsid w:val="00183E7E"/>
    <w:rsid w:val="00184DAE"/>
    <w:rsid w:val="001964FB"/>
    <w:rsid w:val="00197DFD"/>
    <w:rsid w:val="001A1F71"/>
    <w:rsid w:val="001B0057"/>
    <w:rsid w:val="001B11F7"/>
    <w:rsid w:val="001B2674"/>
    <w:rsid w:val="001B398D"/>
    <w:rsid w:val="001C2492"/>
    <w:rsid w:val="001D4797"/>
    <w:rsid w:val="001E2344"/>
    <w:rsid w:val="001F6A08"/>
    <w:rsid w:val="002042AE"/>
    <w:rsid w:val="002158D2"/>
    <w:rsid w:val="0022792E"/>
    <w:rsid w:val="00233ADF"/>
    <w:rsid w:val="00244C2A"/>
    <w:rsid w:val="0025710B"/>
    <w:rsid w:val="00270D06"/>
    <w:rsid w:val="002752ED"/>
    <w:rsid w:val="00280E79"/>
    <w:rsid w:val="00283BEC"/>
    <w:rsid w:val="002855AA"/>
    <w:rsid w:val="00287385"/>
    <w:rsid w:val="002962A3"/>
    <w:rsid w:val="002972A8"/>
    <w:rsid w:val="002A3775"/>
    <w:rsid w:val="002A41D4"/>
    <w:rsid w:val="002A4CBC"/>
    <w:rsid w:val="002A53AE"/>
    <w:rsid w:val="002B4343"/>
    <w:rsid w:val="002C1511"/>
    <w:rsid w:val="002C205B"/>
    <w:rsid w:val="002C3C4D"/>
    <w:rsid w:val="002C48D1"/>
    <w:rsid w:val="002C54DD"/>
    <w:rsid w:val="002D56B1"/>
    <w:rsid w:val="002E6295"/>
    <w:rsid w:val="002E6F36"/>
    <w:rsid w:val="002F4936"/>
    <w:rsid w:val="00300813"/>
    <w:rsid w:val="0030329D"/>
    <w:rsid w:val="00332697"/>
    <w:rsid w:val="00347E20"/>
    <w:rsid w:val="00362158"/>
    <w:rsid w:val="00366E99"/>
    <w:rsid w:val="00372BC2"/>
    <w:rsid w:val="00377C47"/>
    <w:rsid w:val="00381F31"/>
    <w:rsid w:val="00384A8F"/>
    <w:rsid w:val="00392B9C"/>
    <w:rsid w:val="0039469C"/>
    <w:rsid w:val="003979FD"/>
    <w:rsid w:val="003A44DC"/>
    <w:rsid w:val="003B10C3"/>
    <w:rsid w:val="003B200A"/>
    <w:rsid w:val="003B5F50"/>
    <w:rsid w:val="003B6D9D"/>
    <w:rsid w:val="003C09F2"/>
    <w:rsid w:val="003C5448"/>
    <w:rsid w:val="003D127B"/>
    <w:rsid w:val="003D5422"/>
    <w:rsid w:val="003E2AF2"/>
    <w:rsid w:val="003E32F4"/>
    <w:rsid w:val="003E3F05"/>
    <w:rsid w:val="003E5B5F"/>
    <w:rsid w:val="003F6897"/>
    <w:rsid w:val="004010D4"/>
    <w:rsid w:val="004034DD"/>
    <w:rsid w:val="0041190E"/>
    <w:rsid w:val="0041422B"/>
    <w:rsid w:val="00424C85"/>
    <w:rsid w:val="0043791B"/>
    <w:rsid w:val="00440EFC"/>
    <w:rsid w:val="00443F23"/>
    <w:rsid w:val="0045070D"/>
    <w:rsid w:val="00453775"/>
    <w:rsid w:val="00462699"/>
    <w:rsid w:val="0046778B"/>
    <w:rsid w:val="00470903"/>
    <w:rsid w:val="004718A1"/>
    <w:rsid w:val="00474173"/>
    <w:rsid w:val="00475B38"/>
    <w:rsid w:val="004774B6"/>
    <w:rsid w:val="00480FD1"/>
    <w:rsid w:val="00485119"/>
    <w:rsid w:val="004856C5"/>
    <w:rsid w:val="00487982"/>
    <w:rsid w:val="004A13DD"/>
    <w:rsid w:val="004A415C"/>
    <w:rsid w:val="004A55C7"/>
    <w:rsid w:val="004B643B"/>
    <w:rsid w:val="004D74C1"/>
    <w:rsid w:val="004E28F0"/>
    <w:rsid w:val="00505850"/>
    <w:rsid w:val="00505EEE"/>
    <w:rsid w:val="00521877"/>
    <w:rsid w:val="005309D3"/>
    <w:rsid w:val="00532604"/>
    <w:rsid w:val="005436F7"/>
    <w:rsid w:val="00544D03"/>
    <w:rsid w:val="0054627C"/>
    <w:rsid w:val="0054661E"/>
    <w:rsid w:val="00547EB9"/>
    <w:rsid w:val="00552120"/>
    <w:rsid w:val="00554013"/>
    <w:rsid w:val="00563ADA"/>
    <w:rsid w:val="00563D98"/>
    <w:rsid w:val="005640DB"/>
    <w:rsid w:val="00564311"/>
    <w:rsid w:val="005667E8"/>
    <w:rsid w:val="0057066F"/>
    <w:rsid w:val="00576879"/>
    <w:rsid w:val="0059006E"/>
    <w:rsid w:val="00593057"/>
    <w:rsid w:val="00595F1B"/>
    <w:rsid w:val="005A1B33"/>
    <w:rsid w:val="005A4A5E"/>
    <w:rsid w:val="005B1B0F"/>
    <w:rsid w:val="005B1BF7"/>
    <w:rsid w:val="005B2DE9"/>
    <w:rsid w:val="005E5B55"/>
    <w:rsid w:val="005F1989"/>
    <w:rsid w:val="005F41D5"/>
    <w:rsid w:val="006101DF"/>
    <w:rsid w:val="00611C69"/>
    <w:rsid w:val="0061244E"/>
    <w:rsid w:val="00612627"/>
    <w:rsid w:val="006253C6"/>
    <w:rsid w:val="00626868"/>
    <w:rsid w:val="00631D37"/>
    <w:rsid w:val="006328E0"/>
    <w:rsid w:val="0063306F"/>
    <w:rsid w:val="006409A5"/>
    <w:rsid w:val="00645B76"/>
    <w:rsid w:val="00657DC5"/>
    <w:rsid w:val="0066353F"/>
    <w:rsid w:val="006718F3"/>
    <w:rsid w:val="00672713"/>
    <w:rsid w:val="00681A47"/>
    <w:rsid w:val="00681F34"/>
    <w:rsid w:val="006957B1"/>
    <w:rsid w:val="0069677C"/>
    <w:rsid w:val="00697757"/>
    <w:rsid w:val="006A315F"/>
    <w:rsid w:val="006A711E"/>
    <w:rsid w:val="006B4DA8"/>
    <w:rsid w:val="006B60FA"/>
    <w:rsid w:val="006B6201"/>
    <w:rsid w:val="006C46CC"/>
    <w:rsid w:val="006D6D8C"/>
    <w:rsid w:val="006D71ED"/>
    <w:rsid w:val="006F5C33"/>
    <w:rsid w:val="006F66ED"/>
    <w:rsid w:val="007002BB"/>
    <w:rsid w:val="00702EC4"/>
    <w:rsid w:val="00704844"/>
    <w:rsid w:val="0072494C"/>
    <w:rsid w:val="00727D05"/>
    <w:rsid w:val="00731841"/>
    <w:rsid w:val="007406FE"/>
    <w:rsid w:val="0075478C"/>
    <w:rsid w:val="007571A5"/>
    <w:rsid w:val="00771053"/>
    <w:rsid w:val="00773958"/>
    <w:rsid w:val="0077398F"/>
    <w:rsid w:val="00775CCC"/>
    <w:rsid w:val="007768BC"/>
    <w:rsid w:val="00792EB8"/>
    <w:rsid w:val="007A2158"/>
    <w:rsid w:val="007A55D3"/>
    <w:rsid w:val="007A575F"/>
    <w:rsid w:val="007A6F5B"/>
    <w:rsid w:val="007A6FF0"/>
    <w:rsid w:val="007A775B"/>
    <w:rsid w:val="007B3541"/>
    <w:rsid w:val="007C046A"/>
    <w:rsid w:val="007C4FE6"/>
    <w:rsid w:val="007F01A5"/>
    <w:rsid w:val="007F0C2B"/>
    <w:rsid w:val="007F59DC"/>
    <w:rsid w:val="007F6E7B"/>
    <w:rsid w:val="00812BE4"/>
    <w:rsid w:val="008247B1"/>
    <w:rsid w:val="008254DB"/>
    <w:rsid w:val="00825622"/>
    <w:rsid w:val="00825C5F"/>
    <w:rsid w:val="00834EA0"/>
    <w:rsid w:val="00836C18"/>
    <w:rsid w:val="00845793"/>
    <w:rsid w:val="0085619A"/>
    <w:rsid w:val="008703A2"/>
    <w:rsid w:val="008706F3"/>
    <w:rsid w:val="0087397A"/>
    <w:rsid w:val="00895395"/>
    <w:rsid w:val="008B0E70"/>
    <w:rsid w:val="008B2996"/>
    <w:rsid w:val="008B6370"/>
    <w:rsid w:val="008B6B70"/>
    <w:rsid w:val="008C2BF2"/>
    <w:rsid w:val="008D24CB"/>
    <w:rsid w:val="008D3B9B"/>
    <w:rsid w:val="008E1274"/>
    <w:rsid w:val="008E14E0"/>
    <w:rsid w:val="008F711F"/>
    <w:rsid w:val="0090675B"/>
    <w:rsid w:val="00917734"/>
    <w:rsid w:val="00926EF3"/>
    <w:rsid w:val="00927082"/>
    <w:rsid w:val="00932806"/>
    <w:rsid w:val="00934BE8"/>
    <w:rsid w:val="00942D22"/>
    <w:rsid w:val="00945C99"/>
    <w:rsid w:val="009469E0"/>
    <w:rsid w:val="0094750A"/>
    <w:rsid w:val="009502DB"/>
    <w:rsid w:val="0095119E"/>
    <w:rsid w:val="00954E15"/>
    <w:rsid w:val="00955555"/>
    <w:rsid w:val="00955D05"/>
    <w:rsid w:val="009562DB"/>
    <w:rsid w:val="00964C19"/>
    <w:rsid w:val="009871E2"/>
    <w:rsid w:val="0098749F"/>
    <w:rsid w:val="009921EC"/>
    <w:rsid w:val="00992D97"/>
    <w:rsid w:val="00995C21"/>
    <w:rsid w:val="009A0FAD"/>
    <w:rsid w:val="009A6978"/>
    <w:rsid w:val="009A7F51"/>
    <w:rsid w:val="009B00F1"/>
    <w:rsid w:val="009B26B6"/>
    <w:rsid w:val="009B6603"/>
    <w:rsid w:val="009C54E2"/>
    <w:rsid w:val="009C7BA9"/>
    <w:rsid w:val="009D2010"/>
    <w:rsid w:val="009D78CF"/>
    <w:rsid w:val="009E2DC0"/>
    <w:rsid w:val="009E42E4"/>
    <w:rsid w:val="009E5920"/>
    <w:rsid w:val="00A04D7C"/>
    <w:rsid w:val="00A222D5"/>
    <w:rsid w:val="00A23FC6"/>
    <w:rsid w:val="00A26F96"/>
    <w:rsid w:val="00A31E1A"/>
    <w:rsid w:val="00A332C3"/>
    <w:rsid w:val="00A37CEB"/>
    <w:rsid w:val="00A51AA3"/>
    <w:rsid w:val="00A542DE"/>
    <w:rsid w:val="00A56F88"/>
    <w:rsid w:val="00A6116E"/>
    <w:rsid w:val="00A76862"/>
    <w:rsid w:val="00A819CF"/>
    <w:rsid w:val="00A85FCA"/>
    <w:rsid w:val="00A92812"/>
    <w:rsid w:val="00A97A1C"/>
    <w:rsid w:val="00AA0F58"/>
    <w:rsid w:val="00AA3EE4"/>
    <w:rsid w:val="00AA5305"/>
    <w:rsid w:val="00AA6030"/>
    <w:rsid w:val="00AB4A52"/>
    <w:rsid w:val="00AC28D7"/>
    <w:rsid w:val="00AD1E7E"/>
    <w:rsid w:val="00AD2D7B"/>
    <w:rsid w:val="00AE0F54"/>
    <w:rsid w:val="00AE30E9"/>
    <w:rsid w:val="00AE5A5F"/>
    <w:rsid w:val="00AE5B21"/>
    <w:rsid w:val="00AF23ED"/>
    <w:rsid w:val="00B241FD"/>
    <w:rsid w:val="00B26DAE"/>
    <w:rsid w:val="00B30D6D"/>
    <w:rsid w:val="00B33633"/>
    <w:rsid w:val="00B34514"/>
    <w:rsid w:val="00B40CA8"/>
    <w:rsid w:val="00B43DEB"/>
    <w:rsid w:val="00B64607"/>
    <w:rsid w:val="00B64622"/>
    <w:rsid w:val="00B70E41"/>
    <w:rsid w:val="00B75A3A"/>
    <w:rsid w:val="00B8029B"/>
    <w:rsid w:val="00B87EF3"/>
    <w:rsid w:val="00B90039"/>
    <w:rsid w:val="00B9409C"/>
    <w:rsid w:val="00B9420E"/>
    <w:rsid w:val="00B97FE1"/>
    <w:rsid w:val="00BA067A"/>
    <w:rsid w:val="00BA4179"/>
    <w:rsid w:val="00BA5A04"/>
    <w:rsid w:val="00BB4A29"/>
    <w:rsid w:val="00BB4F85"/>
    <w:rsid w:val="00BC089F"/>
    <w:rsid w:val="00BC19D9"/>
    <w:rsid w:val="00BC406F"/>
    <w:rsid w:val="00BD2C4A"/>
    <w:rsid w:val="00BE2D69"/>
    <w:rsid w:val="00BE7F84"/>
    <w:rsid w:val="00BF24E0"/>
    <w:rsid w:val="00BF3C07"/>
    <w:rsid w:val="00BF650E"/>
    <w:rsid w:val="00C04AE0"/>
    <w:rsid w:val="00C14D0F"/>
    <w:rsid w:val="00C1696F"/>
    <w:rsid w:val="00C24C0A"/>
    <w:rsid w:val="00C337B6"/>
    <w:rsid w:val="00C33D49"/>
    <w:rsid w:val="00C44BF3"/>
    <w:rsid w:val="00C51E1F"/>
    <w:rsid w:val="00C52FD3"/>
    <w:rsid w:val="00C55725"/>
    <w:rsid w:val="00C56854"/>
    <w:rsid w:val="00C61562"/>
    <w:rsid w:val="00C64398"/>
    <w:rsid w:val="00C647AB"/>
    <w:rsid w:val="00C672B4"/>
    <w:rsid w:val="00C67311"/>
    <w:rsid w:val="00C70BA3"/>
    <w:rsid w:val="00C73CED"/>
    <w:rsid w:val="00C75467"/>
    <w:rsid w:val="00C754DC"/>
    <w:rsid w:val="00C83F3A"/>
    <w:rsid w:val="00C92AE8"/>
    <w:rsid w:val="00C952D7"/>
    <w:rsid w:val="00CA5BDC"/>
    <w:rsid w:val="00CC0E30"/>
    <w:rsid w:val="00CC4B7F"/>
    <w:rsid w:val="00CC6B0C"/>
    <w:rsid w:val="00CF3A9C"/>
    <w:rsid w:val="00CF40AC"/>
    <w:rsid w:val="00D031DD"/>
    <w:rsid w:val="00D03A7F"/>
    <w:rsid w:val="00D0462C"/>
    <w:rsid w:val="00D04714"/>
    <w:rsid w:val="00D0702F"/>
    <w:rsid w:val="00D11C9B"/>
    <w:rsid w:val="00D121B0"/>
    <w:rsid w:val="00D20E75"/>
    <w:rsid w:val="00D24856"/>
    <w:rsid w:val="00D25E97"/>
    <w:rsid w:val="00D30D6E"/>
    <w:rsid w:val="00D33B4A"/>
    <w:rsid w:val="00D3773D"/>
    <w:rsid w:val="00D474A3"/>
    <w:rsid w:val="00D50E2C"/>
    <w:rsid w:val="00D53E5C"/>
    <w:rsid w:val="00D5623B"/>
    <w:rsid w:val="00D566EE"/>
    <w:rsid w:val="00D576F0"/>
    <w:rsid w:val="00D67170"/>
    <w:rsid w:val="00D7224E"/>
    <w:rsid w:val="00D73D4D"/>
    <w:rsid w:val="00D77278"/>
    <w:rsid w:val="00D77316"/>
    <w:rsid w:val="00D84DE4"/>
    <w:rsid w:val="00D86A01"/>
    <w:rsid w:val="00D95CDA"/>
    <w:rsid w:val="00D9680C"/>
    <w:rsid w:val="00DA036A"/>
    <w:rsid w:val="00DA193A"/>
    <w:rsid w:val="00DA610B"/>
    <w:rsid w:val="00DB3474"/>
    <w:rsid w:val="00DC00F6"/>
    <w:rsid w:val="00DC58C3"/>
    <w:rsid w:val="00DC63ED"/>
    <w:rsid w:val="00DD48AD"/>
    <w:rsid w:val="00DD5A0C"/>
    <w:rsid w:val="00DE2EFF"/>
    <w:rsid w:val="00DF3FF2"/>
    <w:rsid w:val="00DF42BD"/>
    <w:rsid w:val="00E01F4A"/>
    <w:rsid w:val="00E02882"/>
    <w:rsid w:val="00E02F98"/>
    <w:rsid w:val="00E05813"/>
    <w:rsid w:val="00E2045E"/>
    <w:rsid w:val="00E2085E"/>
    <w:rsid w:val="00E22610"/>
    <w:rsid w:val="00E32B57"/>
    <w:rsid w:val="00E34AFE"/>
    <w:rsid w:val="00E4033C"/>
    <w:rsid w:val="00E55BFE"/>
    <w:rsid w:val="00E57C7A"/>
    <w:rsid w:val="00E57EDB"/>
    <w:rsid w:val="00E60DCF"/>
    <w:rsid w:val="00E628E3"/>
    <w:rsid w:val="00E67D7F"/>
    <w:rsid w:val="00E71315"/>
    <w:rsid w:val="00E71919"/>
    <w:rsid w:val="00E7698D"/>
    <w:rsid w:val="00E91C4C"/>
    <w:rsid w:val="00E95789"/>
    <w:rsid w:val="00EA7037"/>
    <w:rsid w:val="00EB541D"/>
    <w:rsid w:val="00EB78EF"/>
    <w:rsid w:val="00EC201E"/>
    <w:rsid w:val="00ED3AC8"/>
    <w:rsid w:val="00EF21A9"/>
    <w:rsid w:val="00EF4DDE"/>
    <w:rsid w:val="00EF4DEA"/>
    <w:rsid w:val="00F01515"/>
    <w:rsid w:val="00F025B7"/>
    <w:rsid w:val="00F07765"/>
    <w:rsid w:val="00F108ED"/>
    <w:rsid w:val="00F359BE"/>
    <w:rsid w:val="00F41AE3"/>
    <w:rsid w:val="00F4764F"/>
    <w:rsid w:val="00F50BB0"/>
    <w:rsid w:val="00F56FBE"/>
    <w:rsid w:val="00F57088"/>
    <w:rsid w:val="00F57992"/>
    <w:rsid w:val="00F62D93"/>
    <w:rsid w:val="00F851F7"/>
    <w:rsid w:val="00F95C08"/>
    <w:rsid w:val="00F96F74"/>
    <w:rsid w:val="00FA21B0"/>
    <w:rsid w:val="00FA53EE"/>
    <w:rsid w:val="00FA685B"/>
    <w:rsid w:val="00FB06FC"/>
    <w:rsid w:val="00FB2343"/>
    <w:rsid w:val="00FD1021"/>
    <w:rsid w:val="00FE0BBE"/>
    <w:rsid w:val="00FE0BE7"/>
    <w:rsid w:val="00FF13E4"/>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8958105"/>
  <w15:docId w15:val="{6A8FB7A9-34A8-4185-8DDA-4D1213D7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2AE8"/>
    <w:rPr>
      <w:rFonts w:ascii="Tahoma" w:hAnsi="Tahoma" w:cs="Tahoma"/>
      <w:sz w:val="16"/>
      <w:szCs w:val="16"/>
    </w:rPr>
  </w:style>
  <w:style w:type="character" w:styleId="Hyperlink">
    <w:name w:val="Hyperlink"/>
    <w:basedOn w:val="DefaultParagraphFont"/>
    <w:uiPriority w:val="99"/>
    <w:rsid w:val="007A6FF0"/>
    <w:rPr>
      <w:rFonts w:cs="Times New Roman"/>
      <w:color w:val="0000FF"/>
      <w:u w:val="single"/>
    </w:rPr>
  </w:style>
  <w:style w:type="character" w:styleId="Emphasis">
    <w:name w:val="Emphasis"/>
    <w:basedOn w:val="DefaultParagraphFont"/>
    <w:uiPriority w:val="99"/>
    <w:qFormat/>
    <w:rsid w:val="00DA610B"/>
    <w:rPr>
      <w:rFonts w:cs="Times New Roman"/>
      <w:i/>
      <w:iCs/>
    </w:rPr>
  </w:style>
  <w:style w:type="character" w:styleId="CommentReference">
    <w:name w:val="annotation reference"/>
    <w:basedOn w:val="DefaultParagraphFont"/>
    <w:uiPriority w:val="99"/>
    <w:semiHidden/>
    <w:rsid w:val="00681F34"/>
    <w:rPr>
      <w:rFonts w:cs="Times New Roman"/>
      <w:sz w:val="16"/>
      <w:szCs w:val="16"/>
    </w:rPr>
  </w:style>
  <w:style w:type="paragraph" w:styleId="CommentText">
    <w:name w:val="annotation text"/>
    <w:basedOn w:val="Normal"/>
    <w:link w:val="CommentTextChar"/>
    <w:uiPriority w:val="99"/>
    <w:semiHidden/>
    <w:rsid w:val="00681F34"/>
    <w:rPr>
      <w:sz w:val="20"/>
      <w:szCs w:val="20"/>
    </w:rPr>
  </w:style>
  <w:style w:type="character" w:customStyle="1" w:styleId="CommentTextChar">
    <w:name w:val="Comment Text Char"/>
    <w:basedOn w:val="DefaultParagraphFont"/>
    <w:link w:val="CommentText"/>
    <w:uiPriority w:val="99"/>
    <w:semiHidden/>
    <w:rsid w:val="003776D3"/>
    <w:rPr>
      <w:sz w:val="20"/>
      <w:szCs w:val="20"/>
    </w:rPr>
  </w:style>
  <w:style w:type="paragraph" w:styleId="CommentSubject">
    <w:name w:val="annotation subject"/>
    <w:basedOn w:val="CommentText"/>
    <w:next w:val="CommentText"/>
    <w:link w:val="CommentSubjectChar"/>
    <w:uiPriority w:val="99"/>
    <w:semiHidden/>
    <w:rsid w:val="00681F34"/>
    <w:rPr>
      <w:b/>
      <w:bCs/>
    </w:rPr>
  </w:style>
  <w:style w:type="character" w:customStyle="1" w:styleId="CommentSubjectChar">
    <w:name w:val="Comment Subject Char"/>
    <w:basedOn w:val="CommentTextChar"/>
    <w:link w:val="CommentSubject"/>
    <w:uiPriority w:val="99"/>
    <w:semiHidden/>
    <w:rsid w:val="003776D3"/>
    <w:rPr>
      <w:b/>
      <w:bCs/>
      <w:sz w:val="20"/>
      <w:szCs w:val="20"/>
    </w:rPr>
  </w:style>
  <w:style w:type="paragraph" w:customStyle="1" w:styleId="Default">
    <w:name w:val="Default"/>
    <w:uiPriority w:val="99"/>
    <w:rsid w:val="00681F34"/>
    <w:pPr>
      <w:autoSpaceDE w:val="0"/>
      <w:autoSpaceDN w:val="0"/>
      <w:adjustRightInd w:val="0"/>
    </w:pPr>
    <w:rPr>
      <w:rFonts w:eastAsia="MS Mincho" w:cs="Calibri"/>
      <w:color w:val="000000"/>
      <w:sz w:val="24"/>
      <w:szCs w:val="24"/>
      <w:lang w:eastAsia="ja-JP"/>
    </w:rPr>
  </w:style>
  <w:style w:type="paragraph" w:styleId="Header">
    <w:name w:val="header"/>
    <w:basedOn w:val="Normal"/>
    <w:link w:val="HeaderChar"/>
    <w:uiPriority w:val="99"/>
    <w:unhideWhenUsed/>
    <w:rsid w:val="00FA6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85B"/>
  </w:style>
  <w:style w:type="paragraph" w:styleId="Footer">
    <w:name w:val="footer"/>
    <w:basedOn w:val="Normal"/>
    <w:link w:val="FooterChar"/>
    <w:uiPriority w:val="99"/>
    <w:unhideWhenUsed/>
    <w:rsid w:val="00FA6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2478">
      <w:bodyDiv w:val="1"/>
      <w:marLeft w:val="0"/>
      <w:marRight w:val="0"/>
      <w:marTop w:val="0"/>
      <w:marBottom w:val="0"/>
      <w:divBdr>
        <w:top w:val="none" w:sz="0" w:space="0" w:color="auto"/>
        <w:left w:val="none" w:sz="0" w:space="0" w:color="auto"/>
        <w:bottom w:val="none" w:sz="0" w:space="0" w:color="auto"/>
        <w:right w:val="none" w:sz="0" w:space="0" w:color="auto"/>
      </w:divBdr>
    </w:div>
    <w:div w:id="502477322">
      <w:bodyDiv w:val="1"/>
      <w:marLeft w:val="0"/>
      <w:marRight w:val="0"/>
      <w:marTop w:val="0"/>
      <w:marBottom w:val="0"/>
      <w:divBdr>
        <w:top w:val="none" w:sz="0" w:space="0" w:color="auto"/>
        <w:left w:val="none" w:sz="0" w:space="0" w:color="auto"/>
        <w:bottom w:val="none" w:sz="0" w:space="0" w:color="auto"/>
        <w:right w:val="none" w:sz="0" w:space="0" w:color="auto"/>
      </w:divBdr>
    </w:div>
    <w:div w:id="982464723">
      <w:bodyDiv w:val="1"/>
      <w:marLeft w:val="0"/>
      <w:marRight w:val="0"/>
      <w:marTop w:val="0"/>
      <w:marBottom w:val="0"/>
      <w:divBdr>
        <w:top w:val="none" w:sz="0" w:space="0" w:color="auto"/>
        <w:left w:val="none" w:sz="0" w:space="0" w:color="auto"/>
        <w:bottom w:val="none" w:sz="0" w:space="0" w:color="auto"/>
        <w:right w:val="none" w:sz="0" w:space="0" w:color="auto"/>
      </w:divBdr>
    </w:div>
    <w:div w:id="1503550232">
      <w:marLeft w:val="0"/>
      <w:marRight w:val="0"/>
      <w:marTop w:val="0"/>
      <w:marBottom w:val="0"/>
      <w:divBdr>
        <w:top w:val="none" w:sz="0" w:space="0" w:color="auto"/>
        <w:left w:val="none" w:sz="0" w:space="0" w:color="auto"/>
        <w:bottom w:val="none" w:sz="0" w:space="0" w:color="auto"/>
        <w:right w:val="none" w:sz="0" w:space="0" w:color="auto"/>
      </w:divBdr>
      <w:divsChild>
        <w:div w:id="1503550238">
          <w:marLeft w:val="0"/>
          <w:marRight w:val="0"/>
          <w:marTop w:val="0"/>
          <w:marBottom w:val="0"/>
          <w:divBdr>
            <w:top w:val="none" w:sz="0" w:space="0" w:color="auto"/>
            <w:left w:val="none" w:sz="0" w:space="0" w:color="auto"/>
            <w:bottom w:val="none" w:sz="0" w:space="0" w:color="auto"/>
            <w:right w:val="none" w:sz="0" w:space="0" w:color="auto"/>
          </w:divBdr>
          <w:divsChild>
            <w:div w:id="1503550227">
              <w:marLeft w:val="0"/>
              <w:marRight w:val="0"/>
              <w:marTop w:val="0"/>
              <w:marBottom w:val="0"/>
              <w:divBdr>
                <w:top w:val="none" w:sz="0" w:space="0" w:color="auto"/>
                <w:left w:val="none" w:sz="0" w:space="0" w:color="auto"/>
                <w:bottom w:val="none" w:sz="0" w:space="0" w:color="auto"/>
                <w:right w:val="none" w:sz="0" w:space="0" w:color="auto"/>
              </w:divBdr>
              <w:divsChild>
                <w:div w:id="1503550231">
                  <w:marLeft w:val="0"/>
                  <w:marRight w:val="0"/>
                  <w:marTop w:val="0"/>
                  <w:marBottom w:val="0"/>
                  <w:divBdr>
                    <w:top w:val="none" w:sz="0" w:space="0" w:color="auto"/>
                    <w:left w:val="none" w:sz="0" w:space="0" w:color="auto"/>
                    <w:bottom w:val="none" w:sz="0" w:space="0" w:color="auto"/>
                    <w:right w:val="none" w:sz="0" w:space="0" w:color="auto"/>
                  </w:divBdr>
                  <w:divsChild>
                    <w:div w:id="1503550240">
                      <w:marLeft w:val="0"/>
                      <w:marRight w:val="0"/>
                      <w:marTop w:val="0"/>
                      <w:marBottom w:val="0"/>
                      <w:divBdr>
                        <w:top w:val="none" w:sz="0" w:space="0" w:color="auto"/>
                        <w:left w:val="none" w:sz="0" w:space="0" w:color="auto"/>
                        <w:bottom w:val="none" w:sz="0" w:space="0" w:color="auto"/>
                        <w:right w:val="none" w:sz="0" w:space="0" w:color="auto"/>
                      </w:divBdr>
                      <w:divsChild>
                        <w:div w:id="1503550230">
                          <w:marLeft w:val="0"/>
                          <w:marRight w:val="0"/>
                          <w:marTop w:val="0"/>
                          <w:marBottom w:val="0"/>
                          <w:divBdr>
                            <w:top w:val="none" w:sz="0" w:space="0" w:color="auto"/>
                            <w:left w:val="none" w:sz="0" w:space="0" w:color="auto"/>
                            <w:bottom w:val="none" w:sz="0" w:space="0" w:color="auto"/>
                            <w:right w:val="none" w:sz="0" w:space="0" w:color="auto"/>
                          </w:divBdr>
                          <w:divsChild>
                            <w:div w:id="1503550222">
                              <w:marLeft w:val="0"/>
                              <w:marRight w:val="0"/>
                              <w:marTop w:val="0"/>
                              <w:marBottom w:val="0"/>
                              <w:divBdr>
                                <w:top w:val="none" w:sz="0" w:space="0" w:color="auto"/>
                                <w:left w:val="none" w:sz="0" w:space="0" w:color="auto"/>
                                <w:bottom w:val="none" w:sz="0" w:space="0" w:color="auto"/>
                                <w:right w:val="none" w:sz="0" w:space="0" w:color="auto"/>
                              </w:divBdr>
                              <w:divsChild>
                                <w:div w:id="1503550236">
                                  <w:marLeft w:val="0"/>
                                  <w:marRight w:val="0"/>
                                  <w:marTop w:val="0"/>
                                  <w:marBottom w:val="0"/>
                                  <w:divBdr>
                                    <w:top w:val="none" w:sz="0" w:space="0" w:color="auto"/>
                                    <w:left w:val="none" w:sz="0" w:space="0" w:color="auto"/>
                                    <w:bottom w:val="none" w:sz="0" w:space="0" w:color="auto"/>
                                    <w:right w:val="none" w:sz="0" w:space="0" w:color="auto"/>
                                  </w:divBdr>
                                  <w:divsChild>
                                    <w:div w:id="1503550233">
                                      <w:marLeft w:val="0"/>
                                      <w:marRight w:val="0"/>
                                      <w:marTop w:val="0"/>
                                      <w:marBottom w:val="0"/>
                                      <w:divBdr>
                                        <w:top w:val="none" w:sz="0" w:space="0" w:color="auto"/>
                                        <w:left w:val="none" w:sz="0" w:space="0" w:color="auto"/>
                                        <w:bottom w:val="none" w:sz="0" w:space="0" w:color="auto"/>
                                        <w:right w:val="none" w:sz="0" w:space="0" w:color="auto"/>
                                      </w:divBdr>
                                      <w:divsChild>
                                        <w:div w:id="15035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550237">
      <w:marLeft w:val="0"/>
      <w:marRight w:val="0"/>
      <w:marTop w:val="0"/>
      <w:marBottom w:val="0"/>
      <w:divBdr>
        <w:top w:val="none" w:sz="0" w:space="0" w:color="auto"/>
        <w:left w:val="none" w:sz="0" w:space="0" w:color="auto"/>
        <w:bottom w:val="none" w:sz="0" w:space="0" w:color="auto"/>
        <w:right w:val="none" w:sz="0" w:space="0" w:color="auto"/>
      </w:divBdr>
    </w:div>
    <w:div w:id="1503550241">
      <w:marLeft w:val="0"/>
      <w:marRight w:val="0"/>
      <w:marTop w:val="0"/>
      <w:marBottom w:val="0"/>
      <w:divBdr>
        <w:top w:val="none" w:sz="0" w:space="0" w:color="auto"/>
        <w:left w:val="none" w:sz="0" w:space="0" w:color="auto"/>
        <w:bottom w:val="none" w:sz="0" w:space="0" w:color="auto"/>
        <w:right w:val="none" w:sz="0" w:space="0" w:color="auto"/>
      </w:divBdr>
    </w:div>
    <w:div w:id="1503550242">
      <w:marLeft w:val="0"/>
      <w:marRight w:val="0"/>
      <w:marTop w:val="0"/>
      <w:marBottom w:val="0"/>
      <w:divBdr>
        <w:top w:val="none" w:sz="0" w:space="0" w:color="auto"/>
        <w:left w:val="none" w:sz="0" w:space="0" w:color="auto"/>
        <w:bottom w:val="none" w:sz="0" w:space="0" w:color="auto"/>
        <w:right w:val="none" w:sz="0" w:space="0" w:color="auto"/>
      </w:divBdr>
      <w:divsChild>
        <w:div w:id="1503550243">
          <w:marLeft w:val="0"/>
          <w:marRight w:val="0"/>
          <w:marTop w:val="0"/>
          <w:marBottom w:val="0"/>
          <w:divBdr>
            <w:top w:val="none" w:sz="0" w:space="0" w:color="auto"/>
            <w:left w:val="none" w:sz="0" w:space="0" w:color="auto"/>
            <w:bottom w:val="none" w:sz="0" w:space="0" w:color="auto"/>
            <w:right w:val="none" w:sz="0" w:space="0" w:color="auto"/>
          </w:divBdr>
          <w:divsChild>
            <w:div w:id="1503550226">
              <w:marLeft w:val="0"/>
              <w:marRight w:val="0"/>
              <w:marTop w:val="0"/>
              <w:marBottom w:val="0"/>
              <w:divBdr>
                <w:top w:val="none" w:sz="0" w:space="0" w:color="auto"/>
                <w:left w:val="none" w:sz="0" w:space="0" w:color="auto"/>
                <w:bottom w:val="none" w:sz="0" w:space="0" w:color="auto"/>
                <w:right w:val="none" w:sz="0" w:space="0" w:color="auto"/>
              </w:divBdr>
              <w:divsChild>
                <w:div w:id="1503550225">
                  <w:marLeft w:val="0"/>
                  <w:marRight w:val="0"/>
                  <w:marTop w:val="0"/>
                  <w:marBottom w:val="0"/>
                  <w:divBdr>
                    <w:top w:val="none" w:sz="0" w:space="0" w:color="auto"/>
                    <w:left w:val="none" w:sz="0" w:space="0" w:color="auto"/>
                    <w:bottom w:val="none" w:sz="0" w:space="0" w:color="auto"/>
                    <w:right w:val="none" w:sz="0" w:space="0" w:color="auto"/>
                  </w:divBdr>
                  <w:divsChild>
                    <w:div w:id="1503550239">
                      <w:marLeft w:val="0"/>
                      <w:marRight w:val="0"/>
                      <w:marTop w:val="0"/>
                      <w:marBottom w:val="0"/>
                      <w:divBdr>
                        <w:top w:val="none" w:sz="0" w:space="0" w:color="auto"/>
                        <w:left w:val="none" w:sz="0" w:space="0" w:color="auto"/>
                        <w:bottom w:val="none" w:sz="0" w:space="0" w:color="auto"/>
                        <w:right w:val="none" w:sz="0" w:space="0" w:color="auto"/>
                      </w:divBdr>
                      <w:divsChild>
                        <w:div w:id="1503550235">
                          <w:marLeft w:val="0"/>
                          <w:marRight w:val="0"/>
                          <w:marTop w:val="0"/>
                          <w:marBottom w:val="0"/>
                          <w:divBdr>
                            <w:top w:val="none" w:sz="0" w:space="0" w:color="auto"/>
                            <w:left w:val="none" w:sz="0" w:space="0" w:color="auto"/>
                            <w:bottom w:val="none" w:sz="0" w:space="0" w:color="auto"/>
                            <w:right w:val="none" w:sz="0" w:space="0" w:color="auto"/>
                          </w:divBdr>
                          <w:divsChild>
                            <w:div w:id="1503550228">
                              <w:marLeft w:val="0"/>
                              <w:marRight w:val="0"/>
                              <w:marTop w:val="0"/>
                              <w:marBottom w:val="0"/>
                              <w:divBdr>
                                <w:top w:val="none" w:sz="0" w:space="0" w:color="auto"/>
                                <w:left w:val="none" w:sz="0" w:space="0" w:color="auto"/>
                                <w:bottom w:val="none" w:sz="0" w:space="0" w:color="auto"/>
                                <w:right w:val="none" w:sz="0" w:space="0" w:color="auto"/>
                              </w:divBdr>
                              <w:divsChild>
                                <w:div w:id="1503550224">
                                  <w:marLeft w:val="0"/>
                                  <w:marRight w:val="0"/>
                                  <w:marTop w:val="0"/>
                                  <w:marBottom w:val="0"/>
                                  <w:divBdr>
                                    <w:top w:val="none" w:sz="0" w:space="0" w:color="auto"/>
                                    <w:left w:val="none" w:sz="0" w:space="0" w:color="auto"/>
                                    <w:bottom w:val="none" w:sz="0" w:space="0" w:color="auto"/>
                                    <w:right w:val="none" w:sz="0" w:space="0" w:color="auto"/>
                                  </w:divBdr>
                                  <w:divsChild>
                                    <w:div w:id="1503550229">
                                      <w:marLeft w:val="0"/>
                                      <w:marRight w:val="0"/>
                                      <w:marTop w:val="0"/>
                                      <w:marBottom w:val="0"/>
                                      <w:divBdr>
                                        <w:top w:val="none" w:sz="0" w:space="0" w:color="auto"/>
                                        <w:left w:val="none" w:sz="0" w:space="0" w:color="auto"/>
                                        <w:bottom w:val="none" w:sz="0" w:space="0" w:color="auto"/>
                                        <w:right w:val="none" w:sz="0" w:space="0" w:color="auto"/>
                                      </w:divBdr>
                                      <w:divsChild>
                                        <w:div w:id="15035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E051-8E46-449E-8BA6-AC5CA5E6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1375</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KKR &amp; Co Ltd</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hullk</dc:creator>
  <cp:lastModifiedBy>Robin Chafetz</cp:lastModifiedBy>
  <cp:revision>2</cp:revision>
  <cp:lastPrinted>2017-05-03T14:51:00Z</cp:lastPrinted>
  <dcterms:created xsi:type="dcterms:W3CDTF">2022-10-24T17:54:00Z</dcterms:created>
  <dcterms:modified xsi:type="dcterms:W3CDTF">2022-10-24T17:54:00Z</dcterms:modified>
</cp:coreProperties>
</file>