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94CF04" w14:textId="66A222B3" w:rsidR="00882B5E" w:rsidRDefault="0043097A" w:rsidP="001A5142">
      <w:pPr>
        <w:spacing w:after="0" w:line="240" w:lineRule="auto"/>
        <w:rPr>
          <w:lang w:val="es-MX"/>
        </w:rPr>
      </w:pPr>
      <w:r>
        <w:rPr>
          <w:lang w:val="es-MX"/>
        </w:rPr>
        <w:t xml:space="preserve">Lima, </w:t>
      </w:r>
      <w:r w:rsidR="00207C16">
        <w:rPr>
          <w:lang w:val="es-MX"/>
        </w:rPr>
        <w:t>21</w:t>
      </w:r>
      <w:r>
        <w:rPr>
          <w:lang w:val="es-MX"/>
        </w:rPr>
        <w:t xml:space="preserve"> de mayo de 2024</w:t>
      </w:r>
    </w:p>
    <w:p w14:paraId="4BB900BC" w14:textId="77777777" w:rsidR="000E3644" w:rsidRDefault="000E3644" w:rsidP="001A5142">
      <w:pPr>
        <w:spacing w:after="0" w:line="240" w:lineRule="auto"/>
        <w:rPr>
          <w:lang w:val="es-MX"/>
        </w:rPr>
      </w:pPr>
    </w:p>
    <w:p w14:paraId="355E9834" w14:textId="13DACB61" w:rsidR="0043097A" w:rsidRDefault="0043097A" w:rsidP="001A5142">
      <w:pPr>
        <w:spacing w:after="0" w:line="240" w:lineRule="auto"/>
        <w:rPr>
          <w:lang w:val="es-MX"/>
        </w:rPr>
      </w:pPr>
      <w:r>
        <w:rPr>
          <w:lang w:val="es-MX"/>
        </w:rPr>
        <w:t>Señores</w:t>
      </w:r>
    </w:p>
    <w:p w14:paraId="39A116FA" w14:textId="325C53C8" w:rsidR="0043097A" w:rsidRPr="000E3644" w:rsidRDefault="0043097A" w:rsidP="001A5142">
      <w:pPr>
        <w:spacing w:after="0" w:line="240" w:lineRule="auto"/>
        <w:rPr>
          <w:b/>
          <w:bCs/>
          <w:lang w:val="es-MX"/>
        </w:rPr>
      </w:pPr>
      <w:r w:rsidRPr="000E3644">
        <w:rPr>
          <w:b/>
          <w:bCs/>
          <w:lang w:val="es-MX"/>
        </w:rPr>
        <w:t>Superintendencia del Mercado de Valores</w:t>
      </w:r>
    </w:p>
    <w:p w14:paraId="742E5F5C" w14:textId="75648E43" w:rsidR="0043097A" w:rsidRDefault="000E3644" w:rsidP="001A5142">
      <w:pPr>
        <w:spacing w:after="0" w:line="240" w:lineRule="auto"/>
        <w:rPr>
          <w:lang w:val="es-MX"/>
        </w:rPr>
      </w:pPr>
      <w:r w:rsidRPr="000E3644">
        <w:rPr>
          <w:u w:val="single"/>
          <w:lang w:val="es-MX"/>
        </w:rPr>
        <w:t>Presente</w:t>
      </w:r>
      <w:r>
        <w:rPr>
          <w:lang w:val="es-MX"/>
        </w:rPr>
        <w:t>. -</w:t>
      </w:r>
    </w:p>
    <w:p w14:paraId="18DF013C" w14:textId="77777777" w:rsidR="000E3644" w:rsidRDefault="000E3644" w:rsidP="001A5142">
      <w:pPr>
        <w:spacing w:after="0" w:line="240" w:lineRule="auto"/>
        <w:rPr>
          <w:lang w:val="es-MX"/>
        </w:rPr>
      </w:pPr>
    </w:p>
    <w:p w14:paraId="246133DF" w14:textId="135E047E" w:rsidR="0043097A" w:rsidRDefault="00C23DAF" w:rsidP="001A5142">
      <w:pPr>
        <w:spacing w:after="0" w:line="240" w:lineRule="auto"/>
        <w:rPr>
          <w:lang w:val="es-MX"/>
        </w:rPr>
      </w:pPr>
      <w:r>
        <w:rPr>
          <w:lang w:val="es-MX"/>
        </w:rPr>
        <w:t xml:space="preserve">Atención: </w:t>
      </w:r>
      <w:r>
        <w:rPr>
          <w:lang w:val="es-MX"/>
        </w:rPr>
        <w:tab/>
        <w:t>Registro</w:t>
      </w:r>
      <w:r w:rsidR="00AD2A60">
        <w:rPr>
          <w:lang w:val="es-MX"/>
        </w:rPr>
        <w:t xml:space="preserve"> Público</w:t>
      </w:r>
    </w:p>
    <w:p w14:paraId="1618CDD3" w14:textId="77777777" w:rsidR="000E3644" w:rsidRDefault="000E3644" w:rsidP="001A5142">
      <w:pPr>
        <w:spacing w:after="0" w:line="240" w:lineRule="auto"/>
        <w:rPr>
          <w:lang w:val="es-MX"/>
        </w:rPr>
      </w:pPr>
    </w:p>
    <w:p w14:paraId="012637AE" w14:textId="3E3F1BC3" w:rsidR="00AD2A60" w:rsidRDefault="000A3424" w:rsidP="001A5142">
      <w:pPr>
        <w:spacing w:after="0" w:line="240" w:lineRule="auto"/>
        <w:rPr>
          <w:lang w:val="es-MX"/>
        </w:rPr>
      </w:pPr>
      <w:r>
        <w:rPr>
          <w:lang w:val="es-MX"/>
        </w:rPr>
        <w:t xml:space="preserve">Referencia: </w:t>
      </w:r>
      <w:r>
        <w:rPr>
          <w:lang w:val="es-MX"/>
        </w:rPr>
        <w:tab/>
        <w:t xml:space="preserve">Regularización </w:t>
      </w:r>
    </w:p>
    <w:p w14:paraId="5C8D6AFB" w14:textId="24FB34AF" w:rsidR="001A5142" w:rsidRDefault="001A5142" w:rsidP="001A5142">
      <w:pPr>
        <w:spacing w:after="0" w:line="240" w:lineRule="auto"/>
        <w:rPr>
          <w:lang w:val="es-MX"/>
        </w:rPr>
      </w:pPr>
      <w:r>
        <w:rPr>
          <w:lang w:val="es-MX"/>
        </w:rPr>
        <w:tab/>
      </w:r>
      <w:r>
        <w:rPr>
          <w:lang w:val="es-MX"/>
        </w:rPr>
        <w:tab/>
        <w:t>Expediente No. 2024</w:t>
      </w:r>
      <w:r w:rsidR="001B290A">
        <w:rPr>
          <w:lang w:val="es-MX"/>
        </w:rPr>
        <w:t>019121</w:t>
      </w:r>
    </w:p>
    <w:p w14:paraId="7991BECE" w14:textId="77777777" w:rsidR="0008508E" w:rsidRDefault="0008508E" w:rsidP="001A5142">
      <w:pPr>
        <w:spacing w:after="0" w:line="240" w:lineRule="auto"/>
        <w:rPr>
          <w:lang w:val="es-MX"/>
        </w:rPr>
      </w:pPr>
    </w:p>
    <w:p w14:paraId="4D423191" w14:textId="77777777" w:rsidR="0008508E" w:rsidRDefault="0008508E" w:rsidP="001A5142">
      <w:pPr>
        <w:spacing w:after="0" w:line="240" w:lineRule="auto"/>
        <w:rPr>
          <w:lang w:val="es-MX"/>
        </w:rPr>
      </w:pPr>
    </w:p>
    <w:p w14:paraId="2FFBA90C" w14:textId="220AC19D" w:rsidR="0008508E" w:rsidRDefault="0008508E" w:rsidP="001A5142">
      <w:pPr>
        <w:spacing w:after="0" w:line="240" w:lineRule="auto"/>
        <w:rPr>
          <w:lang w:val="es-MX"/>
        </w:rPr>
      </w:pPr>
      <w:r>
        <w:rPr>
          <w:lang w:val="es-MX"/>
        </w:rPr>
        <w:t>Estimados señores:</w:t>
      </w:r>
    </w:p>
    <w:p w14:paraId="038BDA7B" w14:textId="77777777" w:rsidR="0008508E" w:rsidRDefault="0008508E" w:rsidP="001A5142">
      <w:pPr>
        <w:spacing w:after="0" w:line="240" w:lineRule="auto"/>
        <w:rPr>
          <w:lang w:val="es-MX"/>
        </w:rPr>
      </w:pPr>
    </w:p>
    <w:p w14:paraId="409C382F" w14:textId="54274FC9" w:rsidR="0008508E" w:rsidRDefault="0008508E" w:rsidP="00790498">
      <w:pPr>
        <w:spacing w:after="0" w:line="240" w:lineRule="auto"/>
        <w:jc w:val="both"/>
        <w:rPr>
          <w:lang w:val="es-MX"/>
        </w:rPr>
      </w:pPr>
      <w:r>
        <w:rPr>
          <w:lang w:val="es-MX"/>
        </w:rPr>
        <w:t>Por</w:t>
      </w:r>
      <w:r w:rsidR="00380710">
        <w:rPr>
          <w:lang w:val="es-MX"/>
        </w:rPr>
        <w:t xml:space="preserve"> medio de la presente, nos dirigimos a ustedes </w:t>
      </w:r>
      <w:r w:rsidR="005B0877">
        <w:rPr>
          <w:lang w:val="es-MX"/>
        </w:rPr>
        <w:t>en atención al expediente de la referencia por medio de</w:t>
      </w:r>
      <w:r w:rsidR="00790498">
        <w:rPr>
          <w:lang w:val="es-MX"/>
        </w:rPr>
        <w:t xml:space="preserve"> </w:t>
      </w:r>
      <w:r w:rsidR="005B0877">
        <w:rPr>
          <w:lang w:val="es-MX"/>
        </w:rPr>
        <w:t>la</w:t>
      </w:r>
      <w:r w:rsidR="00790498">
        <w:rPr>
          <w:lang w:val="es-MX"/>
        </w:rPr>
        <w:t xml:space="preserve"> </w:t>
      </w:r>
      <w:r w:rsidR="005B0877">
        <w:rPr>
          <w:lang w:val="es-MX"/>
        </w:rPr>
        <w:t xml:space="preserve">cual </w:t>
      </w:r>
      <w:r w:rsidR="00790498">
        <w:rPr>
          <w:lang w:val="es-MX"/>
        </w:rPr>
        <w:t xml:space="preserve">presentamos los estados financieros individuales intermedios al </w:t>
      </w:r>
      <w:r w:rsidR="007F6155">
        <w:rPr>
          <w:lang w:val="es-MX"/>
        </w:rPr>
        <w:t>30 de marzo de 2024.</w:t>
      </w:r>
    </w:p>
    <w:p w14:paraId="6705C359" w14:textId="77777777" w:rsidR="007F6155" w:rsidRDefault="007F6155" w:rsidP="00790498">
      <w:pPr>
        <w:spacing w:after="0" w:line="240" w:lineRule="auto"/>
        <w:jc w:val="both"/>
        <w:rPr>
          <w:lang w:val="es-MX"/>
        </w:rPr>
      </w:pPr>
    </w:p>
    <w:p w14:paraId="787EC84B" w14:textId="65382DFD" w:rsidR="007F6155" w:rsidRDefault="007F6155" w:rsidP="00790498">
      <w:pPr>
        <w:spacing w:after="0" w:line="240" w:lineRule="auto"/>
        <w:jc w:val="both"/>
        <w:rPr>
          <w:lang w:val="es-MX"/>
        </w:rPr>
      </w:pPr>
      <w:r>
        <w:rPr>
          <w:lang w:val="es-MX"/>
        </w:rPr>
        <w:t xml:space="preserve">Sobre el particular, </w:t>
      </w:r>
      <w:r w:rsidR="005F7121">
        <w:rPr>
          <w:lang w:val="es-MX"/>
        </w:rPr>
        <w:t xml:space="preserve">cumplimos con remitir -vía regularización- una nueva versión </w:t>
      </w:r>
      <w:r w:rsidR="00D46673">
        <w:rPr>
          <w:lang w:val="es-MX"/>
        </w:rPr>
        <w:t>de</w:t>
      </w:r>
      <w:r w:rsidR="005556E2">
        <w:rPr>
          <w:lang w:val="es-MX"/>
        </w:rPr>
        <w:t xml:space="preserve"> los estados financieros antes señalados </w:t>
      </w:r>
      <w:r w:rsidR="00450D0B">
        <w:rPr>
          <w:lang w:val="es-MX"/>
        </w:rPr>
        <w:t>debido a que</w:t>
      </w:r>
      <w:r w:rsidR="009274ED">
        <w:rPr>
          <w:lang w:val="es-MX"/>
        </w:rPr>
        <w:t xml:space="preserve"> se</w:t>
      </w:r>
      <w:r w:rsidR="00450D0B">
        <w:rPr>
          <w:lang w:val="es-MX"/>
        </w:rPr>
        <w:t xml:space="preserve"> ha corregido</w:t>
      </w:r>
      <w:r w:rsidR="001428D3">
        <w:rPr>
          <w:lang w:val="es-MX"/>
        </w:rPr>
        <w:t xml:space="preserve"> </w:t>
      </w:r>
      <w:r w:rsidR="008F274A">
        <w:rPr>
          <w:lang w:val="es-MX"/>
        </w:rPr>
        <w:t xml:space="preserve">tanto en el </w:t>
      </w:r>
      <w:r w:rsidR="008F274A" w:rsidRPr="001615C6">
        <w:rPr>
          <w:lang w:val="es-MX"/>
        </w:rPr>
        <w:t>Estado de Situación</w:t>
      </w:r>
      <w:r w:rsidR="008F274A">
        <w:rPr>
          <w:lang w:val="es-MX"/>
        </w:rPr>
        <w:t xml:space="preserve"> como en las </w:t>
      </w:r>
      <w:r w:rsidR="00D26FF7">
        <w:rPr>
          <w:lang w:val="es-MX"/>
        </w:rPr>
        <w:t>N</w:t>
      </w:r>
      <w:r w:rsidR="008F274A">
        <w:rPr>
          <w:lang w:val="es-MX"/>
        </w:rPr>
        <w:t xml:space="preserve">otas </w:t>
      </w:r>
      <w:r w:rsidR="00D26FF7">
        <w:rPr>
          <w:lang w:val="es-MX"/>
        </w:rPr>
        <w:t>a los Estados Financieros Separados</w:t>
      </w:r>
      <w:r w:rsidR="008F274A">
        <w:rPr>
          <w:lang w:val="es-MX"/>
        </w:rPr>
        <w:t xml:space="preserve">, </w:t>
      </w:r>
      <w:r w:rsidR="001428D3">
        <w:rPr>
          <w:lang w:val="es-MX"/>
        </w:rPr>
        <w:t>lo siguiente:</w:t>
      </w:r>
    </w:p>
    <w:p w14:paraId="1BF176FB" w14:textId="77777777" w:rsidR="001428D3" w:rsidRDefault="001428D3" w:rsidP="00790498">
      <w:pPr>
        <w:spacing w:after="0" w:line="240" w:lineRule="auto"/>
        <w:jc w:val="both"/>
        <w:rPr>
          <w:lang w:val="es-MX"/>
        </w:rPr>
      </w:pPr>
    </w:p>
    <w:p w14:paraId="361197C3" w14:textId="07C223DD" w:rsidR="001428D3" w:rsidRPr="001D5A56" w:rsidRDefault="001D5A56" w:rsidP="001D5A56">
      <w:pPr>
        <w:pStyle w:val="Prrafodelista"/>
        <w:numPr>
          <w:ilvl w:val="0"/>
          <w:numId w:val="1"/>
        </w:numPr>
        <w:spacing w:after="0" w:line="240" w:lineRule="auto"/>
        <w:ind w:left="567" w:hanging="567"/>
        <w:jc w:val="both"/>
        <w:rPr>
          <w:lang w:val="es-MX"/>
        </w:rPr>
      </w:pPr>
      <w:r>
        <w:rPr>
          <w:lang w:val="es-MX"/>
        </w:rPr>
        <w:t>En el Estado de Situación, d</w:t>
      </w:r>
      <w:r w:rsidR="00DB0392" w:rsidRPr="001D5A56">
        <w:rPr>
          <w:lang w:val="es-MX"/>
        </w:rPr>
        <w:t>onde dice:</w:t>
      </w:r>
    </w:p>
    <w:p w14:paraId="6728D013" w14:textId="77777777" w:rsidR="004E77BA" w:rsidRDefault="004E77BA" w:rsidP="00790498">
      <w:pPr>
        <w:spacing w:after="0" w:line="240" w:lineRule="auto"/>
        <w:jc w:val="both"/>
        <w:rPr>
          <w:lang w:val="es-MX"/>
        </w:rPr>
      </w:pPr>
    </w:p>
    <w:p w14:paraId="47D0C235" w14:textId="39FB883E" w:rsidR="00C9430E" w:rsidRDefault="00697771" w:rsidP="001D5A56">
      <w:pPr>
        <w:spacing w:after="0" w:line="240" w:lineRule="auto"/>
        <w:ind w:firstLine="567"/>
        <w:jc w:val="both"/>
        <w:rPr>
          <w:lang w:val="es-MX"/>
        </w:rPr>
      </w:pPr>
      <w:r>
        <w:rPr>
          <w:lang w:val="es-MX"/>
        </w:rPr>
        <w:t>“</w:t>
      </w:r>
      <w:r w:rsidR="00C9430E">
        <w:rPr>
          <w:lang w:val="es-MX"/>
        </w:rPr>
        <w:t>Patrimonio</w:t>
      </w:r>
      <w:r w:rsidR="00F74712">
        <w:rPr>
          <w:lang w:val="es-MX"/>
        </w:rPr>
        <w:tab/>
      </w:r>
      <w:r w:rsidR="00F74712">
        <w:rPr>
          <w:lang w:val="es-MX"/>
        </w:rPr>
        <w:tab/>
      </w:r>
      <w:r w:rsidR="00F74712">
        <w:rPr>
          <w:lang w:val="es-MX"/>
        </w:rPr>
        <w:tab/>
      </w:r>
      <w:r w:rsidR="00F74712">
        <w:rPr>
          <w:lang w:val="es-MX"/>
        </w:rPr>
        <w:tab/>
      </w:r>
      <w:r w:rsidR="006A0038">
        <w:rPr>
          <w:lang w:val="es-MX"/>
        </w:rPr>
        <w:t xml:space="preserve">31 de marzo de </w:t>
      </w:r>
      <w:r w:rsidR="006A0038" w:rsidRPr="0081759E">
        <w:rPr>
          <w:lang w:val="es-MX"/>
        </w:rPr>
        <w:t>202</w:t>
      </w:r>
      <w:r w:rsidR="006A0038">
        <w:rPr>
          <w:lang w:val="es-MX"/>
        </w:rPr>
        <w:t>4</w:t>
      </w:r>
    </w:p>
    <w:p w14:paraId="1668533D" w14:textId="1B3DF831" w:rsidR="004E77BA" w:rsidRDefault="00C9430E" w:rsidP="001D5A56">
      <w:pPr>
        <w:spacing w:after="0" w:line="240" w:lineRule="auto"/>
        <w:ind w:firstLine="567"/>
        <w:jc w:val="both"/>
        <w:rPr>
          <w:lang w:val="es-MX"/>
        </w:rPr>
      </w:pPr>
      <w:r>
        <w:rPr>
          <w:lang w:val="es-MX"/>
        </w:rPr>
        <w:t xml:space="preserve">  </w:t>
      </w:r>
      <w:r>
        <w:rPr>
          <w:lang w:val="es-MX"/>
        </w:rPr>
        <w:tab/>
      </w:r>
      <w:r w:rsidR="00697771">
        <w:rPr>
          <w:lang w:val="es-MX"/>
        </w:rPr>
        <w:t xml:space="preserve">Capital </w:t>
      </w:r>
      <w:r>
        <w:rPr>
          <w:lang w:val="es-MX"/>
        </w:rPr>
        <w:t>Emitido</w:t>
      </w:r>
      <w:r w:rsidR="00F74712">
        <w:rPr>
          <w:lang w:val="es-MX"/>
        </w:rPr>
        <w:tab/>
      </w:r>
      <w:r w:rsidR="00F74712">
        <w:rPr>
          <w:lang w:val="es-MX"/>
        </w:rPr>
        <w:tab/>
      </w:r>
      <w:r w:rsidR="00F74712">
        <w:rPr>
          <w:lang w:val="es-MX"/>
        </w:rPr>
        <w:tab/>
        <w:t>65,</w:t>
      </w:r>
      <w:r w:rsidR="001349F0">
        <w:rPr>
          <w:lang w:val="es-MX"/>
        </w:rPr>
        <w:t>293”</w:t>
      </w:r>
    </w:p>
    <w:p w14:paraId="19F187BD" w14:textId="77777777" w:rsidR="001349F0" w:rsidRDefault="001349F0" w:rsidP="001D5A56">
      <w:pPr>
        <w:spacing w:after="0" w:line="240" w:lineRule="auto"/>
        <w:ind w:firstLine="567"/>
        <w:jc w:val="both"/>
        <w:rPr>
          <w:lang w:val="es-MX"/>
        </w:rPr>
      </w:pPr>
    </w:p>
    <w:p w14:paraId="7AEE5D92" w14:textId="341F8364" w:rsidR="001349F0" w:rsidRDefault="001349F0" w:rsidP="001D5A56">
      <w:pPr>
        <w:spacing w:after="0" w:line="240" w:lineRule="auto"/>
        <w:ind w:firstLine="567"/>
        <w:jc w:val="both"/>
        <w:rPr>
          <w:lang w:val="es-MX"/>
        </w:rPr>
      </w:pPr>
      <w:r>
        <w:rPr>
          <w:lang w:val="es-MX"/>
        </w:rPr>
        <w:t>Debe decir:</w:t>
      </w:r>
    </w:p>
    <w:p w14:paraId="3760DACD" w14:textId="77777777" w:rsidR="00367EE5" w:rsidRDefault="00367EE5" w:rsidP="00790498">
      <w:pPr>
        <w:spacing w:after="0" w:line="240" w:lineRule="auto"/>
        <w:jc w:val="both"/>
        <w:rPr>
          <w:lang w:val="es-MX"/>
        </w:rPr>
      </w:pPr>
    </w:p>
    <w:p w14:paraId="0EF316DD" w14:textId="0A63532A" w:rsidR="00367EE5" w:rsidRDefault="00367EE5" w:rsidP="00367EE5">
      <w:pPr>
        <w:spacing w:after="0" w:line="240" w:lineRule="auto"/>
        <w:ind w:firstLine="567"/>
        <w:jc w:val="both"/>
        <w:rPr>
          <w:lang w:val="es-MX"/>
        </w:rPr>
      </w:pPr>
      <w:r>
        <w:rPr>
          <w:lang w:val="es-MX"/>
        </w:rPr>
        <w:t>“Patrimonio</w:t>
      </w:r>
      <w:r>
        <w:rPr>
          <w:lang w:val="es-MX"/>
        </w:rPr>
        <w:tab/>
      </w:r>
      <w:r>
        <w:rPr>
          <w:lang w:val="es-MX"/>
        </w:rPr>
        <w:tab/>
      </w:r>
      <w:r>
        <w:rPr>
          <w:lang w:val="es-MX"/>
        </w:rPr>
        <w:tab/>
      </w:r>
      <w:r>
        <w:rPr>
          <w:lang w:val="es-MX"/>
        </w:rPr>
        <w:tab/>
      </w:r>
      <w:r w:rsidR="006A0038">
        <w:rPr>
          <w:lang w:val="es-MX"/>
        </w:rPr>
        <w:t xml:space="preserve">31 de marzo de </w:t>
      </w:r>
      <w:r w:rsidR="006A0038" w:rsidRPr="0081759E">
        <w:rPr>
          <w:lang w:val="es-MX"/>
        </w:rPr>
        <w:t>202</w:t>
      </w:r>
      <w:r w:rsidR="006A0038">
        <w:rPr>
          <w:lang w:val="es-MX"/>
        </w:rPr>
        <w:t>4</w:t>
      </w:r>
    </w:p>
    <w:p w14:paraId="688B171F" w14:textId="77777777" w:rsidR="00FC2121" w:rsidRDefault="00367EE5" w:rsidP="00367EE5">
      <w:pPr>
        <w:tabs>
          <w:tab w:val="left" w:pos="567"/>
        </w:tabs>
        <w:spacing w:after="0" w:line="240" w:lineRule="auto"/>
        <w:jc w:val="both"/>
        <w:rPr>
          <w:lang w:val="es-MX"/>
        </w:rPr>
      </w:pPr>
      <w:r>
        <w:rPr>
          <w:lang w:val="es-MX"/>
        </w:rPr>
        <w:t xml:space="preserve">  </w:t>
      </w:r>
      <w:r>
        <w:rPr>
          <w:lang w:val="es-MX"/>
        </w:rPr>
        <w:tab/>
      </w:r>
      <w:r w:rsidR="00FC2121">
        <w:rPr>
          <w:lang w:val="es-MX"/>
        </w:rPr>
        <w:tab/>
      </w:r>
      <w:r>
        <w:rPr>
          <w:lang w:val="es-MX"/>
        </w:rPr>
        <w:t>Capital Emitido</w:t>
      </w:r>
      <w:r>
        <w:rPr>
          <w:lang w:val="es-MX"/>
        </w:rPr>
        <w:tab/>
      </w:r>
      <w:r>
        <w:rPr>
          <w:lang w:val="es-MX"/>
        </w:rPr>
        <w:tab/>
      </w:r>
      <w:r>
        <w:rPr>
          <w:lang w:val="es-MX"/>
        </w:rPr>
        <w:tab/>
        <w:t>6</w:t>
      </w:r>
      <w:r w:rsidR="00FC2121">
        <w:rPr>
          <w:lang w:val="es-MX"/>
        </w:rPr>
        <w:t>2</w:t>
      </w:r>
      <w:r>
        <w:rPr>
          <w:lang w:val="es-MX"/>
        </w:rPr>
        <w:t>,</w:t>
      </w:r>
      <w:r w:rsidR="00FC2121">
        <w:rPr>
          <w:lang w:val="es-MX"/>
        </w:rPr>
        <w:t>792</w:t>
      </w:r>
    </w:p>
    <w:p w14:paraId="46BB5246" w14:textId="68457918" w:rsidR="008F274A" w:rsidRDefault="00FC2121" w:rsidP="00367EE5">
      <w:pPr>
        <w:tabs>
          <w:tab w:val="left" w:pos="567"/>
        </w:tabs>
        <w:spacing w:after="0" w:line="240" w:lineRule="auto"/>
        <w:jc w:val="both"/>
        <w:rPr>
          <w:lang w:val="es-MX"/>
        </w:rPr>
      </w:pPr>
      <w:r>
        <w:rPr>
          <w:lang w:val="es-MX"/>
        </w:rPr>
        <w:tab/>
      </w:r>
      <w:r>
        <w:rPr>
          <w:lang w:val="es-MX"/>
        </w:rPr>
        <w:tab/>
        <w:t>Capital Adicional</w:t>
      </w:r>
      <w:r>
        <w:rPr>
          <w:lang w:val="es-MX"/>
        </w:rPr>
        <w:tab/>
      </w:r>
      <w:r>
        <w:rPr>
          <w:lang w:val="es-MX"/>
        </w:rPr>
        <w:tab/>
      </w:r>
      <w:r>
        <w:rPr>
          <w:lang w:val="es-MX"/>
        </w:rPr>
        <w:tab/>
        <w:t xml:space="preserve">   2,500”</w:t>
      </w:r>
      <w:r w:rsidR="00367EE5">
        <w:rPr>
          <w:lang w:val="es-MX"/>
        </w:rPr>
        <w:tab/>
      </w:r>
    </w:p>
    <w:p w14:paraId="567A92BE" w14:textId="77777777" w:rsidR="00B57E7A" w:rsidRDefault="00B57E7A" w:rsidP="00367EE5">
      <w:pPr>
        <w:tabs>
          <w:tab w:val="left" w:pos="567"/>
        </w:tabs>
        <w:spacing w:after="0" w:line="240" w:lineRule="auto"/>
        <w:jc w:val="both"/>
        <w:rPr>
          <w:lang w:val="es-MX"/>
        </w:rPr>
      </w:pPr>
    </w:p>
    <w:p w14:paraId="6FAAE1B4" w14:textId="37493062" w:rsidR="00B57E7A" w:rsidRDefault="00B57E7A" w:rsidP="00B57E7A">
      <w:pPr>
        <w:pStyle w:val="Prrafodelista"/>
        <w:numPr>
          <w:ilvl w:val="0"/>
          <w:numId w:val="1"/>
        </w:numPr>
        <w:tabs>
          <w:tab w:val="left" w:pos="567"/>
        </w:tabs>
        <w:spacing w:after="0" w:line="240" w:lineRule="auto"/>
        <w:ind w:left="567" w:hanging="567"/>
        <w:jc w:val="both"/>
        <w:rPr>
          <w:lang w:val="es-MX"/>
        </w:rPr>
      </w:pPr>
      <w:r>
        <w:rPr>
          <w:lang w:val="es-MX"/>
        </w:rPr>
        <w:t xml:space="preserve">En las Notas </w:t>
      </w:r>
      <w:r w:rsidR="00422C02">
        <w:rPr>
          <w:lang w:val="es-MX"/>
        </w:rPr>
        <w:t>a los Estados Financieros Separados</w:t>
      </w:r>
      <w:r w:rsidR="00D26FF7">
        <w:rPr>
          <w:lang w:val="es-MX"/>
        </w:rPr>
        <w:t>, donde dice:</w:t>
      </w:r>
    </w:p>
    <w:p w14:paraId="47438B7D" w14:textId="62C145AF" w:rsidR="00D26FF7" w:rsidRDefault="00D26FF7" w:rsidP="00D26FF7">
      <w:pPr>
        <w:tabs>
          <w:tab w:val="left" w:pos="567"/>
        </w:tabs>
        <w:spacing w:after="0" w:line="240" w:lineRule="auto"/>
        <w:jc w:val="both"/>
        <w:rPr>
          <w:lang w:val="es-MX"/>
        </w:rPr>
      </w:pPr>
    </w:p>
    <w:p w14:paraId="7AAB3E59" w14:textId="713120E2" w:rsidR="00D26FF7" w:rsidRDefault="00D26FF7" w:rsidP="004359D7">
      <w:pPr>
        <w:tabs>
          <w:tab w:val="left" w:pos="567"/>
          <w:tab w:val="left" w:pos="1134"/>
        </w:tabs>
        <w:spacing w:after="0" w:line="240" w:lineRule="auto"/>
        <w:ind w:left="567"/>
        <w:jc w:val="both"/>
        <w:rPr>
          <w:lang w:val="es-MX"/>
        </w:rPr>
      </w:pPr>
      <w:r>
        <w:rPr>
          <w:lang w:val="es-MX"/>
        </w:rPr>
        <w:t>“</w:t>
      </w:r>
      <w:r w:rsidR="009F4205">
        <w:rPr>
          <w:lang w:val="es-MX"/>
        </w:rPr>
        <w:t>8.</w:t>
      </w:r>
      <w:r w:rsidR="004359D7">
        <w:rPr>
          <w:lang w:val="es-MX"/>
        </w:rPr>
        <w:tab/>
      </w:r>
      <w:r w:rsidR="009F4205">
        <w:rPr>
          <w:lang w:val="es-MX"/>
        </w:rPr>
        <w:t xml:space="preserve">Patrimonio </w:t>
      </w:r>
      <w:r w:rsidR="00B757AD">
        <w:rPr>
          <w:lang w:val="es-MX"/>
        </w:rPr>
        <w:t>n</w:t>
      </w:r>
      <w:r w:rsidR="009F4205">
        <w:rPr>
          <w:lang w:val="es-MX"/>
        </w:rPr>
        <w:t>eto</w:t>
      </w:r>
    </w:p>
    <w:p w14:paraId="4E4372A1" w14:textId="77777777" w:rsidR="00111DB7" w:rsidRDefault="00111DB7" w:rsidP="004359D7">
      <w:pPr>
        <w:tabs>
          <w:tab w:val="left" w:pos="567"/>
          <w:tab w:val="left" w:pos="1134"/>
        </w:tabs>
        <w:spacing w:after="0" w:line="240" w:lineRule="auto"/>
        <w:ind w:left="567"/>
        <w:jc w:val="both"/>
        <w:rPr>
          <w:lang w:val="es-MX"/>
        </w:rPr>
      </w:pPr>
    </w:p>
    <w:p w14:paraId="139FB94A" w14:textId="65C2CE64" w:rsidR="00B757AD" w:rsidRDefault="004359D7" w:rsidP="004359D7">
      <w:pPr>
        <w:pStyle w:val="Prrafodelista"/>
        <w:numPr>
          <w:ilvl w:val="0"/>
          <w:numId w:val="2"/>
        </w:numPr>
        <w:tabs>
          <w:tab w:val="left" w:pos="567"/>
        </w:tabs>
        <w:spacing w:after="0" w:line="240" w:lineRule="auto"/>
        <w:ind w:left="1418" w:hanging="284"/>
        <w:jc w:val="both"/>
        <w:rPr>
          <w:lang w:val="es-MX"/>
        </w:rPr>
      </w:pPr>
      <w:r>
        <w:rPr>
          <w:lang w:val="es-MX"/>
        </w:rPr>
        <w:t xml:space="preserve"> </w:t>
      </w:r>
      <w:r w:rsidR="003C070B">
        <w:rPr>
          <w:lang w:val="es-MX"/>
        </w:rPr>
        <w:t xml:space="preserve">Capital Social </w:t>
      </w:r>
    </w:p>
    <w:p w14:paraId="666E569E" w14:textId="77777777" w:rsidR="00111DB7" w:rsidRDefault="00111DB7" w:rsidP="00111DB7">
      <w:pPr>
        <w:pStyle w:val="Prrafodelista"/>
        <w:tabs>
          <w:tab w:val="left" w:pos="567"/>
        </w:tabs>
        <w:spacing w:after="0" w:line="240" w:lineRule="auto"/>
        <w:ind w:left="1418"/>
        <w:jc w:val="both"/>
        <w:rPr>
          <w:lang w:val="es-MX"/>
        </w:rPr>
      </w:pPr>
    </w:p>
    <w:p w14:paraId="72F9DEFF" w14:textId="7970D82C" w:rsidR="00111DB7" w:rsidRDefault="00111DB7" w:rsidP="00111DB7">
      <w:pPr>
        <w:pStyle w:val="Prrafodelista"/>
        <w:tabs>
          <w:tab w:val="left" w:pos="567"/>
        </w:tabs>
        <w:spacing w:after="0" w:line="240" w:lineRule="auto"/>
        <w:ind w:left="1418"/>
        <w:jc w:val="both"/>
        <w:rPr>
          <w:lang w:val="es-MX"/>
        </w:rPr>
      </w:pPr>
      <w:r w:rsidRPr="00111DB7">
        <w:rPr>
          <w:lang w:val="es-MX"/>
        </w:rPr>
        <w:t>Al 31 de marzo de 2024 y 31 de diciembre de 2023, el capital autorizado, suscrito y pagado está representado por</w:t>
      </w:r>
      <w:r>
        <w:rPr>
          <w:lang w:val="es-MX"/>
        </w:rPr>
        <w:t xml:space="preserve"> </w:t>
      </w:r>
      <w:r w:rsidRPr="00111DB7">
        <w:rPr>
          <w:lang w:val="es-MX"/>
        </w:rPr>
        <w:t>218,364,751 acciones comunes, respectivamente con valor nominal de S/1.00 cada una y equivalente a</w:t>
      </w:r>
      <w:r>
        <w:rPr>
          <w:lang w:val="es-MX"/>
        </w:rPr>
        <w:t xml:space="preserve"> </w:t>
      </w:r>
      <w:r w:rsidRPr="00111DB7">
        <w:rPr>
          <w:lang w:val="es-MX"/>
        </w:rPr>
        <w:t>US$62,792,731.</w:t>
      </w:r>
      <w:r>
        <w:rPr>
          <w:lang w:val="es-MX"/>
        </w:rPr>
        <w:t>”</w:t>
      </w:r>
    </w:p>
    <w:p w14:paraId="77513C51" w14:textId="03085CF1" w:rsidR="00ED19B3" w:rsidRDefault="00ED19B3" w:rsidP="00111DB7">
      <w:pPr>
        <w:tabs>
          <w:tab w:val="left" w:pos="567"/>
        </w:tabs>
        <w:spacing w:after="0" w:line="240" w:lineRule="auto"/>
        <w:jc w:val="both"/>
        <w:rPr>
          <w:lang w:val="es-MX"/>
        </w:rPr>
      </w:pPr>
      <w:r>
        <w:rPr>
          <w:lang w:val="es-MX"/>
        </w:rPr>
        <w:br w:type="page"/>
      </w:r>
    </w:p>
    <w:p w14:paraId="72E22978" w14:textId="77777777" w:rsidR="00111DB7" w:rsidRDefault="00111DB7" w:rsidP="00111DB7">
      <w:pPr>
        <w:tabs>
          <w:tab w:val="left" w:pos="567"/>
        </w:tabs>
        <w:spacing w:after="0" w:line="240" w:lineRule="auto"/>
        <w:jc w:val="both"/>
        <w:rPr>
          <w:lang w:val="es-MX"/>
        </w:rPr>
      </w:pPr>
    </w:p>
    <w:p w14:paraId="137471E0" w14:textId="6B44CF79" w:rsidR="00111DB7" w:rsidRDefault="00111DB7" w:rsidP="00111DB7">
      <w:pPr>
        <w:tabs>
          <w:tab w:val="left" w:pos="567"/>
        </w:tabs>
        <w:spacing w:after="0" w:line="240" w:lineRule="auto"/>
        <w:jc w:val="both"/>
        <w:rPr>
          <w:lang w:val="es-MX"/>
        </w:rPr>
      </w:pPr>
      <w:r>
        <w:rPr>
          <w:lang w:val="es-MX"/>
        </w:rPr>
        <w:tab/>
        <w:t>Debe decir:</w:t>
      </w:r>
    </w:p>
    <w:p w14:paraId="077F234E" w14:textId="77777777" w:rsidR="00111DB7" w:rsidRDefault="00111DB7" w:rsidP="00111DB7">
      <w:pPr>
        <w:tabs>
          <w:tab w:val="left" w:pos="567"/>
        </w:tabs>
        <w:spacing w:after="0" w:line="240" w:lineRule="auto"/>
        <w:jc w:val="both"/>
        <w:rPr>
          <w:lang w:val="es-MX"/>
        </w:rPr>
      </w:pPr>
    </w:p>
    <w:p w14:paraId="5A0385A2" w14:textId="7F43E60A" w:rsidR="00111DB7" w:rsidRDefault="00111DB7" w:rsidP="00111DB7">
      <w:pPr>
        <w:tabs>
          <w:tab w:val="left" w:pos="567"/>
          <w:tab w:val="left" w:pos="1134"/>
        </w:tabs>
        <w:spacing w:after="0" w:line="240" w:lineRule="auto"/>
        <w:ind w:left="567"/>
        <w:jc w:val="both"/>
        <w:rPr>
          <w:lang w:val="es-MX"/>
        </w:rPr>
      </w:pPr>
      <w:r>
        <w:rPr>
          <w:lang w:val="es-MX"/>
        </w:rPr>
        <w:t>“8.</w:t>
      </w:r>
      <w:r>
        <w:rPr>
          <w:lang w:val="es-MX"/>
        </w:rPr>
        <w:tab/>
        <w:t>Patrimonio neto</w:t>
      </w:r>
    </w:p>
    <w:p w14:paraId="542A75F6" w14:textId="77777777" w:rsidR="00111DB7" w:rsidRDefault="00111DB7" w:rsidP="00111DB7">
      <w:pPr>
        <w:tabs>
          <w:tab w:val="left" w:pos="567"/>
          <w:tab w:val="left" w:pos="1134"/>
        </w:tabs>
        <w:spacing w:after="0" w:line="240" w:lineRule="auto"/>
        <w:ind w:left="567"/>
        <w:jc w:val="both"/>
        <w:rPr>
          <w:lang w:val="es-MX"/>
        </w:rPr>
      </w:pPr>
    </w:p>
    <w:p w14:paraId="7BFC3D99" w14:textId="77777777" w:rsidR="00111DB7" w:rsidRDefault="00111DB7" w:rsidP="00603EE1">
      <w:pPr>
        <w:pStyle w:val="Prrafodelista"/>
        <w:numPr>
          <w:ilvl w:val="0"/>
          <w:numId w:val="3"/>
        </w:numPr>
        <w:tabs>
          <w:tab w:val="left" w:pos="567"/>
        </w:tabs>
        <w:spacing w:after="0" w:line="240" w:lineRule="auto"/>
        <w:ind w:left="1418" w:hanging="284"/>
        <w:jc w:val="both"/>
        <w:rPr>
          <w:lang w:val="es-MX"/>
        </w:rPr>
      </w:pPr>
      <w:r>
        <w:rPr>
          <w:lang w:val="es-MX"/>
        </w:rPr>
        <w:t xml:space="preserve"> Capital Social </w:t>
      </w:r>
    </w:p>
    <w:p w14:paraId="16D4119E" w14:textId="23F27C35" w:rsidR="00111DB7" w:rsidRDefault="00111DB7" w:rsidP="00111DB7">
      <w:pPr>
        <w:pStyle w:val="Prrafodelista"/>
        <w:tabs>
          <w:tab w:val="left" w:pos="567"/>
        </w:tabs>
        <w:spacing w:after="0" w:line="240" w:lineRule="auto"/>
        <w:ind w:left="1418"/>
        <w:jc w:val="both"/>
        <w:rPr>
          <w:lang w:val="es-MX"/>
        </w:rPr>
      </w:pPr>
    </w:p>
    <w:p w14:paraId="6BD12CD9" w14:textId="3FAD35F2" w:rsidR="00111DB7" w:rsidRDefault="00111DB7" w:rsidP="00603EE1">
      <w:pPr>
        <w:tabs>
          <w:tab w:val="left" w:pos="567"/>
        </w:tabs>
        <w:spacing w:after="0" w:line="240" w:lineRule="auto"/>
        <w:ind w:left="1560"/>
        <w:jc w:val="both"/>
        <w:rPr>
          <w:lang w:val="es-MX"/>
        </w:rPr>
      </w:pPr>
      <w:r w:rsidRPr="00111DB7">
        <w:rPr>
          <w:lang w:val="es-MX"/>
        </w:rPr>
        <w:t>Al 31 de marzo de 2024 y 31 de diciembre de 2023, el capital autorizado, suscrito y pagado está representado por</w:t>
      </w:r>
      <w:r>
        <w:rPr>
          <w:lang w:val="es-MX"/>
        </w:rPr>
        <w:t xml:space="preserve"> </w:t>
      </w:r>
      <w:r w:rsidRPr="00111DB7">
        <w:rPr>
          <w:lang w:val="es-MX"/>
        </w:rPr>
        <w:t>218,364,751 acciones comunes, respectivamente con valor nominal de S/1.00 cada una y equivalente a</w:t>
      </w:r>
      <w:r>
        <w:rPr>
          <w:lang w:val="es-MX"/>
        </w:rPr>
        <w:t xml:space="preserve"> </w:t>
      </w:r>
      <w:r w:rsidRPr="00111DB7">
        <w:rPr>
          <w:lang w:val="es-MX"/>
        </w:rPr>
        <w:t>US$62,792,731.</w:t>
      </w:r>
    </w:p>
    <w:p w14:paraId="2E18FEB0" w14:textId="77777777" w:rsidR="00187553" w:rsidRDefault="00187553" w:rsidP="0010490C">
      <w:pPr>
        <w:tabs>
          <w:tab w:val="left" w:pos="567"/>
        </w:tabs>
        <w:spacing w:after="0" w:line="240" w:lineRule="auto"/>
        <w:jc w:val="both"/>
        <w:rPr>
          <w:lang w:val="es-MX"/>
        </w:rPr>
      </w:pPr>
    </w:p>
    <w:p w14:paraId="1727AE4E" w14:textId="77777777" w:rsidR="0010490C" w:rsidRDefault="0010490C" w:rsidP="0010490C">
      <w:pPr>
        <w:pStyle w:val="Prrafodelista"/>
        <w:numPr>
          <w:ilvl w:val="0"/>
          <w:numId w:val="3"/>
        </w:numPr>
        <w:tabs>
          <w:tab w:val="left" w:pos="567"/>
        </w:tabs>
        <w:spacing w:after="0" w:line="240" w:lineRule="auto"/>
        <w:ind w:left="1560" w:hanging="426"/>
        <w:jc w:val="both"/>
        <w:rPr>
          <w:lang w:val="es-MX"/>
        </w:rPr>
      </w:pPr>
      <w:r>
        <w:rPr>
          <w:lang w:val="es-MX"/>
        </w:rPr>
        <w:t>Capital Adicional</w:t>
      </w:r>
    </w:p>
    <w:p w14:paraId="60E9A91B" w14:textId="77777777" w:rsidR="0010490C" w:rsidRDefault="0010490C" w:rsidP="0010490C">
      <w:pPr>
        <w:pStyle w:val="Prrafodelista"/>
        <w:tabs>
          <w:tab w:val="left" w:pos="567"/>
        </w:tabs>
        <w:spacing w:after="0" w:line="240" w:lineRule="auto"/>
        <w:ind w:left="1560"/>
        <w:jc w:val="both"/>
        <w:rPr>
          <w:lang w:val="es-MX"/>
        </w:rPr>
      </w:pPr>
    </w:p>
    <w:p w14:paraId="27445D25" w14:textId="47C63EFA" w:rsidR="0010490C" w:rsidRDefault="00F4376E" w:rsidP="0010490C">
      <w:pPr>
        <w:pStyle w:val="Prrafodelista"/>
        <w:tabs>
          <w:tab w:val="left" w:pos="567"/>
        </w:tabs>
        <w:spacing w:after="0" w:line="240" w:lineRule="auto"/>
        <w:ind w:left="1560"/>
        <w:jc w:val="both"/>
        <w:rPr>
          <w:lang w:val="es-MX"/>
        </w:rPr>
      </w:pPr>
      <w:r w:rsidRPr="00B8204A">
        <w:rPr>
          <w:lang w:val="es-MX"/>
        </w:rPr>
        <w:t xml:space="preserve">Al 31 de marzo de 2024, </w:t>
      </w:r>
      <w:r w:rsidR="00DB0706" w:rsidRPr="00B8204A">
        <w:rPr>
          <w:lang w:val="es-MX"/>
        </w:rPr>
        <w:t xml:space="preserve">se ha registrado </w:t>
      </w:r>
      <w:r w:rsidR="003D7DF6" w:rsidRPr="00B8204A">
        <w:rPr>
          <w:lang w:val="es-MX"/>
        </w:rPr>
        <w:t>transitoriamente los fondos tran</w:t>
      </w:r>
      <w:r w:rsidR="00231BCA" w:rsidRPr="00B8204A">
        <w:rPr>
          <w:lang w:val="es-MX"/>
        </w:rPr>
        <w:t>s</w:t>
      </w:r>
      <w:r w:rsidR="003D7DF6" w:rsidRPr="00B8204A">
        <w:rPr>
          <w:lang w:val="es-MX"/>
        </w:rPr>
        <w:t xml:space="preserve">feridos a la sociedad por </w:t>
      </w:r>
      <w:r w:rsidR="00BB237E" w:rsidRPr="00B8204A">
        <w:rPr>
          <w:lang w:val="es-MX"/>
        </w:rPr>
        <w:t xml:space="preserve">el accionista </w:t>
      </w:r>
      <w:r w:rsidR="001A474D" w:rsidRPr="00B8204A">
        <w:rPr>
          <w:lang w:val="es-MX"/>
        </w:rPr>
        <w:t xml:space="preserve">Vasco Invesment Holding </w:t>
      </w:r>
      <w:r w:rsidR="00256B27" w:rsidRPr="00B8204A">
        <w:rPr>
          <w:lang w:val="es-MX"/>
        </w:rPr>
        <w:t xml:space="preserve">Limited por </w:t>
      </w:r>
      <w:r w:rsidR="003D7DF6" w:rsidRPr="00B8204A">
        <w:rPr>
          <w:lang w:val="es-MX"/>
        </w:rPr>
        <w:t>el importe de US$ 2,500,000</w:t>
      </w:r>
      <w:r w:rsidR="00256B27" w:rsidRPr="00B8204A">
        <w:rPr>
          <w:lang w:val="es-MX"/>
        </w:rPr>
        <w:t>,</w:t>
      </w:r>
      <w:r w:rsidR="00231BCA" w:rsidRPr="00B8204A">
        <w:rPr>
          <w:lang w:val="es-MX"/>
        </w:rPr>
        <w:t xml:space="preserve"> hasta que la junta general de accionista disponga o apruebe </w:t>
      </w:r>
      <w:r w:rsidR="003C36BF" w:rsidRPr="00B8204A">
        <w:rPr>
          <w:lang w:val="es-MX"/>
        </w:rPr>
        <w:t>un aumento de capital</w:t>
      </w:r>
      <w:r w:rsidR="00231BCA" w:rsidRPr="00B8204A">
        <w:rPr>
          <w:lang w:val="es-MX"/>
        </w:rPr>
        <w:t>.</w:t>
      </w:r>
    </w:p>
    <w:p w14:paraId="58E9F68E" w14:textId="77777777" w:rsidR="0010490C" w:rsidRDefault="0010490C" w:rsidP="0010490C">
      <w:pPr>
        <w:pStyle w:val="Prrafodelista"/>
        <w:tabs>
          <w:tab w:val="left" w:pos="567"/>
        </w:tabs>
        <w:spacing w:after="0" w:line="240" w:lineRule="auto"/>
        <w:ind w:left="1560"/>
        <w:jc w:val="both"/>
        <w:rPr>
          <w:lang w:val="es-MX"/>
        </w:rPr>
      </w:pPr>
    </w:p>
    <w:p w14:paraId="41666C46" w14:textId="4A622012" w:rsidR="00EB1A39" w:rsidRPr="00EB1A39" w:rsidRDefault="00EB1A39" w:rsidP="00EB1A39">
      <w:pPr>
        <w:pStyle w:val="Prrafodelista"/>
        <w:numPr>
          <w:ilvl w:val="0"/>
          <w:numId w:val="3"/>
        </w:numPr>
        <w:tabs>
          <w:tab w:val="left" w:pos="567"/>
        </w:tabs>
        <w:spacing w:after="0" w:line="240" w:lineRule="auto"/>
        <w:ind w:left="1560" w:hanging="426"/>
        <w:jc w:val="both"/>
        <w:rPr>
          <w:lang w:val="es-MX"/>
        </w:rPr>
      </w:pPr>
      <w:r w:rsidRPr="00EB1A39">
        <w:rPr>
          <w:lang w:val="es-MX"/>
        </w:rPr>
        <w:t xml:space="preserve">Reserva legal </w:t>
      </w:r>
    </w:p>
    <w:p w14:paraId="762216CA" w14:textId="77777777" w:rsidR="00EB1A39" w:rsidRDefault="00EB1A39" w:rsidP="00EB1A39">
      <w:pPr>
        <w:pStyle w:val="Prrafodelista"/>
        <w:tabs>
          <w:tab w:val="left" w:pos="567"/>
        </w:tabs>
        <w:spacing w:after="0" w:line="240" w:lineRule="auto"/>
        <w:ind w:left="2059"/>
        <w:jc w:val="both"/>
        <w:rPr>
          <w:lang w:val="es-MX"/>
        </w:rPr>
      </w:pPr>
    </w:p>
    <w:p w14:paraId="2E697444" w14:textId="28ACEB01" w:rsidR="0010490C" w:rsidRPr="0010490C" w:rsidRDefault="00EB1A39" w:rsidP="00EB1A39">
      <w:pPr>
        <w:pStyle w:val="Prrafodelista"/>
        <w:tabs>
          <w:tab w:val="left" w:pos="567"/>
        </w:tabs>
        <w:spacing w:after="0" w:line="240" w:lineRule="auto"/>
        <w:ind w:left="1560"/>
        <w:jc w:val="both"/>
        <w:rPr>
          <w:lang w:val="es-MX"/>
        </w:rPr>
      </w:pPr>
      <w:r w:rsidRPr="00EB1A39">
        <w:rPr>
          <w:lang w:val="es-MX"/>
        </w:rPr>
        <w:t>De acuerdo con la Ley General de Sociedades, la reserva legal se constituye con la transferencia del 10 por ciento de la utilidad neta anual hasta alcanzar un monto equivalente al 20 por ciento del capital pagado. En ausencia de utilidades o de reservas de libre disposición, la reserva legal deberá ser aplicada a la compensación de pérdidas, debiendo ser repuesta con las utilidades de ejercicios subsiguientes. Esta reserva puede ser capitalizada siendo igualmente obligatoria su reposición.</w:t>
      </w:r>
      <w:r w:rsidR="00305EB4">
        <w:rPr>
          <w:lang w:val="es-MX"/>
        </w:rPr>
        <w:t>”</w:t>
      </w:r>
    </w:p>
    <w:p w14:paraId="01DA84A0" w14:textId="77777777" w:rsidR="0010490C" w:rsidRDefault="0010490C" w:rsidP="00603EE1">
      <w:pPr>
        <w:tabs>
          <w:tab w:val="left" w:pos="567"/>
        </w:tabs>
        <w:spacing w:after="0" w:line="240" w:lineRule="auto"/>
        <w:ind w:left="1560"/>
        <w:jc w:val="both"/>
        <w:rPr>
          <w:lang w:val="es-MX"/>
        </w:rPr>
      </w:pPr>
    </w:p>
    <w:p w14:paraId="22AE833B" w14:textId="77777777" w:rsidR="00111DB7" w:rsidRDefault="00111DB7" w:rsidP="00111DB7">
      <w:pPr>
        <w:tabs>
          <w:tab w:val="left" w:pos="567"/>
        </w:tabs>
        <w:spacing w:after="0" w:line="240" w:lineRule="auto"/>
        <w:jc w:val="both"/>
        <w:rPr>
          <w:lang w:val="es-MX"/>
        </w:rPr>
      </w:pPr>
    </w:p>
    <w:p w14:paraId="4B0B5FD2" w14:textId="7F9FFB91" w:rsidR="00305EB4" w:rsidRDefault="002D4ED4" w:rsidP="00111DB7">
      <w:pPr>
        <w:tabs>
          <w:tab w:val="left" w:pos="567"/>
        </w:tabs>
        <w:spacing w:after="0" w:line="240" w:lineRule="auto"/>
        <w:jc w:val="both"/>
        <w:rPr>
          <w:lang w:val="es-MX"/>
        </w:rPr>
      </w:pPr>
      <w:r>
        <w:rPr>
          <w:lang w:val="es-MX"/>
        </w:rPr>
        <w:t xml:space="preserve">Sin otro particular, quedamos de </w:t>
      </w:r>
      <w:r w:rsidR="00B31515">
        <w:rPr>
          <w:lang w:val="es-MX"/>
        </w:rPr>
        <w:t>usted.</w:t>
      </w:r>
    </w:p>
    <w:p w14:paraId="329E4225" w14:textId="77777777" w:rsidR="00B31515" w:rsidRDefault="00B31515" w:rsidP="00111DB7">
      <w:pPr>
        <w:tabs>
          <w:tab w:val="left" w:pos="567"/>
        </w:tabs>
        <w:spacing w:after="0" w:line="240" w:lineRule="auto"/>
        <w:jc w:val="both"/>
        <w:rPr>
          <w:lang w:val="es-MX"/>
        </w:rPr>
      </w:pPr>
    </w:p>
    <w:p w14:paraId="7BDD6010" w14:textId="31EA340E" w:rsidR="00B31515" w:rsidRDefault="00B31515" w:rsidP="00111DB7">
      <w:pPr>
        <w:tabs>
          <w:tab w:val="left" w:pos="567"/>
        </w:tabs>
        <w:spacing w:after="0" w:line="240" w:lineRule="auto"/>
        <w:jc w:val="both"/>
        <w:rPr>
          <w:lang w:val="es-MX"/>
        </w:rPr>
      </w:pPr>
      <w:r>
        <w:rPr>
          <w:lang w:val="es-MX"/>
        </w:rPr>
        <w:t>Atentamente,</w:t>
      </w:r>
    </w:p>
    <w:p w14:paraId="0A6FAF31" w14:textId="77777777" w:rsidR="00B31515" w:rsidRDefault="00B31515" w:rsidP="00111DB7">
      <w:pPr>
        <w:tabs>
          <w:tab w:val="left" w:pos="567"/>
        </w:tabs>
        <w:spacing w:after="0" w:line="240" w:lineRule="auto"/>
        <w:jc w:val="both"/>
        <w:rPr>
          <w:lang w:val="es-MX"/>
        </w:rPr>
      </w:pPr>
    </w:p>
    <w:p w14:paraId="208636BF" w14:textId="77777777" w:rsidR="00B31515" w:rsidRDefault="00B31515" w:rsidP="00111DB7">
      <w:pPr>
        <w:tabs>
          <w:tab w:val="left" w:pos="567"/>
        </w:tabs>
        <w:spacing w:after="0" w:line="240" w:lineRule="auto"/>
        <w:jc w:val="both"/>
        <w:rPr>
          <w:lang w:val="es-MX"/>
        </w:rPr>
      </w:pPr>
    </w:p>
    <w:p w14:paraId="07588068" w14:textId="2CA51061" w:rsidR="00B31515" w:rsidRDefault="008E2038" w:rsidP="00111DB7">
      <w:pPr>
        <w:tabs>
          <w:tab w:val="left" w:pos="567"/>
        </w:tabs>
        <w:spacing w:after="0" w:line="240" w:lineRule="auto"/>
        <w:jc w:val="both"/>
        <w:rPr>
          <w:lang w:val="es-MX"/>
        </w:rPr>
      </w:pPr>
      <w:r>
        <w:rPr>
          <w:lang w:val="es-MX"/>
        </w:rPr>
        <w:t>Wilfredo Galindez A.</w:t>
      </w:r>
    </w:p>
    <w:p w14:paraId="5E8B0C96" w14:textId="65623544" w:rsidR="00B31515" w:rsidRPr="00111DB7" w:rsidRDefault="00B31515" w:rsidP="00111DB7">
      <w:pPr>
        <w:tabs>
          <w:tab w:val="left" w:pos="567"/>
        </w:tabs>
        <w:spacing w:after="0" w:line="240" w:lineRule="auto"/>
        <w:jc w:val="both"/>
        <w:rPr>
          <w:lang w:val="es-MX"/>
        </w:rPr>
      </w:pPr>
      <w:r>
        <w:rPr>
          <w:lang w:val="es-MX"/>
        </w:rPr>
        <w:t>Representante Bursátil</w:t>
      </w:r>
    </w:p>
    <w:p w14:paraId="17EC2380" w14:textId="77777777" w:rsidR="00111DB7" w:rsidRDefault="00111DB7" w:rsidP="00111DB7">
      <w:pPr>
        <w:pStyle w:val="Prrafodelista"/>
        <w:tabs>
          <w:tab w:val="left" w:pos="567"/>
        </w:tabs>
        <w:spacing w:after="0" w:line="240" w:lineRule="auto"/>
        <w:ind w:left="1418"/>
        <w:jc w:val="both"/>
        <w:rPr>
          <w:lang w:val="es-MX"/>
        </w:rPr>
      </w:pPr>
    </w:p>
    <w:p w14:paraId="6A045BA5" w14:textId="77777777" w:rsidR="00111DB7" w:rsidRPr="003C070B" w:rsidRDefault="00111DB7" w:rsidP="00111DB7">
      <w:pPr>
        <w:pStyle w:val="Prrafodelista"/>
        <w:tabs>
          <w:tab w:val="left" w:pos="567"/>
        </w:tabs>
        <w:spacing w:after="0" w:line="240" w:lineRule="auto"/>
        <w:ind w:left="1418"/>
        <w:jc w:val="both"/>
        <w:rPr>
          <w:lang w:val="es-MX"/>
        </w:rPr>
      </w:pPr>
    </w:p>
    <w:p w14:paraId="58981CFC" w14:textId="1CC9FF0E" w:rsidR="00B757AD" w:rsidRPr="00D26FF7" w:rsidRDefault="00B757AD" w:rsidP="00D26FF7">
      <w:pPr>
        <w:tabs>
          <w:tab w:val="left" w:pos="567"/>
        </w:tabs>
        <w:spacing w:after="0" w:line="240" w:lineRule="auto"/>
        <w:ind w:left="567"/>
        <w:jc w:val="both"/>
        <w:rPr>
          <w:lang w:val="es-MX"/>
        </w:rPr>
      </w:pPr>
      <w:r>
        <w:rPr>
          <w:lang w:val="es-MX"/>
        </w:rPr>
        <w:tab/>
      </w:r>
    </w:p>
    <w:sectPr w:rsidR="00B757AD" w:rsidRPr="00D26FF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5D8DE" w14:textId="77777777" w:rsidR="00ED4FAB" w:rsidRDefault="00ED4FAB" w:rsidP="00ED339E">
      <w:pPr>
        <w:spacing w:after="0" w:line="240" w:lineRule="auto"/>
      </w:pPr>
      <w:r>
        <w:separator/>
      </w:r>
    </w:p>
  </w:endnote>
  <w:endnote w:type="continuationSeparator" w:id="0">
    <w:p w14:paraId="4CE2A395" w14:textId="77777777" w:rsidR="00ED4FAB" w:rsidRDefault="00ED4FAB" w:rsidP="00ED339E">
      <w:pPr>
        <w:spacing w:after="0" w:line="240" w:lineRule="auto"/>
      </w:pPr>
      <w:r>
        <w:continuationSeparator/>
      </w:r>
    </w:p>
  </w:endnote>
  <w:endnote w:type="continuationNotice" w:id="1">
    <w:p w14:paraId="7EA81BFA" w14:textId="77777777" w:rsidR="00ED4FAB" w:rsidRDefault="00ED4F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005935" w14:textId="77777777" w:rsidR="00ED4FAB" w:rsidRDefault="00ED4FAB" w:rsidP="00ED339E">
      <w:pPr>
        <w:spacing w:after="0" w:line="240" w:lineRule="auto"/>
      </w:pPr>
      <w:r>
        <w:separator/>
      </w:r>
    </w:p>
  </w:footnote>
  <w:footnote w:type="continuationSeparator" w:id="0">
    <w:p w14:paraId="053CBB98" w14:textId="77777777" w:rsidR="00ED4FAB" w:rsidRDefault="00ED4FAB" w:rsidP="00ED339E">
      <w:pPr>
        <w:spacing w:after="0" w:line="240" w:lineRule="auto"/>
      </w:pPr>
      <w:r>
        <w:continuationSeparator/>
      </w:r>
    </w:p>
  </w:footnote>
  <w:footnote w:type="continuationNotice" w:id="1">
    <w:p w14:paraId="347CD0F9" w14:textId="77777777" w:rsidR="00ED4FAB" w:rsidRDefault="00ED4F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5860F3"/>
    <w:multiLevelType w:val="hybridMultilevel"/>
    <w:tmpl w:val="EB8E4E28"/>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65B21D2F"/>
    <w:multiLevelType w:val="hybridMultilevel"/>
    <w:tmpl w:val="93F46346"/>
    <w:lvl w:ilvl="0" w:tplc="C74C6B2A">
      <w:start w:val="1"/>
      <w:numFmt w:val="lowerLetter"/>
      <w:lvlText w:val="(%1)"/>
      <w:lvlJc w:val="left"/>
      <w:pPr>
        <w:ind w:left="2059" w:hanging="360"/>
      </w:pPr>
      <w:rPr>
        <w:rFonts w:hint="default"/>
      </w:rPr>
    </w:lvl>
    <w:lvl w:ilvl="1" w:tplc="280A0019" w:tentative="1">
      <w:start w:val="1"/>
      <w:numFmt w:val="lowerLetter"/>
      <w:lvlText w:val="%2."/>
      <w:lvlJc w:val="left"/>
      <w:pPr>
        <w:ind w:left="2779" w:hanging="360"/>
      </w:pPr>
    </w:lvl>
    <w:lvl w:ilvl="2" w:tplc="280A001B" w:tentative="1">
      <w:start w:val="1"/>
      <w:numFmt w:val="lowerRoman"/>
      <w:lvlText w:val="%3."/>
      <w:lvlJc w:val="right"/>
      <w:pPr>
        <w:ind w:left="3499" w:hanging="180"/>
      </w:pPr>
    </w:lvl>
    <w:lvl w:ilvl="3" w:tplc="280A000F" w:tentative="1">
      <w:start w:val="1"/>
      <w:numFmt w:val="decimal"/>
      <w:lvlText w:val="%4."/>
      <w:lvlJc w:val="left"/>
      <w:pPr>
        <w:ind w:left="4219" w:hanging="360"/>
      </w:pPr>
    </w:lvl>
    <w:lvl w:ilvl="4" w:tplc="280A0019" w:tentative="1">
      <w:start w:val="1"/>
      <w:numFmt w:val="lowerLetter"/>
      <w:lvlText w:val="%5."/>
      <w:lvlJc w:val="left"/>
      <w:pPr>
        <w:ind w:left="4939" w:hanging="360"/>
      </w:pPr>
    </w:lvl>
    <w:lvl w:ilvl="5" w:tplc="280A001B" w:tentative="1">
      <w:start w:val="1"/>
      <w:numFmt w:val="lowerRoman"/>
      <w:lvlText w:val="%6."/>
      <w:lvlJc w:val="right"/>
      <w:pPr>
        <w:ind w:left="5659" w:hanging="180"/>
      </w:pPr>
    </w:lvl>
    <w:lvl w:ilvl="6" w:tplc="280A000F" w:tentative="1">
      <w:start w:val="1"/>
      <w:numFmt w:val="decimal"/>
      <w:lvlText w:val="%7."/>
      <w:lvlJc w:val="left"/>
      <w:pPr>
        <w:ind w:left="6379" w:hanging="360"/>
      </w:pPr>
    </w:lvl>
    <w:lvl w:ilvl="7" w:tplc="280A0019" w:tentative="1">
      <w:start w:val="1"/>
      <w:numFmt w:val="lowerLetter"/>
      <w:lvlText w:val="%8."/>
      <w:lvlJc w:val="left"/>
      <w:pPr>
        <w:ind w:left="7099" w:hanging="360"/>
      </w:pPr>
    </w:lvl>
    <w:lvl w:ilvl="8" w:tplc="280A001B" w:tentative="1">
      <w:start w:val="1"/>
      <w:numFmt w:val="lowerRoman"/>
      <w:lvlText w:val="%9."/>
      <w:lvlJc w:val="right"/>
      <w:pPr>
        <w:ind w:left="7819" w:hanging="180"/>
      </w:pPr>
    </w:lvl>
  </w:abstractNum>
  <w:abstractNum w:abstractNumId="2" w15:restartNumberingAfterBreak="0">
    <w:nsid w:val="7F1C3386"/>
    <w:multiLevelType w:val="hybridMultilevel"/>
    <w:tmpl w:val="93F46346"/>
    <w:lvl w:ilvl="0" w:tplc="FFFFFFFF">
      <w:start w:val="1"/>
      <w:numFmt w:val="lowerLetter"/>
      <w:lvlText w:val="(%1)"/>
      <w:lvlJc w:val="left"/>
      <w:pPr>
        <w:ind w:left="2059" w:hanging="360"/>
      </w:pPr>
      <w:rPr>
        <w:rFonts w:hint="default"/>
      </w:rPr>
    </w:lvl>
    <w:lvl w:ilvl="1" w:tplc="FFFFFFFF">
      <w:start w:val="1"/>
      <w:numFmt w:val="lowerLetter"/>
      <w:lvlText w:val="%2."/>
      <w:lvlJc w:val="left"/>
      <w:pPr>
        <w:ind w:left="2779" w:hanging="360"/>
      </w:pPr>
    </w:lvl>
    <w:lvl w:ilvl="2" w:tplc="FFFFFFFF" w:tentative="1">
      <w:start w:val="1"/>
      <w:numFmt w:val="lowerRoman"/>
      <w:lvlText w:val="%3."/>
      <w:lvlJc w:val="right"/>
      <w:pPr>
        <w:ind w:left="3499" w:hanging="180"/>
      </w:pPr>
    </w:lvl>
    <w:lvl w:ilvl="3" w:tplc="FFFFFFFF" w:tentative="1">
      <w:start w:val="1"/>
      <w:numFmt w:val="decimal"/>
      <w:lvlText w:val="%4."/>
      <w:lvlJc w:val="left"/>
      <w:pPr>
        <w:ind w:left="4219" w:hanging="360"/>
      </w:pPr>
    </w:lvl>
    <w:lvl w:ilvl="4" w:tplc="FFFFFFFF" w:tentative="1">
      <w:start w:val="1"/>
      <w:numFmt w:val="lowerLetter"/>
      <w:lvlText w:val="%5."/>
      <w:lvlJc w:val="left"/>
      <w:pPr>
        <w:ind w:left="4939" w:hanging="360"/>
      </w:pPr>
    </w:lvl>
    <w:lvl w:ilvl="5" w:tplc="FFFFFFFF" w:tentative="1">
      <w:start w:val="1"/>
      <w:numFmt w:val="lowerRoman"/>
      <w:lvlText w:val="%6."/>
      <w:lvlJc w:val="right"/>
      <w:pPr>
        <w:ind w:left="5659" w:hanging="180"/>
      </w:pPr>
    </w:lvl>
    <w:lvl w:ilvl="6" w:tplc="FFFFFFFF" w:tentative="1">
      <w:start w:val="1"/>
      <w:numFmt w:val="decimal"/>
      <w:lvlText w:val="%7."/>
      <w:lvlJc w:val="left"/>
      <w:pPr>
        <w:ind w:left="6379" w:hanging="360"/>
      </w:pPr>
    </w:lvl>
    <w:lvl w:ilvl="7" w:tplc="FFFFFFFF" w:tentative="1">
      <w:start w:val="1"/>
      <w:numFmt w:val="lowerLetter"/>
      <w:lvlText w:val="%8."/>
      <w:lvlJc w:val="left"/>
      <w:pPr>
        <w:ind w:left="7099" w:hanging="360"/>
      </w:pPr>
    </w:lvl>
    <w:lvl w:ilvl="8" w:tplc="FFFFFFFF" w:tentative="1">
      <w:start w:val="1"/>
      <w:numFmt w:val="lowerRoman"/>
      <w:lvlText w:val="%9."/>
      <w:lvlJc w:val="right"/>
      <w:pPr>
        <w:ind w:left="7819" w:hanging="180"/>
      </w:pPr>
    </w:lvl>
  </w:abstractNum>
  <w:num w:numId="1" w16cid:durableId="52656162">
    <w:abstractNumId w:val="0"/>
  </w:num>
  <w:num w:numId="2" w16cid:durableId="1206521321">
    <w:abstractNumId w:val="1"/>
  </w:num>
  <w:num w:numId="3" w16cid:durableId="12731300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E6F"/>
    <w:rsid w:val="00010BDF"/>
    <w:rsid w:val="00040DA3"/>
    <w:rsid w:val="00052A55"/>
    <w:rsid w:val="0008508E"/>
    <w:rsid w:val="000A3424"/>
    <w:rsid w:val="000E3644"/>
    <w:rsid w:val="0010490C"/>
    <w:rsid w:val="00111DB7"/>
    <w:rsid w:val="001349F0"/>
    <w:rsid w:val="001428D3"/>
    <w:rsid w:val="001615C6"/>
    <w:rsid w:val="00187553"/>
    <w:rsid w:val="001A474D"/>
    <w:rsid w:val="001A5142"/>
    <w:rsid w:val="001B290A"/>
    <w:rsid w:val="001D5A56"/>
    <w:rsid w:val="001E0825"/>
    <w:rsid w:val="00207C16"/>
    <w:rsid w:val="00230708"/>
    <w:rsid w:val="00231BCA"/>
    <w:rsid w:val="00254FFD"/>
    <w:rsid w:val="00256B27"/>
    <w:rsid w:val="002A3EFB"/>
    <w:rsid w:val="002D4ED4"/>
    <w:rsid w:val="00305EB4"/>
    <w:rsid w:val="00367EE5"/>
    <w:rsid w:val="00380710"/>
    <w:rsid w:val="003C070B"/>
    <w:rsid w:val="003C36BF"/>
    <w:rsid w:val="003D7DF6"/>
    <w:rsid w:val="00422C02"/>
    <w:rsid w:val="0043097A"/>
    <w:rsid w:val="004359D7"/>
    <w:rsid w:val="00450D0B"/>
    <w:rsid w:val="004E1425"/>
    <w:rsid w:val="004E4F57"/>
    <w:rsid w:val="004E77BA"/>
    <w:rsid w:val="004F4EC8"/>
    <w:rsid w:val="005556E2"/>
    <w:rsid w:val="005B0877"/>
    <w:rsid w:val="005F7121"/>
    <w:rsid w:val="00603EE1"/>
    <w:rsid w:val="00621229"/>
    <w:rsid w:val="00697771"/>
    <w:rsid w:val="006A0038"/>
    <w:rsid w:val="006B3244"/>
    <w:rsid w:val="006C3220"/>
    <w:rsid w:val="006D3266"/>
    <w:rsid w:val="006F6021"/>
    <w:rsid w:val="007046DB"/>
    <w:rsid w:val="00750E64"/>
    <w:rsid w:val="00790498"/>
    <w:rsid w:val="007F6155"/>
    <w:rsid w:val="00836DC0"/>
    <w:rsid w:val="00882B5E"/>
    <w:rsid w:val="008B649A"/>
    <w:rsid w:val="008C77D9"/>
    <w:rsid w:val="008D74B4"/>
    <w:rsid w:val="008E2038"/>
    <w:rsid w:val="008F274A"/>
    <w:rsid w:val="009274ED"/>
    <w:rsid w:val="009F4205"/>
    <w:rsid w:val="00A00451"/>
    <w:rsid w:val="00A05E32"/>
    <w:rsid w:val="00A92CF5"/>
    <w:rsid w:val="00AD2A60"/>
    <w:rsid w:val="00B31515"/>
    <w:rsid w:val="00B57E7A"/>
    <w:rsid w:val="00B757AD"/>
    <w:rsid w:val="00B76E6F"/>
    <w:rsid w:val="00B8204A"/>
    <w:rsid w:val="00BB237E"/>
    <w:rsid w:val="00BB6CA3"/>
    <w:rsid w:val="00C23DAF"/>
    <w:rsid w:val="00C2586A"/>
    <w:rsid w:val="00C25F16"/>
    <w:rsid w:val="00C52D6A"/>
    <w:rsid w:val="00C56CD0"/>
    <w:rsid w:val="00C63989"/>
    <w:rsid w:val="00C9430E"/>
    <w:rsid w:val="00D2474F"/>
    <w:rsid w:val="00D26FF7"/>
    <w:rsid w:val="00D42045"/>
    <w:rsid w:val="00D46673"/>
    <w:rsid w:val="00D67292"/>
    <w:rsid w:val="00DB0392"/>
    <w:rsid w:val="00DB0706"/>
    <w:rsid w:val="00DE0CC0"/>
    <w:rsid w:val="00E509FC"/>
    <w:rsid w:val="00E75522"/>
    <w:rsid w:val="00EB1A39"/>
    <w:rsid w:val="00ED19B3"/>
    <w:rsid w:val="00ED339E"/>
    <w:rsid w:val="00ED4FAB"/>
    <w:rsid w:val="00F4376E"/>
    <w:rsid w:val="00F74712"/>
    <w:rsid w:val="00FC21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DE75"/>
  <w15:chartTrackingRefBased/>
  <w15:docId w15:val="{95B7D536-0A51-4554-A764-FCDE946B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76E6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B76E6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B76E6F"/>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B76E6F"/>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B76E6F"/>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B76E6F"/>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B76E6F"/>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B76E6F"/>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B76E6F"/>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76E6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B76E6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B76E6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B76E6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B76E6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B76E6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B76E6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B76E6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B76E6F"/>
    <w:rPr>
      <w:rFonts w:eastAsiaTheme="majorEastAsia" w:cstheme="majorBidi"/>
      <w:color w:val="272727" w:themeColor="text1" w:themeTint="D8"/>
    </w:rPr>
  </w:style>
  <w:style w:type="paragraph" w:styleId="Ttulo">
    <w:name w:val="Title"/>
    <w:basedOn w:val="Normal"/>
    <w:next w:val="Normal"/>
    <w:link w:val="TtuloCar"/>
    <w:uiPriority w:val="10"/>
    <w:qFormat/>
    <w:rsid w:val="00B76E6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76E6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B76E6F"/>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B76E6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B76E6F"/>
    <w:pPr>
      <w:spacing w:before="160"/>
      <w:jc w:val="center"/>
    </w:pPr>
    <w:rPr>
      <w:i/>
      <w:iCs/>
      <w:color w:val="404040" w:themeColor="text1" w:themeTint="BF"/>
    </w:rPr>
  </w:style>
  <w:style w:type="character" w:customStyle="1" w:styleId="CitaCar">
    <w:name w:val="Cita Car"/>
    <w:basedOn w:val="Fuentedeprrafopredeter"/>
    <w:link w:val="Cita"/>
    <w:uiPriority w:val="29"/>
    <w:rsid w:val="00B76E6F"/>
    <w:rPr>
      <w:i/>
      <w:iCs/>
      <w:color w:val="404040" w:themeColor="text1" w:themeTint="BF"/>
    </w:rPr>
  </w:style>
  <w:style w:type="paragraph" w:styleId="Prrafodelista">
    <w:name w:val="List Paragraph"/>
    <w:basedOn w:val="Normal"/>
    <w:uiPriority w:val="34"/>
    <w:qFormat/>
    <w:rsid w:val="00B76E6F"/>
    <w:pPr>
      <w:ind w:left="720"/>
      <w:contextualSpacing/>
    </w:pPr>
  </w:style>
  <w:style w:type="character" w:styleId="nfasisintenso">
    <w:name w:val="Intense Emphasis"/>
    <w:basedOn w:val="Fuentedeprrafopredeter"/>
    <w:uiPriority w:val="21"/>
    <w:qFormat/>
    <w:rsid w:val="00B76E6F"/>
    <w:rPr>
      <w:i/>
      <w:iCs/>
      <w:color w:val="0F4761" w:themeColor="accent1" w:themeShade="BF"/>
    </w:rPr>
  </w:style>
  <w:style w:type="paragraph" w:styleId="Citadestacada">
    <w:name w:val="Intense Quote"/>
    <w:basedOn w:val="Normal"/>
    <w:next w:val="Normal"/>
    <w:link w:val="CitadestacadaCar"/>
    <w:uiPriority w:val="30"/>
    <w:qFormat/>
    <w:rsid w:val="00B76E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B76E6F"/>
    <w:rPr>
      <w:i/>
      <w:iCs/>
      <w:color w:val="0F4761" w:themeColor="accent1" w:themeShade="BF"/>
    </w:rPr>
  </w:style>
  <w:style w:type="character" w:styleId="Referenciaintensa">
    <w:name w:val="Intense Reference"/>
    <w:basedOn w:val="Fuentedeprrafopredeter"/>
    <w:uiPriority w:val="32"/>
    <w:qFormat/>
    <w:rsid w:val="00B76E6F"/>
    <w:rPr>
      <w:b/>
      <w:bCs/>
      <w:smallCaps/>
      <w:color w:val="0F4761" w:themeColor="accent1" w:themeShade="BF"/>
      <w:spacing w:val="5"/>
    </w:rPr>
  </w:style>
  <w:style w:type="paragraph" w:styleId="Encabezado">
    <w:name w:val="header"/>
    <w:basedOn w:val="Normal"/>
    <w:link w:val="EncabezadoCar"/>
    <w:uiPriority w:val="99"/>
    <w:unhideWhenUsed/>
    <w:rsid w:val="00ED33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339E"/>
  </w:style>
  <w:style w:type="paragraph" w:styleId="Piedepgina">
    <w:name w:val="footer"/>
    <w:basedOn w:val="Normal"/>
    <w:link w:val="PiedepginaCar"/>
    <w:uiPriority w:val="99"/>
    <w:unhideWhenUsed/>
    <w:rsid w:val="00ED33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339E"/>
  </w:style>
  <w:style w:type="character" w:styleId="Refdecomentario">
    <w:name w:val="annotation reference"/>
    <w:basedOn w:val="Fuentedeprrafopredeter"/>
    <w:uiPriority w:val="99"/>
    <w:semiHidden/>
    <w:unhideWhenUsed/>
    <w:rsid w:val="001E0825"/>
    <w:rPr>
      <w:sz w:val="16"/>
      <w:szCs w:val="16"/>
    </w:rPr>
  </w:style>
  <w:style w:type="paragraph" w:styleId="Textocomentario">
    <w:name w:val="annotation text"/>
    <w:basedOn w:val="Normal"/>
    <w:link w:val="TextocomentarioCar"/>
    <w:uiPriority w:val="99"/>
    <w:unhideWhenUsed/>
    <w:rsid w:val="001E0825"/>
    <w:pPr>
      <w:spacing w:line="240" w:lineRule="auto"/>
    </w:pPr>
    <w:rPr>
      <w:sz w:val="20"/>
      <w:szCs w:val="20"/>
    </w:rPr>
  </w:style>
  <w:style w:type="character" w:customStyle="1" w:styleId="TextocomentarioCar">
    <w:name w:val="Texto comentario Car"/>
    <w:basedOn w:val="Fuentedeprrafopredeter"/>
    <w:link w:val="Textocomentario"/>
    <w:uiPriority w:val="99"/>
    <w:rsid w:val="001E0825"/>
    <w:rPr>
      <w:sz w:val="20"/>
      <w:szCs w:val="20"/>
    </w:rPr>
  </w:style>
  <w:style w:type="paragraph" w:styleId="Asuntodelcomentario">
    <w:name w:val="annotation subject"/>
    <w:basedOn w:val="Textocomentario"/>
    <w:next w:val="Textocomentario"/>
    <w:link w:val="AsuntodelcomentarioCar"/>
    <w:uiPriority w:val="99"/>
    <w:semiHidden/>
    <w:unhideWhenUsed/>
    <w:rsid w:val="001E0825"/>
    <w:rPr>
      <w:b/>
      <w:bCs/>
    </w:rPr>
  </w:style>
  <w:style w:type="character" w:customStyle="1" w:styleId="AsuntodelcomentarioCar">
    <w:name w:val="Asunto del comentario Car"/>
    <w:basedOn w:val="TextocomentarioCar"/>
    <w:link w:val="Asuntodelcomentario"/>
    <w:uiPriority w:val="99"/>
    <w:semiHidden/>
    <w:rsid w:val="001E08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4d85768-2b38-49e1-801c-c687b8d81ce0" xsi:nil="true"/>
    <lcf76f155ced4ddcb4097134ff3c332f xmlns="6e89ea69-d49d-4aed-8e35-1974e40cb49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9804B16A1A97E4192206A4BEDFA5F62" ma:contentTypeVersion="18" ma:contentTypeDescription="Crear nuevo documento." ma:contentTypeScope="" ma:versionID="31587e4cd2350d2680841f0aa2c7c325">
  <xsd:schema xmlns:xsd="http://www.w3.org/2001/XMLSchema" xmlns:xs="http://www.w3.org/2001/XMLSchema" xmlns:p="http://schemas.microsoft.com/office/2006/metadata/properties" xmlns:ns2="1e7d6f6b-d84d-4909-bdc4-e43fe3bcd59a" xmlns:ns3="6e89ea69-d49d-4aed-8e35-1974e40cb49e" xmlns:ns4="b4d85768-2b38-49e1-801c-c687b8d81ce0" targetNamespace="http://schemas.microsoft.com/office/2006/metadata/properties" ma:root="true" ma:fieldsID="5edd439da59b743353f1f6ba02f0de6c" ns2:_="" ns3:_="" ns4:_="">
    <xsd:import namespace="1e7d6f6b-d84d-4909-bdc4-e43fe3bcd59a"/>
    <xsd:import namespace="6e89ea69-d49d-4aed-8e35-1974e40cb49e"/>
    <xsd:import namespace="b4d85768-2b38-49e1-801c-c687b8d81c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d6f6b-d84d-4909-bdc4-e43fe3bcd59a"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89ea69-d49d-4aed-8e35-1974e40cb4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3e156fcd-a0d8-4d92-8e2d-5cf8bb1759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d85768-2b38-49e1-801c-c687b8d81ce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062c0d6-ad6f-4bef-bf8b-840241deb880}" ma:internalName="TaxCatchAll" ma:showField="CatchAllData" ma:web="b4d85768-2b38-49e1-801c-c687b8d81c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B45AD3-EE73-4069-A9BA-D513766F8483}">
  <ds:schemaRefs>
    <ds:schemaRef ds:uri="http://schemas.microsoft.com/sharepoint/v3/contenttype/forms"/>
  </ds:schemaRefs>
</ds:datastoreItem>
</file>

<file path=customXml/itemProps2.xml><?xml version="1.0" encoding="utf-8"?>
<ds:datastoreItem xmlns:ds="http://schemas.openxmlformats.org/officeDocument/2006/customXml" ds:itemID="{9D56CD38-7D1B-4188-90F0-D8C7E1AF6B8B}">
  <ds:schemaRefs>
    <ds:schemaRef ds:uri="http://schemas.microsoft.com/office/2006/metadata/properties"/>
    <ds:schemaRef ds:uri="http://schemas.microsoft.com/office/infopath/2007/PartnerControls"/>
    <ds:schemaRef ds:uri="b4d85768-2b38-49e1-801c-c687b8d81ce0"/>
    <ds:schemaRef ds:uri="6e89ea69-d49d-4aed-8e35-1974e40cb49e"/>
  </ds:schemaRefs>
</ds:datastoreItem>
</file>

<file path=customXml/itemProps3.xml><?xml version="1.0" encoding="utf-8"?>
<ds:datastoreItem xmlns:ds="http://schemas.openxmlformats.org/officeDocument/2006/customXml" ds:itemID="{D0EEB954-D732-4B05-B752-78E8DCFC5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d6f6b-d84d-4909-bdc4-e43fe3bcd59a"/>
    <ds:schemaRef ds:uri="6e89ea69-d49d-4aed-8e35-1974e40cb49e"/>
    <ds:schemaRef ds:uri="b4d85768-2b38-49e1-801c-c687b8d81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366</Words>
  <Characters>2015</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Estudio Muñiz</dc:creator>
  <cp:keywords/>
  <dc:description/>
  <cp:lastModifiedBy>Wilfredo Galindez Azorza</cp:lastModifiedBy>
  <cp:revision>3</cp:revision>
  <dcterms:created xsi:type="dcterms:W3CDTF">2024-05-21T17:03:00Z</dcterms:created>
  <dcterms:modified xsi:type="dcterms:W3CDTF">2024-05-21T17:58:00Z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0x010100E9804B16A1A97E4192206A4BEDFA5F62</vt:lpwstr>
  </property>
  <property fmtid="{D5CDD505-2E9C-101B-9397-08002B2CF9AE}" pid="3" name="MediaServiceImageTags">
    <vt:lpwstr/>
  </property>
</Properties>
</file>